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ummary-of-changes"/>
    <w:p>
      <w:pPr>
        <w:pStyle w:val="Heading1"/>
      </w:pPr>
      <w:r>
        <w:t xml:space="preserve">Summary of Changes</w:t>
      </w:r>
    </w:p>
    <w:p>
      <w:pPr>
        <w:pStyle w:val="FirstParagraph"/>
      </w:pPr>
      <w:r>
        <w:rPr>
          <w:b/>
          <w:bCs/>
        </w:rPr>
        <w:t xml:space="preserve">CiSE-2026-06-0105</w:t>
      </w:r>
      <w:r>
        <w:t xml:space="preserve">,</w:t>
      </w:r>
      <w:r>
        <w:t xml:space="preserve"> </w:t>
      </w:r>
      <w:r>
        <w:t xml:space="preserve">“Auditing AI-Assisted Research: The VAR Framework and AIVS Schema”</w:t>
      </w:r>
    </w:p>
    <w:p>
      <w:pPr>
        <w:pStyle w:val="BodyText"/>
      </w:pPr>
      <w:r>
        <w:t xml:space="preserve">Every change below is keyed to the reviewer comment that prompted it. Thirty-four reviewer</w:t>
      </w:r>
      <w:r>
        <w:t xml:space="preserve"> </w:t>
      </w:r>
      <w:r>
        <w:t xml:space="preserve">comments were addressed; three were declined, with reasons given in the response letter.</w:t>
      </w:r>
      <w:r>
        <w:t xml:space="preserve"> </w:t>
      </w:r>
      <w:r>
        <w:t xml:space="preserve">One further defect was found during revision and is disclosed rather than quietly fixed.</w:t>
      </w:r>
    </w:p>
    <w:p>
      <w:r>
        <w:pict>
          <v:rect style="width:0;height:1.5pt" o:hralign="center" o:hrstd="t" o:hr="t"/>
        </w:pict>
      </w:r>
    </w:p>
    <w:bookmarkStart w:id="14" w:name="structural-changes"/>
    <w:p>
      <w:pPr>
        <w:pStyle w:val="Heading2"/>
      </w:pPr>
      <w:r>
        <w:t xml:space="preserve">Structural changes</w:t>
      </w:r>
    </w:p>
    <w:bookmarkStart w:id="9" w:name="Xc85dc59bec95cabe3afc506766a69af49346a6f"/>
    <w:p>
      <w:pPr>
        <w:pStyle w:val="Heading3"/>
      </w:pPr>
      <w:r>
        <w:t xml:space="preserve">Section 3 respecified to the schema that exists (R1.1, R2.1, R2.3, R3.1, R5.2)</w:t>
      </w:r>
    </w:p>
    <w:p>
      <w:pPr>
        <w:pStyle w:val="FirstParagraph"/>
      </w:pPr>
      <w:r>
        <w:t xml:space="preserve">Reviewer 3 observed that §3.1 specified five record types (Source, Invocation, Evaluation,</w:t>
      </w:r>
      <w:r>
        <w:t xml:space="preserve"> </w:t>
      </w:r>
      <w:r>
        <w:t xml:space="preserve">Curation, Deposition) while §4 described the constructed record entirely in terms of Actors,</w:t>
      </w:r>
      <w:r>
        <w:t xml:space="preserve"> </w:t>
      </w:r>
      <w:r>
        <w:t xml:space="preserve">Events, and Decisions, and that the relationship was never stated. This was correct. The five</w:t>
      </w:r>
      <w:r>
        <w:t xml:space="preserve"> </w:t>
      </w:r>
      <w:r>
        <w:t xml:space="preserve">types were designed on paper and never implemented; the released code implements a different</w:t>
      </w:r>
      <w:r>
        <w:t xml:space="preserve"> </w:t>
      </w:r>
      <w:r>
        <w:t xml:space="preserve">kernel, and the audit was built on that kernel.</w:t>
      </w:r>
    </w:p>
    <w:p>
      <w:pPr>
        <w:pStyle w:val="BodyText"/>
      </w:pPr>
      <w:r>
        <w:t xml:space="preserve">Reviewer 3 offered two remedies. We have taken the second: §3 now specifies the model actually</w:t>
      </w:r>
      <w:r>
        <w:t xml:space="preserve"> </w:t>
      </w:r>
      <w:r>
        <w:t xml:space="preserve">built. The kernel is Actor, Event, Evidence, Decision, Claim, and AuditArtifact. The five</w:t>
      </w:r>
      <w:r>
        <w:t xml:space="preserve"> </w:t>
      </w:r>
      <w:r>
        <w:t xml:space="preserve">workflow-stage terms survive as open-vocabulary decision types, which is what the code already</w:t>
      </w:r>
      <w:r>
        <w:t xml:space="preserve"> </w:t>
      </w:r>
      <w:r>
        <w:t xml:space="preserve">treats them as. Figure 1 is redrawn accordingly.</w:t>
      </w:r>
    </w:p>
    <w:p>
      <w:pPr>
        <w:pStyle w:val="BodyText"/>
      </w:pPr>
      <w:r>
        <w:t xml:space="preserve">Two consequences worth noting. First, §4 and §3 now use one vocabulary. Second, two features of</w:t>
      </w:r>
      <w:r>
        <w:t xml:space="preserve"> </w:t>
      </w:r>
      <w:r>
        <w:t xml:space="preserve">the built kernel that the submitted §3 never mentioned do substantive work in this revision:</w:t>
      </w:r>
      <w:r>
        <w:t xml:space="preserve"> </w:t>
      </w:r>
      <w:r>
        <w:t xml:space="preserve">capture tier (§3.2), which answers Reviewer 2’s question about level of effort, and the</w:t>
      </w:r>
      <w:r>
        <w:t xml:space="preserve"> </w:t>
      </w:r>
      <w:r>
        <w:t xml:space="preserve">default-unverified verification status (§3.1), which answers Reviewer 3’s question about how the</w:t>
      </w:r>
      <w:r>
        <w:t xml:space="preserve"> </w:t>
      </w:r>
      <w:r>
        <w:t xml:space="preserve">schema directed the audit.</w:t>
      </w:r>
    </w:p>
    <w:bookmarkEnd w:id="9"/>
    <w:bookmarkStart w:id="10" w:name="central-claim-narrowed-r3.2"/>
    <w:p>
      <w:pPr>
        <w:pStyle w:val="Heading3"/>
      </w:pPr>
      <w:r>
        <w:t xml:space="preserve">Central claim narrowed (R3.2)</w:t>
      </w:r>
    </w:p>
    <w:p>
      <w:pPr>
        <w:pStyle w:val="FirstParagraph"/>
      </w:pPr>
      <w:r>
        <w:t xml:space="preserve">The submitted abstract said AIVS caught five classes of error, while §3.2 said AIVS performs no</w:t>
      </w:r>
      <w:r>
        <w:t xml:space="preserve"> </w:t>
      </w:r>
      <w:r>
        <w:t xml:space="preserve">verification and §4.2 attributed every finding to manual work. The abstract, §4.2, §4.5, and the</w:t>
      </w:r>
      <w:r>
        <w:t xml:space="preserve"> </w:t>
      </w:r>
      <w:r>
        <w:t xml:space="preserve">Experimental procedures now state the supportable claim: a structured audit found the defects,</w:t>
      </w:r>
      <w:r>
        <w:t xml:space="preserve"> </w:t>
      </w:r>
      <w:r>
        <w:t xml:space="preserve">and the schema recorded them and directed attention to them. The mechanism is stated explicitly</w:t>
      </w:r>
      <w:r>
        <w:t xml:space="preserve"> </w:t>
      </w:r>
      <w:r>
        <w:t xml:space="preserve">in §3.1 and §4.2, since Reviewer 3 asked for it: enumerating decisions produces a queue of</w:t>
      </w:r>
      <w:r>
        <w:t xml:space="preserve"> </w:t>
      </w:r>
      <w:r>
        <w:t xml:space="preserve">unverified ones, and that queue is the audit’s work list.</w:t>
      </w:r>
    </w:p>
    <w:bookmarkEnd w:id="10"/>
    <w:bookmarkStart w:id="11" w:name="X3c85d2447ff05a68a730b7eac5b6ccb60a43978"/>
    <w:p>
      <w:pPr>
        <w:pStyle w:val="Heading3"/>
      </w:pPr>
      <w:r>
        <w:t xml:space="preserve">Scaling claim withdrawn, cost reported (R1.4, R2.2, R3.3)</w:t>
      </w:r>
    </w:p>
    <w:p>
      <w:pPr>
        <w:pStyle w:val="FirstParagraph"/>
      </w:pPr>
      <w:r>
        <w:t xml:space="preserve">The third claim of the submitted §4.5, that verification effort scales sub-linearly with</w:t>
      </w:r>
      <w:r>
        <w:t xml:space="preserve"> </w:t>
      </w:r>
      <w:r>
        <w:t xml:space="preserve">manuscript complexity, rested on one observation with no measurement. It is withdrawn, and the</w:t>
      </w:r>
      <w:r>
        <w:t xml:space="preserve"> </w:t>
      </w:r>
      <w:r>
        <w:t xml:space="preserve">withdrawal is stated in the text rather than performed silently.</w:t>
      </w:r>
    </w:p>
    <w:p>
      <w:pPr>
        <w:pStyle w:val="BodyText"/>
      </w:pPr>
      <w:r>
        <w:t xml:space="preserve">In its place §4.5 reports approximately 60 person-hours of audit against approximately 520 hours</w:t>
      </w:r>
      <w:r>
        <w:t xml:space="preserve"> </w:t>
      </w:r>
      <w:r>
        <w:t xml:space="preserve">of pipeline development, roughly twelve percent overhead. Both are author estimates reported at</w:t>
      </w:r>
      <w:r>
        <w:t xml:space="preserve"> </w:t>
      </w:r>
      <w:r>
        <w:t xml:space="preserve">capture tier 0, because the evidence that would have measured them no longer exists (below).</w:t>
      </w:r>
    </w:p>
    <w:bookmarkEnd w:id="11"/>
    <w:bookmarkStart w:id="12" w:name="Xa5851b4c8c4410e201d3045b20b37054b747f42"/>
    <w:p>
      <w:pPr>
        <w:pStyle w:val="Heading3"/>
      </w:pPr>
      <w:r>
        <w:t xml:space="preserve">Threat model and audience stated (R3.4, R5.7)</w:t>
      </w:r>
    </w:p>
    <w:p>
      <w:pPr>
        <w:pStyle w:val="FirstParagraph"/>
      </w:pPr>
      <w:r>
        <w:t xml:space="preserve">New material in §3.4 states that the threat model is honest error rather than misconduct, that</w:t>
      </w:r>
      <w:r>
        <w:t xml:space="preserve"> </w:t>
      </w:r>
      <w:r>
        <w:t xml:space="preserve">the record is author-side and not tamper-evident, and that authors produce the record while</w:t>
      </w:r>
      <w:r>
        <w:t xml:space="preserve"> </w:t>
      </w:r>
      <w:r>
        <w:t xml:space="preserve">readers, reviewers, and downstream researchers consume it. Venue policy is explicitly out of</w:t>
      </w:r>
      <w:r>
        <w:t xml:space="preserve"> </w:t>
      </w:r>
      <w:r>
        <w:t xml:space="preserve">scope. A short version appears at the end of §1 so a reader meets the boundary early.</w:t>
      </w:r>
    </w:p>
    <w:bookmarkEnd w:id="12"/>
    <w:bookmarkStart w:id="13" w:name="Xc251530505a340c0f7713a674759dbfbe4c2732"/>
    <w:p>
      <w:pPr>
        <w:pStyle w:val="Heading3"/>
      </w:pPr>
      <w:r>
        <w:t xml:space="preserve">Positioning against existing standards (R3.5)</w:t>
      </w:r>
    </w:p>
    <w:p>
      <w:pPr>
        <w:pStyle w:val="FirstParagraph"/>
      </w:pPr>
      <w:r>
        <w:t xml:space="preserve">New §3.5 addresses W3C PROV-O and RO-Crate, including the Workflow Run profile, alongside</w:t>
      </w:r>
      <w:r>
        <w:t xml:space="preserve"> </w:t>
      </w:r>
      <w:r>
        <w:t xml:space="preserve">PROV-AGENT. The argument is that these assume instrumentation at execution time and are the</w:t>
      </w:r>
      <w:r>
        <w:t xml:space="preserve"> </w:t>
      </w:r>
      <w:r>
        <w:t xml:space="preserve">better tool where it exists, while AIVS addresses the case where it was absent; that the unit of</w:t>
      </w:r>
      <w:r>
        <w:t xml:space="preserve"> </w:t>
      </w:r>
      <w:r>
        <w:t xml:space="preserve">record differs (methodological decision rather than execution step); and that capture tier</w:t>
      </w:r>
      <w:r>
        <w:t xml:space="preserve"> </w:t>
      </w:r>
      <w:r>
        <w:t xml:space="preserve">expresses how much was reconstructed rather than captured, which a profile of an</w:t>
      </w:r>
      <w:r>
        <w:t xml:space="preserve"> </w:t>
      </w:r>
      <w:r>
        <w:t xml:space="preserve">instrumentation-assuming standard cannot express.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case-study"/>
    <w:p>
      <w:pPr>
        <w:pStyle w:val="Heading2"/>
      </w:pPr>
      <w:r>
        <w:t xml:space="preserve">Case study</w:t>
      </w:r>
    </w:p>
    <w:bookmarkStart w:id="15" w:name="X2832898a719cf2034fa419f0ddd92c556b24903"/>
    <w:p>
      <w:pPr>
        <w:pStyle w:val="Heading3"/>
      </w:pPr>
      <w:r>
        <w:t xml:space="preserve">§4.1 rewritten for a general reader (R1.2, R4.1, R5.5)</w:t>
      </w:r>
    </w:p>
    <w:p>
      <w:pPr>
        <w:pStyle w:val="FirstParagraph"/>
      </w:pPr>
      <w:r>
        <w:t xml:space="preserve">Reviewer 4 reported being unable to comprehend the goal of the analysis. The submitted §4.1</w:t>
      </w:r>
      <w:r>
        <w:t xml:space="preserve"> </w:t>
      </w:r>
      <w:r>
        <w:t xml:space="preserve">stated the question in the vocabulary of its answer. It now builds the question in plain terms:</w:t>
      </w:r>
      <w:r>
        <w:t xml:space="preserve"> </w:t>
      </w:r>
      <w:r>
        <w:t xml:space="preserve">what conservation-based predictors assume, why intrinsically disordered proteins violate that</w:t>
      </w:r>
      <w:r>
        <w:t xml:space="preserve"> </w:t>
      </w:r>
      <w:r>
        <w:t xml:space="preserve">assumption, why gain-of-toxic-function variants should defeat them specifically, and what</w:t>
      </w:r>
      <w:r>
        <w:t xml:space="preserve"> </w:t>
      </w:r>
      <w:r>
        <w:t xml:space="preserve">therefore should be observed. The closing paragraph states why the workflow is our own, which is</w:t>
      </w:r>
      <w:r>
        <w:t xml:space="preserve"> </w:t>
      </w:r>
      <w:r>
        <w:t xml:space="preserve">the substance of our response to Reviewer 4’s recommendation that we use a third-party workflow.</w:t>
      </w:r>
    </w:p>
    <w:bookmarkEnd w:id="15"/>
    <w:bookmarkStart w:id="16" w:name="X277d1bc99721502e9812101ee548b73f10ff0cb"/>
    <w:p>
      <w:pPr>
        <w:pStyle w:val="Heading3"/>
      </w:pPr>
      <w:r>
        <w:t xml:space="preserve">Script numbers replaced by named stages (R1.3)</w:t>
      </w:r>
    </w:p>
    <w:p>
      <w:pPr>
        <w:pStyle w:val="FirstParagraph"/>
      </w:pPr>
      <w:r>
        <w:t xml:space="preserve">New Table 1 names five workflow stages, S1 through S5, and maps each to its implementing script</w:t>
      </w:r>
      <w:r>
        <w:t xml:space="preserve"> </w:t>
      </w:r>
      <w:r>
        <w:t xml:space="preserve">and status. Section 4.2 now references stage names. Superseded scripts appear in the same table</w:t>
      </w:r>
      <w:r>
        <w:t xml:space="preserve"> </w:t>
      </w:r>
      <w:r>
        <w:t xml:space="preserve">with the defect that retired each, so the audit’s outcome is legible at a glance.</w:t>
      </w:r>
    </w:p>
    <w:bookmarkEnd w:id="16"/>
    <w:bookmarkStart w:id="17" w:name="restructured-r3.2-r4.2-r5.2-r5.6-r5.10"/>
    <w:p>
      <w:pPr>
        <w:pStyle w:val="Heading3"/>
      </w:pPr>
      <w:r>
        <w:t xml:space="preserve">§4.2 restructured (R3.2, R4.2, R5.2, R5.6, R5.10)</w:t>
      </w:r>
    </w:p>
    <w:p>
      <w:pPr>
        <w:pStyle w:val="FirstParagraph"/>
      </w:pPr>
      <w:r>
        <w:t xml:space="preserve">The submitted §4.2 repeated a near-identical provenance sentence after each finding, which</w:t>
      </w:r>
      <w:r>
        <w:t xml:space="preserve"> </w:t>
      </w:r>
      <w:r>
        <w:t xml:space="preserve">contributed to the density both Reviewer 4 and Reviewer 5 identified. That material now sits in</w:t>
      </w:r>
      <w:r>
        <w:t xml:space="preserve"> </w:t>
      </w:r>
      <w:r>
        <w:t xml:space="preserve">Table 2, one row per finding, mapping each to its disposition, audit document, and corrected</w:t>
      </w:r>
      <w:r>
        <w:t xml:space="preserve"> </w:t>
      </w:r>
      <w:r>
        <w:t xml:space="preserve">output. The prose carries only the account of what went wrong. A closing paragraph identifies the</w:t>
      </w:r>
      <w:r>
        <w:t xml:space="preserve"> </w:t>
      </w:r>
      <w:r>
        <w:t xml:space="preserve">three domain-independent defects, which Reviewer 3 noted are the material most useful to this</w:t>
      </w:r>
      <w:r>
        <w:t xml:space="preserve"> </w:t>
      </w:r>
      <w:r>
        <w:t xml:space="preserve">readership.</w:t>
      </w:r>
    </w:p>
    <w:bookmarkEnd w:id="17"/>
    <w:bookmarkStart w:id="18" w:name="X63ca5c2b02b368cf9521b99dc9633f5f5b10031"/>
    <w:p>
      <w:pPr>
        <w:pStyle w:val="Heading3"/>
      </w:pPr>
      <w:r>
        <w:t xml:space="preserve">§4.4 given interpretation, Figure 2 now cited (R1.5, R5.6)</w:t>
      </w:r>
    </w:p>
    <w:p>
      <w:pPr>
        <w:pStyle w:val="FirstParagraph"/>
      </w:pPr>
      <w:r>
        <w:t xml:space="preserve">The submitted §4.4 was a sequence of numbers with no reading. It now leads with what the numbers</w:t>
      </w:r>
      <w:r>
        <w:t xml:space="preserve"> </w:t>
      </w:r>
      <w:r>
        <w:t xml:space="preserve">mean, states what an AUROC of 0.493 does and does not imply, notes that three independently</w:t>
      </w:r>
      <w:r>
        <w:t xml:space="preserve"> </w:t>
      </w:r>
      <w:r>
        <w:t xml:space="preserve">trained architectures fail the same subset (which points at the shared assumption rather than an</w:t>
      </w:r>
      <w:r>
        <w:t xml:space="preserve"> </w:t>
      </w:r>
      <w:r>
        <w:t xml:space="preserve">implementation), and explains the FUS permutation control. Figure 2 is cited at first mention.</w:t>
      </w:r>
      <w:r>
        <w:t xml:space="preserve"> </w:t>
      </w:r>
      <w:r>
        <w:t xml:space="preserve">The figure caption now explains the inverted score distribution rather than only reporting it.</w:t>
      </w:r>
    </w:p>
    <w:bookmarkEnd w:id="18"/>
    <w:bookmarkStart w:id="19" w:name="X46b40fb63f0db0f3c62d2208aa835c95993f85c"/>
    <w:p>
      <w:pPr>
        <w:pStyle w:val="Heading3"/>
      </w:pPr>
      <w:r>
        <w:t xml:space="preserve">Reference-audit rationale added (R5.3, R5.4)</w:t>
      </w:r>
    </w:p>
    <w:p>
      <w:pPr>
        <w:pStyle w:val="FirstParagraph"/>
      </w:pPr>
      <w:r>
        <w:t xml:space="preserve">Section 4.3 now states why all references were audited rather than only AI-suggested ones: the</w:t>
      </w:r>
      <w:r>
        <w:t xml:space="preserve"> </w:t>
      </w:r>
      <w:r>
        <w:t xml:space="preserve">boundary is not recoverable after the fact and reconstructing it would cost more than checking</w:t>
      </w:r>
      <w:r>
        <w:t xml:space="preserve"> </w:t>
      </w:r>
      <w:r>
        <w:t xml:space="preserve">everything. It also states that a reference is not AI-authored content, that each was read and</w:t>
      </w:r>
      <w:r>
        <w:t xml:space="preserve"> </w:t>
      </w:r>
      <w:r>
        <w:t xml:space="preserve">assessed by an author before citing, and that the record holds the AI suggestion and the human</w:t>
      </w:r>
      <w:r>
        <w:t xml:space="preserve"> </w:t>
      </w:r>
      <w:r>
        <w:t xml:space="preserve">verification as separate entries.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corrections-of-fact"/>
    <w:p>
      <w:pPr>
        <w:pStyle w:val="Heading2"/>
      </w:pPr>
      <w:r>
        <w:t xml:space="preserve">Corrections of fact</w:t>
      </w:r>
    </w:p>
    <w:bookmarkStart w:id="21" w:name="a-number-in-4.2-was-wrong"/>
    <w:p>
      <w:pPr>
        <w:pStyle w:val="Heading3"/>
      </w:pPr>
      <w:r>
        <w:t xml:space="preserve">A number in §4.2 was wrong</w:t>
      </w:r>
    </w:p>
    <w:p>
      <w:pPr>
        <w:pStyle w:val="FirstParagraph"/>
      </w:pPr>
      <w:r>
        <w:t xml:space="preserve">The submitted text reported 170 of 259 HTT variants receiving fabricated defaults. The file holds</w:t>
      </w:r>
      <w:r>
        <w:t xml:space="preserve"> </w:t>
      </w:r>
      <w:r>
        <w:t xml:space="preserve">255 HTT rows, so it is 170 of 255. The count of 170 was confirmed two independent ways during</w:t>
      </w:r>
      <w:r>
        <w:t xml:space="preserve"> </w:t>
      </w:r>
      <w:r>
        <w:t xml:space="preserve">revision.</w:t>
      </w:r>
    </w:p>
    <w:bookmarkEnd w:id="21"/>
    <w:bookmarkStart w:id="22" w:name="X9a986bccbb2ac1fd88641b498b27aaa1dfaf236"/>
    <w:p>
      <w:pPr>
        <w:pStyle w:val="Heading3"/>
      </w:pPr>
      <w:r>
        <w:t xml:space="preserve">Two scripts were described as superseded together, and are not equivalent</w:t>
      </w:r>
    </w:p>
    <w:p>
      <w:pPr>
        <w:pStyle w:val="FirstParagraph"/>
      </w:pPr>
      <w:r>
        <w:t xml:space="preserve">The submitted line stated that scripts 04 and 06 are superseded. Verification during revision</w:t>
      </w:r>
      <w:r>
        <w:t xml:space="preserve"> </w:t>
      </w:r>
      <w:r>
        <w:t xml:space="preserve">showed these are not symmetric. Script 04’s outputs have no consumers and it is genuinely</w:t>
      </w:r>
      <w:r>
        <w:t xml:space="preserve"> </w:t>
      </w:r>
      <w:r>
        <w:t xml:space="preserve">withdrawn. Script 06’s feature table is read by seventeen files, including the canonical</w:t>
      </w:r>
      <w:r>
        <w:t xml:space="preserve"> </w:t>
      </w:r>
      <w:r>
        <w:t xml:space="preserve">predictor, the bootstrap intervals, the permutation control, and every main figure; only its</w:t>
      </w:r>
      <w:r>
        <w:t xml:space="preserve"> </w:t>
      </w:r>
      <w:r>
        <w:t xml:space="preserve">cross-validation block was defective and replaced. Describing both as superseded would have</w:t>
      </w:r>
      <w:r>
        <w:t xml:space="preserve"> </w:t>
      </w:r>
      <w:r>
        <w:t xml:space="preserve">described the paper’s own canonical inputs as retired. Section 4.2 now distinguishes them, and</w:t>
      </w:r>
      <w:r>
        <w:t xml:space="preserve"> </w:t>
      </w:r>
      <w:r>
        <w:t xml:space="preserve">the point that what was superseded is a block rather than a file is used to illustrate why the</w:t>
      </w:r>
      <w:r>
        <w:t xml:space="preserve"> </w:t>
      </w:r>
      <w:r>
        <w:t xml:space="preserve">audit unit is the decision.</w:t>
      </w:r>
    </w:p>
    <w:bookmarkEnd w:id="22"/>
    <w:bookmarkStart w:id="23" w:name="X4e9eb2c0e714f060a425fb7ec28886e6e75f0f3"/>
    <w:p>
      <w:pPr>
        <w:pStyle w:val="Heading3"/>
      </w:pPr>
      <w:r>
        <w:t xml:space="preserve">The data availability statement described a deposit that did not contain what was claimed (R3.6, R5.1)</w:t>
      </w:r>
    </w:p>
    <w:p>
      <w:pPr>
        <w:pStyle w:val="FirstParagraph"/>
      </w:pPr>
      <w:r>
        <w:t xml:space="preserve">Reviewer 3 listed four items absent from the cited deposit and Reviewer 5 reported being unable</w:t>
      </w:r>
      <w:r>
        <w:t xml:space="preserve"> </w:t>
      </w:r>
      <w:r>
        <w:t xml:space="preserve">to find records discussed in the manuscript. Verification on 2026-08-27 confirmed both were</w:t>
      </w:r>
      <w:r>
        <w:t xml:space="preserve"> </w:t>
      </w:r>
      <w:r>
        <w:t xml:space="preserve">correct: figure-generation scripts and the environment manifest were absent, the AIVS record was</w:t>
      </w:r>
      <w:r>
        <w:t xml:space="preserve"> </w:t>
      </w:r>
      <w:r>
        <w:t xml:space="preserve">in the sibling repository rather than the one cited, and the deposit was frozen at a commit well</w:t>
      </w:r>
      <w:r>
        <w:t xml:space="preserve"> </w:t>
      </w:r>
      <w:r>
        <w:t xml:space="preserve">behind the described work. The deposits have been repaired and re-released, and the statement now</w:t>
      </w:r>
      <w:r>
        <w:t xml:space="preserve"> </w:t>
      </w:r>
      <w:r>
        <w:t xml:space="preserve">describes what is actually there, including an explicit pointer to where the verification record</w:t>
      </w:r>
      <w:r>
        <w:t xml:space="preserve"> </w:t>
      </w:r>
      <w:r>
        <w:t xml:space="preserve">lives. Both repositories now carry a README mapping each manuscript claim to its supporting file.</w:t>
      </w:r>
    </w:p>
    <w:bookmarkEnd w:id="23"/>
    <w:bookmarkStart w:id="24" w:name="Xbeb201afe98ab0300d0dbc7d155789fcc30febc"/>
    <w:p>
      <w:pPr>
        <w:pStyle w:val="Heading3"/>
      </w:pPr>
      <w:r>
        <w:t xml:space="preserve">Manuscript line 105 claimed a deposit that does not exist (self-identified)</w:t>
      </w:r>
    </w:p>
    <w:p>
      <w:pPr>
        <w:pStyle w:val="FirstParagraph"/>
      </w:pPr>
      <w:r>
        <w:t xml:space="preserve">The submitted §4.3 stated that agent-session logs were deposited under access control. No such</w:t>
      </w:r>
      <w:r>
        <w:t xml:space="preserve"> </w:t>
      </w:r>
      <w:r>
        <w:t xml:space="preserve">deposit exists. The logs existed when the audit was constructed and were destroyed by the tool’s</w:t>
      </w:r>
      <w:r>
        <w:t xml:space="preserve"> </w:t>
      </w:r>
      <w:r>
        <w:t xml:space="preserve">default retention policy; their absence was confirmed on 2026-08-27. Section 4.3 now says this</w:t>
      </w:r>
      <w:r>
        <w:t xml:space="preserve"> </w:t>
      </w:r>
      <w:r>
        <w:t xml:space="preserve">plainly, the deposited audit artifact has been corrected from capture tier 2 to tier 1, and the</w:t>
      </w:r>
      <w:r>
        <w:t xml:space="preserve"> </w:t>
      </w:r>
      <w:r>
        <w:t xml:space="preserve">loss is used in §4.5 as evidence for the paper’s own argument that a constructed record outlives</w:t>
      </w:r>
      <w:r>
        <w:t xml:space="preserve"> </w:t>
      </w:r>
      <w:r>
        <w:t xml:space="preserve">the logs beneath it.</w:t>
      </w:r>
    </w:p>
    <w:bookmarkEnd w:id="24"/>
    <w:bookmarkStart w:id="25" w:name="X36f73f96a15e1f977e1fad6b1ccb505b57c6d01"/>
    <w:p>
      <w:pPr>
        <w:pStyle w:val="Heading3"/>
      </w:pPr>
      <w:r>
        <w:t xml:space="preserve">The paper’s own AI-use disclosure named no tool, model, or version (R3.7)</w:t>
      </w:r>
    </w:p>
    <w:p>
      <w:pPr>
        <w:pStyle w:val="FirstParagraph"/>
      </w:pPr>
      <w:r>
        <w:t xml:space="preserve">Reviewer 3 noted that the manuscript required of others what it did not supply itself. The</w:t>
      </w:r>
      <w:r>
        <w:t xml:space="preserve"> </w:t>
      </w:r>
      <w:r>
        <w:t xml:space="preserve">disclosure now names the tools, the interfaces, the date ranges, and the model identifiers</w:t>
      </w:r>
      <w:r>
        <w:t xml:space="preserve"> </w:t>
      </w:r>
      <w:r>
        <w:t xml:space="preserve">recoverable from surviving configuration, and states its own capture tier. Where the record is</w:t>
      </w:r>
      <w:r>
        <w:t xml:space="preserve"> </w:t>
      </w:r>
      <w:r>
        <w:t xml:space="preserve">incomplete it says so and says why, rather than omitting the field.</w:t>
      </w:r>
    </w:p>
    <w:bookmarkEnd w:id="25"/>
    <w:bookmarkStart w:id="26" w:name="Xecee781d2bd99638fa9b4918c271b70b02842aa"/>
    <w:p>
      <w:pPr>
        <w:pStyle w:val="Heading3"/>
      </w:pPr>
      <w:r>
        <w:t xml:space="preserve">The deposited audit record is not byte-reproducible</w:t>
      </w:r>
    </w:p>
    <w:p>
      <w:pPr>
        <w:pStyle w:val="FirstParagraph"/>
      </w:pPr>
      <w:r>
        <w:t xml:space="preserve">Re-running the audit script regenerates fresh identifiers, so its output differs from the</w:t>
      </w:r>
      <w:r>
        <w:t xml:space="preserve"> </w:t>
      </w:r>
      <w:r>
        <w:t xml:space="preserve">deposited copy while carrying identical content. Section 4.3 states this and the repository</w:t>
      </w:r>
      <w:r>
        <w:t xml:space="preserve"> </w:t>
      </w:r>
      <w:r>
        <w:t xml:space="preserve">documents it. The deposited copies are the checksummed reference. This is the §2.3 argument</w:t>
      </w:r>
      <w:r>
        <w:t xml:space="preserve"> </w:t>
      </w:r>
      <w:r>
        <w:t xml:space="preserve">applied to the record itself.</w:t>
      </w:r>
    </w:p>
    <w:bookmarkEnd w:id="26"/>
    <w:bookmarkStart w:id="27" w:name="X64d0e781ccbdbeb00dbe2c8f4973c226e1504a0"/>
    <w:p>
      <w:pPr>
        <w:pStyle w:val="Heading3"/>
      </w:pPr>
      <w:r>
        <w:t xml:space="preserve">A latent defect is disclosed although nothing is currently wrong</w:t>
      </w:r>
    </w:p>
    <w:p>
      <w:pPr>
        <w:pStyle w:val="FirstParagraph"/>
      </w:pPr>
      <w:r>
        <w:t xml:space="preserve">The context-window fabrication is triggered by residue position; every guard in the pipeline is</w:t>
      </w:r>
      <w:r>
        <w:t xml:space="preserve"> </w:t>
      </w:r>
      <w:r>
        <w:t xml:space="preserve">triggered by gene name. These coincide only because HTT is the sole protein in the panel above</w:t>
      </w:r>
      <w:r>
        <w:t xml:space="preserve"> </w:t>
      </w:r>
      <w:r>
        <w:t xml:space="preserve">the model’s token limit. Adding one longer protein would make every filter silently insufficient</w:t>
      </w:r>
      <w:r>
        <w:t xml:space="preserve"> </w:t>
      </w:r>
      <w:r>
        <w:t xml:space="preserve">while still appearing correct. Section 4.2 states this.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prose-and-presentation"/>
    <w:p>
      <w:pPr>
        <w:pStyle w:val="Heading2"/>
      </w:pPr>
      <w:r>
        <w:t xml:space="preserve">Prose and presentation</w:t>
      </w:r>
    </w:p>
    <w:bookmarkStart w:id="29" w:name="section-2.2-rewritten-r4.2"/>
    <w:p>
      <w:pPr>
        <w:pStyle w:val="Heading3"/>
      </w:pPr>
      <w:r>
        <w:t xml:space="preserve">Section 2.2 rewritten (R4.2)</w:t>
      </w:r>
    </w:p>
    <w:p>
      <w:pPr>
        <w:pStyle w:val="FirstParagraph"/>
      </w:pPr>
      <w:r>
        <w:t xml:space="preserve">Reviewer 4 quoted the Accountability paragraph as his example of the manuscript’s</w:t>
      </w:r>
      <w:r>
        <w:t xml:space="preserve"> </w:t>
      </w:r>
      <w:r>
        <w:t xml:space="preserve">“word salad”</w:t>
      </w:r>
      <w:r>
        <w:t xml:space="preserve"> </w:t>
      </w:r>
      <w:r>
        <w:t xml:space="preserve">quality. It defined a term using four further terms and gave no instance. It now opens with a</w:t>
      </w:r>
      <w:r>
        <w:t xml:space="preserve"> </w:t>
      </w:r>
      <w:r>
        <w:t xml:space="preserve">one-sentence definition and a concrete case, explains why the byline no longer does this work,</w:t>
      </w:r>
      <w:r>
        <w:t xml:space="preserve"> </w:t>
      </w:r>
      <w:r>
        <w:t xml:space="preserve">and states the granularity and the purpose in short sentences.</w:t>
      </w:r>
    </w:p>
    <w:bookmarkEnd w:id="29"/>
    <w:bookmarkStart w:id="30" w:name="section-2.3-rewritten-r5.8"/>
    <w:p>
      <w:pPr>
        <w:pStyle w:val="Heading3"/>
      </w:pPr>
      <w:r>
        <w:t xml:space="preserve">Section 2.3 rewritten (R5.8)</w:t>
      </w:r>
    </w:p>
    <w:p>
      <w:pPr>
        <w:pStyle w:val="FirstParagraph"/>
      </w:pPr>
      <w:r>
        <w:t xml:space="preserve">Reviewer 5 asked how knowing when a model was used could let anyone reproduce a result. The</w:t>
      </w:r>
      <w:r>
        <w:t xml:space="preserve"> </w:t>
      </w:r>
      <w:r>
        <w:t xml:space="preserve">submitted §2.3 did not engage this. It now states the objection first, then separates the</w:t>
      </w:r>
      <w:r>
        <w:t xml:space="preserve"> </w:t>
      </w:r>
      <w:r>
        <w:t xml:space="preserve">deterministic pipeline (which reruns from pinned inputs) from generative invocation (which does</w:t>
      </w:r>
      <w:r>
        <w:t xml:space="preserve"> </w:t>
      </w:r>
      <w:r>
        <w:t xml:space="preserve">not and cannot), and states that the target is deposit and inspection rather than regeneration.</w:t>
      </w:r>
    </w:p>
    <w:bookmarkEnd w:id="30"/>
    <w:bookmarkStart w:id="31" w:name="aivs-var-removed-r5.9"/>
    <w:p>
      <w:pPr>
        <w:pStyle w:val="Heading3"/>
      </w:pPr>
      <w:r>
        <w:t xml:space="preserve">“AIVS-VAR”</w:t>
      </w:r>
      <w:r>
        <w:t xml:space="preserve"> </w:t>
      </w:r>
      <w:r>
        <w:t xml:space="preserve">removed (R5.9)</w:t>
      </w:r>
    </w:p>
    <w:p>
      <w:pPr>
        <w:pStyle w:val="FirstParagraph"/>
      </w:pPr>
      <w:r>
        <w:t xml:space="preserve">Reviewer 5 asked what distinguishes AIVS from AIVS-VAR. Nothing does; the compound was an</w:t>
      </w:r>
      <w:r>
        <w:t xml:space="preserve"> </w:t>
      </w:r>
      <w:r>
        <w:t xml:space="preserve">artifact of earlier drafts. It is removed from the manuscript, and from the audit scripts and</w:t>
      </w:r>
      <w:r>
        <w:t xml:space="preserve"> </w:t>
      </w:r>
      <w:r>
        <w:t xml:space="preserve">deposited records.</w:t>
      </w:r>
    </w:p>
    <w:bookmarkEnd w:id="31"/>
    <w:bookmarkStart w:id="32" w:name="introduction-reframed-r2.c4-r3.c4-r4.4"/>
    <w:p>
      <w:pPr>
        <w:pStyle w:val="Heading3"/>
      </w:pPr>
      <w:r>
        <w:t xml:space="preserve">Introduction reframed (R2.C4, R3.C4, R4.4)</w:t>
      </w:r>
    </w:p>
    <w:p>
      <w:pPr>
        <w:pStyle w:val="FirstParagraph"/>
      </w:pPr>
      <w:r>
        <w:t xml:space="preserve">Reviewer 4 asked for evidence of the problem beyond the fact that LLMs exist. The introduction</w:t>
      </w:r>
      <w:r>
        <w:t xml:space="preserve"> </w:t>
      </w:r>
      <w:r>
        <w:t xml:space="preserve">now opens with three of the defects this paper documents, stated concretely, before any</w:t>
      </w:r>
      <w:r>
        <w:t xml:space="preserve"> </w:t>
      </w:r>
      <w:r>
        <w:t xml:space="preserve">discussion of AI adoption. The quantitative evidence follows, and the thesis, contribution, and</w:t>
      </w:r>
      <w:r>
        <w:t xml:space="preserve"> </w:t>
      </w:r>
      <w:r>
        <w:t xml:space="preserve">threat model are stated within the first section.</w:t>
      </w:r>
    </w:p>
    <w:bookmarkEnd w:id="32"/>
    <w:bookmarkStart w:id="33" w:name="discussion-trimmed-r2.c7-r4.5-r4.6"/>
    <w:p>
      <w:pPr>
        <w:pStyle w:val="Heading3"/>
      </w:pPr>
      <w:r>
        <w:t xml:space="preserve">Discussion trimmed (R2.C7, R4.5, R4.6)</w:t>
      </w:r>
    </w:p>
    <w:p>
      <w:pPr>
        <w:pStyle w:val="FirstParagraph"/>
      </w:pPr>
      <w:r>
        <w:t xml:space="preserve">The agentic-platform paragraph is reduced from roughly 230 words to two sentences. It described</w:t>
      </w:r>
      <w:r>
        <w:t xml:space="preserve"> </w:t>
      </w:r>
      <w:r>
        <w:t xml:space="preserve">four platforms and a mapping that is not built, which is aspirational material in a paper whose</w:t>
      </w:r>
      <w:r>
        <w:t xml:space="preserve"> </w:t>
      </w:r>
      <w:r>
        <w:t xml:space="preserve">argument is what has been demonstrated. Section 5 now states the contribution as the record and</w:t>
      </w:r>
      <w:r>
        <w:t xml:space="preserve"> </w:t>
      </w:r>
      <w:r>
        <w:t xml:space="preserve">the discipline of constructing it rather than the serialization format, which is the substance of</w:t>
      </w:r>
      <w:r>
        <w:t xml:space="preserve"> </w:t>
      </w:r>
      <w:r>
        <w:t xml:space="preserve">our response to Reviewer 4’s remark about a</w:t>
      </w:r>
      <w:r>
        <w:t xml:space="preserve"> </w:t>
      </w:r>
      <w:r>
        <w:t xml:space="preserve">“homespun JSON layer”</w:t>
      </w:r>
      <w:r>
        <w:t xml:space="preserve">, and adds an explicit</w:t>
      </w:r>
      <w:r>
        <w:t xml:space="preserve"> </w:t>
      </w:r>
      <w:r>
        <w:t xml:space="preserve">limitations paragraph noting that a single self-audited case cannot separate the schema’s</w:t>
      </w:r>
      <w:r>
        <w:t xml:space="preserve"> </w:t>
      </w:r>
      <w:r>
        <w:t xml:space="preserve">contribution from the auditor’s.</w:t>
      </w:r>
    </w:p>
    <w:bookmarkEnd w:id="33"/>
    <w:bookmarkStart w:id="34" w:name="figures-regenerated-r5.11"/>
    <w:p>
      <w:pPr>
        <w:pStyle w:val="Heading3"/>
      </w:pPr>
      <w:r>
        <w:t xml:space="preserve">Figures regenerated (R5.11)</w:t>
      </w:r>
    </w:p>
    <w:p>
      <w:pPr>
        <w:pStyle w:val="FirstParagraph"/>
      </w:pPr>
      <w:r>
        <w:t xml:space="preserve">Both figures are regenerated with the overlapping text corrected.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ferences-r1.6"/>
    <w:p>
      <w:pPr>
        <w:pStyle w:val="Heading2"/>
      </w:pPr>
      <w:r>
        <w:t xml:space="preserve">References (R1.6)</w:t>
      </w:r>
    </w:p>
    <w:p>
      <w:pPr>
        <w:pStyle w:val="FirstParagraph"/>
      </w:pPr>
      <w:r>
        <w:t xml:space="preserve">References [9] Kosmos, [10] The AI Scientist, and [8] Robin are removed, following the trimming</w:t>
      </w:r>
      <w:r>
        <w:t xml:space="preserve"> </w:t>
      </w:r>
      <w:r>
        <w:t xml:space="preserve">of the agentic-platform discussion; one exemplar is retained. Three references are added: PROV-O</w:t>
      </w:r>
      <w:r>
        <w:t xml:space="preserve"> </w:t>
      </w:r>
      <w:r>
        <w:t xml:space="preserve">and RO-Crate for §3.5, and MIAME for the minimum-information-standard tradition. The total</w:t>
      </w:r>
      <w:r>
        <w:t xml:space="preserve"> </w:t>
      </w:r>
      <w:r>
        <w:t xml:space="preserve">remains at the twelve-reference limit.</w:t>
      </w:r>
    </w:p>
    <w:p>
      <w:pPr>
        <w:pStyle w:val="BodyText"/>
      </w:pPr>
      <w:r>
        <w:t xml:space="preserve">Reviewer 1 asked for references for MIAME, MIQE, and ARRIVE. The twelve-reference cap does not</w:t>
      </w:r>
      <w:r>
        <w:t xml:space="preserve"> </w:t>
      </w:r>
      <w:r>
        <w:t xml:space="preserve">accommodate all three; MIAME is cited as the exemplar and the other two are named in the text.</w:t>
      </w:r>
    </w:p>
    <w:p>
      <w:pPr>
        <w:pStyle w:val="BodyText"/>
      </w:pPr>
      <w:r>
        <w:t xml:space="preserve">DOIs have been added for every reference, as required.</w:t>
      </w:r>
    </w:p>
    <w:p>
      <w:r>
        <w:pict>
          <v:rect style="width:0;height:1.5pt" o:hralign="center" o:hrstd="t" o:hr="t"/>
        </w:pict>
      </w:r>
    </w:p>
    <w:bookmarkEnd w:id="36"/>
    <w:bookmarkStart w:id="37" w:name="word-count"/>
    <w:p>
      <w:pPr>
        <w:pStyle w:val="Heading2"/>
      </w:pPr>
      <w:r>
        <w:t xml:space="preserve">Word count</w:t>
      </w:r>
    </w:p>
    <w:p>
      <w:pPr>
        <w:pStyle w:val="FirstParagraph"/>
      </w:pPr>
      <w:r>
        <w:t xml:space="preserve">The revised manuscript is approximately</w:t>
      </w:r>
      <w:r>
        <w:t xml:space="preserve"> </w:t>
      </w:r>
      <w:hyperlink w:anchor="word-count">
        <w:r>
          <w:rPr>
            <w:rStyle w:val="Hyperlink"/>
          </w:rPr>
          <w:t xml:space="preserve">WORD COUNT</w:t>
        </w:r>
      </w:hyperlink>
      <w:r>
        <w:t xml:space="preserve"> </w:t>
      </w:r>
      <w:r>
        <w:t xml:space="preserve">words including the two tables counted as</w:t>
      </w:r>
      <w:r>
        <w:t xml:space="preserve"> </w:t>
      </w:r>
      <w:r>
        <w:t xml:space="preserve">word-equivalents, within the 6,250-word limit.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2026-09-09T01:37:30Z</dcterms:created>
  <dcterms:modified xsi:type="dcterms:W3CDTF">2026-09-09T01:37:30Z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