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cover-letter"/>
    <w:p>
      <w:pPr>
        <w:pStyle w:val="Heading1"/>
      </w:pPr>
      <w:r>
        <w:t xml:space="preserve">Cover letter</w:t>
      </w:r>
    </w:p>
    <w:p>
      <w:pPr>
        <w:pStyle w:val="FirstParagraph"/>
      </w:pPr>
      <w:r>
        <w:t xml:space="preserve">To the Editors,</w:t>
      </w:r>
      <w:r>
        <w:t xml:space="preserve"> </w:t>
      </w:r>
      <w:r>
        <w:rPr>
          <w:i/>
          <w:iCs/>
        </w:rPr>
        <w:t xml:space="preserve">Bulletin of Mathematical Biology</w:t>
      </w:r>
    </w:p>
    <w:p>
      <w:pPr>
        <w:pStyle w:val="BodyText"/>
      </w:pPr>
      <w:r>
        <w:t xml:space="preserve">Dear Editors,</w:t>
      </w:r>
    </w:p>
    <w:p>
      <w:pPr>
        <w:pStyle w:val="BodyText"/>
      </w:pPr>
      <w:r>
        <w:t xml:space="preserve">I submit</w:t>
      </w:r>
      <w:r>
        <w:t xml:space="preserve"> </w:t>
      </w:r>
      <w:r>
        <w:rPr>
          <w:b/>
          <w:bCs/>
        </w:rPr>
        <w:t xml:space="preserve">“An Exact Fold Condition for Mass-Balanced Models of Protein Quality</w:t>
      </w:r>
      <w:r>
        <w:rPr>
          <w:b/>
          <w:bCs/>
        </w:rPr>
        <w:t xml:space="preserve"> </w:t>
      </w:r>
      <w:r>
        <w:rPr>
          <w:b/>
          <w:bCs/>
        </w:rPr>
        <w:t xml:space="preserve">Control”</w:t>
      </w:r>
      <w:r>
        <w:t xml:space="preserve"> </w:t>
      </w:r>
      <w:r>
        <w:t xml:space="preserve">for consideration as a research article.</w:t>
      </w:r>
    </w:p>
    <w:p>
      <w:pPr>
        <w:pStyle w:val="BodyText"/>
      </w:pPr>
      <w:r>
        <w:t xml:space="preserve">A cell clearing misfolded protein with finite chaperone and protease pools</w:t>
      </w:r>
      <w:r>
        <w:t xml:space="preserve"> </w:t>
      </w:r>
      <w:r>
        <w:t xml:space="preserve">tolerates damage influx only up to a threshold. Where that threshold sits is</w:t>
      </w:r>
      <w:r>
        <w:t xml:space="preserve"> </w:t>
      </w:r>
      <w:r>
        <w:t xml:space="preserve">normally located by numerical continuation, one parameter set at a time. The</w:t>
      </w:r>
      <w:r>
        <w:t xml:space="preserve"> </w:t>
      </w:r>
      <w:r>
        <w:t xml:space="preserve">paper shows it is algebraic. For any clearance network in which the damage</w:t>
      </w:r>
      <w:r>
        <w:t xml:space="preserve"> </w:t>
      </w:r>
      <w:r>
        <w:t xml:space="preserve">influx is state-independent and mass balance accounts for all outflow, the</w:t>
      </w:r>
      <w:r>
        <w:t xml:space="preserve"> </w:t>
      </w:r>
      <w:r>
        <w:t xml:space="preserve">Jacobian determinant factors as</w:t>
      </w:r>
      <w:r>
        <w:t xml:space="preserve"> </w:t>
      </w:r>
      <w:r>
        <w:rPr>
          <w:rStyle w:val="VerbatimChar"/>
        </w:rPr>
        <w:t xml:space="preserve">det J = −(∇R × ∇G)</w:t>
      </w:r>
      <w:r>
        <w:t xml:space="preserve">, with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the total removal</w:t>
      </w:r>
      <w:r>
        <w:t xml:space="preserve"> </w:t>
      </w:r>
      <w:r>
        <w:t xml:space="preserve">flux and</w:t>
      </w:r>
      <w:r>
        <w:t xml:space="preserve"> </w:t>
      </w:r>
      <w:r>
        <w:rPr>
          <w:rStyle w:val="VerbatimChar"/>
        </w:rPr>
        <w:t xml:space="preserve">G</w:t>
      </w:r>
      <w:r>
        <w:t xml:space="preserve"> </w:t>
      </w:r>
      <w:r>
        <w:t xml:space="preserve">the aggregate nullcline field. A fold is therefore exactly a</w:t>
      </w:r>
      <w:r>
        <w:t xml:space="preserve"> </w:t>
      </w:r>
      <w:r>
        <w:t xml:space="preserve">constrained critical point of removal on the aggregate nullcline, with critical</w:t>
      </w:r>
      <w:r>
        <w:t xml:space="preserve"> </w:t>
      </w:r>
      <w:r>
        <w:t xml:space="preserve">influx</w:t>
      </w:r>
      <w:r>
        <w:t xml:space="preserve"> </w:t>
      </w:r>
      <w:r>
        <w:rPr>
          <w:rStyle w:val="VerbatimChar"/>
        </w:rPr>
        <w:t xml:space="preserve">j_crit = R(u*, a*)</w:t>
      </w:r>
      <w:r>
        <w:t xml:space="preserve">. The proof needs mass balance and one</w:t>
      </w:r>
      <w:r>
        <w:t xml:space="preserve"> </w:t>
      </w:r>
      <w:r>
        <w:t xml:space="preserve">determinant-preserving row operation, and nothing else; the same row operation</w:t>
      </w:r>
      <w:r>
        <w:t xml:space="preserve"> </w:t>
      </w:r>
      <w:r>
        <w:t xml:space="preserve">gives the</w:t>
      </w:r>
      <w:r>
        <w:t xml:space="preserve"> </w:t>
      </w:r>
      <w:r>
        <w:rPr>
          <w:rStyle w:val="VerbatimChar"/>
        </w:rPr>
        <w:t xml:space="preserve">n</w:t>
      </w:r>
      <w:r>
        <w:t xml:space="preserve">-state form, so a model in this class can be extended without</w:t>
      </w:r>
      <w:r>
        <w:t xml:space="preserve"> </w:t>
      </w:r>
      <w:r>
        <w:t xml:space="preserve">re-deriving its fold condition.</w:t>
      </w:r>
    </w:p>
    <w:p>
      <w:pPr>
        <w:pStyle w:val="BodyText"/>
      </w:pPr>
      <w:r>
        <w:t xml:space="preserve">Two things bound the result and are stated where the claim is made. The converse</w:t>
      </w:r>
      <w:r>
        <w:t xml:space="preserve"> </w:t>
      </w:r>
      <w:r>
        <w:t xml:space="preserve">holds under three genericity conditions — a nonvanishing constraint gradient, a</w:t>
      </w:r>
      <w:r>
        <w:t xml:space="preserve"> </w:t>
      </w:r>
      <w:r>
        <w:t xml:space="preserve">simple zero eigenvalue, and a nondegenerate second derivative of removal along</w:t>
      </w:r>
      <w:r>
        <w:t xml:space="preserve"> </w:t>
      </w:r>
      <w:r>
        <w:t xml:space="preserve">the nullcline — together with a fourth that is proved from the first rather than</w:t>
      </w:r>
      <w:r>
        <w:t xml:space="preserve"> </w:t>
      </w:r>
      <w:r>
        <w:t xml:space="preserve">assumed; the nondegeneracy condition turns out to be Sotomayor’s, up to sign,</w:t>
      </w:r>
      <w:r>
        <w:t xml:space="preserve"> </w:t>
      </w:r>
      <w:r>
        <w:t xml:space="preserve">which makes the classification a corollary rather than a separate appeal.</w:t>
      </w:r>
      <w:r>
        <w:t xml:space="preserve"> </w:t>
      </w:r>
      <w:r>
        <w:t xml:space="preserve">Second, solving the condition returns a candidate</w:t>
      </w:r>
      <w:r>
        <w:t xml:space="preserve"> </w:t>
      </w:r>
      <w:r>
        <w:rPr>
          <w:i/>
          <w:iCs/>
        </w:rPr>
        <w:t xml:space="preserve">set</w:t>
      </w:r>
      <w:r>
        <w:t xml:space="preserve">, not a candidate:</w:t>
      </w:r>
      <w:r>
        <w:t xml:space="preserve"> </w:t>
      </w:r>
      <w:r>
        <w:t xml:space="preserve">identifying which candidate terminates the accessible low-burden branch requires</w:t>
      </w:r>
      <w:r>
        <w:t xml:space="preserve"> </w:t>
      </w:r>
      <w:r>
        <w:t xml:space="preserve">branch information in 9.1% of the kinetic ensemble, and the paper reports that</w:t>
      </w:r>
      <w:r>
        <w:t xml:space="preserve"> </w:t>
      </w:r>
      <w:r>
        <w:t xml:space="preserve">rather than treating solver convergence as identification.</w:t>
      </w:r>
    </w:p>
    <w:p>
      <w:pPr>
        <w:pStyle w:val="BodyText"/>
      </w:pPr>
      <w:r>
        <w:t xml:space="preserve">Beyond the identity, the paper establishes that it survives growth dilution and</w:t>
      </w:r>
      <w:r>
        <w:t xml:space="preserve"> </w:t>
      </w:r>
      <w:r>
        <w:t xml:space="preserve">clearance machinery damaged by the influx it clears; quantifies how far below</w:t>
      </w:r>
      <w:r>
        <w:t xml:space="preserve"> </w:t>
      </w:r>
      <w:r>
        <w:t xml:space="preserve">the capacity ceiling the fold sits, with the closure-dependence of that factor</w:t>
      </w:r>
      <w:r>
        <w:t xml:space="preserve"> </w:t>
      </w:r>
      <w:r>
        <w:t xml:space="preserve">carried at the claim; and classifies the bifurcation structure preceding the</w:t>
      </w:r>
      <w:r>
        <w:t xml:space="preserve"> </w:t>
      </w:r>
      <w:r>
        <w:t xml:space="preserve">fold, including a set of networks that lose stability and regain it under</w:t>
      </w:r>
      <w:r>
        <w:t xml:space="preserve"> </w:t>
      </w:r>
      <w:r>
        <w:t xml:space="preserve">monotone loading, with the interior of that band integrated rather than</w:t>
      </w:r>
      <w:r>
        <w:t xml:space="preserve"> </w:t>
      </w:r>
      <w:r>
        <w:t xml:space="preserve">interpolated. Three codimension-two boundaries are located, each approached by a</w:t>
      </w:r>
      <w:r>
        <w:t xml:space="preserve"> </w:t>
      </w:r>
      <w:r>
        <w:t xml:space="preserve">different network.</w:t>
      </w:r>
    </w:p>
    <w:p>
      <w:pPr>
        <w:pStyle w:val="BodyText"/>
      </w:pPr>
      <w:r>
        <w:t xml:space="preserve">The work is theoretical and computational; no new experimental data were</w:t>
      </w:r>
      <w:r>
        <w:t xml:space="preserve"> </w:t>
      </w:r>
      <w:r>
        <w:t xml:space="preserve">generated. All code, configurations, and the test suite asserting every reported</w:t>
      </w:r>
      <w:r>
        <w:t xml:space="preserve"> </w:t>
      </w:r>
      <w:r>
        <w:t xml:space="preserve">quantity are public under the MIT licence and archived on Zenodo</w:t>
      </w:r>
      <w:r>
        <w:t xml:space="preserve"> </w:t>
      </w:r>
      <w:r>
        <w:t xml:space="preserve">(doi:10.5281/zenodo.21794565). One limitation of the deposit — the generating</w:t>
      </w:r>
      <w:r>
        <w:t xml:space="preserve"> </w:t>
      </w:r>
      <w:r>
        <w:t xml:space="preserve">run’s working tree was uncommitted at launch — is stated in the availability</w:t>
      </w:r>
      <w:r>
        <w:t xml:space="preserve"> </w:t>
      </w:r>
      <w:r>
        <w:t xml:space="preserve">section together with its scope.</w:t>
      </w:r>
    </w:p>
    <w:p>
      <w:pPr>
        <w:pStyle w:val="BodyText"/>
      </w:pPr>
      <w:r>
        <w:t xml:space="preserve">The manuscript is not under consideration elsewhere, and a preprint is deposited</w:t>
      </w:r>
      <w:r>
        <w:t xml:space="preserve"> </w:t>
      </w:r>
      <w:r>
        <w:t xml:space="preserve">on bioRxiv. I declare no competing interests.</w:t>
      </w:r>
    </w:p>
    <w:p>
      <w:pPr>
        <w:pStyle w:val="BodyText"/>
      </w:pPr>
      <w:r>
        <w:t xml:space="preserve">Yours sincerely,</w:t>
      </w:r>
    </w:p>
    <w:p>
      <w:pPr>
        <w:pStyle w:val="BodyText"/>
      </w:pPr>
      <w:r>
        <w:t xml:space="preserve">Kiran Boggavarapu</w:t>
      </w:r>
      <w:r>
        <w:br/>
      </w:r>
      <w:r>
        <w:t xml:space="preserve">ORCID 0000-0003-0751-6459</w:t>
      </w:r>
      <w:r>
        <w:br/>
      </w:r>
      <w:r>
        <w:t xml:space="preserve">Department of Chemistry and Physics, McNeese State University</w:t>
      </w:r>
      <w:r>
        <w:br/>
      </w:r>
      <w:r>
        <w:t xml:space="preserve">Lake Charles, LA 70609, USA</w:t>
      </w:r>
      <w:r>
        <w:br/>
      </w:r>
      <w:r>
        <w:t xml:space="preserve">kiran@mcneese.edu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2026-08-08T00:29:13Z</dcterms:created>
  <dcterms:modified xsi:type="dcterms:W3CDTF">2026-08-08T00:29:13Z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