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Boggavarapu Kiran, PhD</w:t>
      </w:r>
      <w:r>
        <w:br/>
      </w:r>
      <w:r>
        <w:t xml:space="preserve">Department of Chemistry and Physics</w:t>
      </w:r>
      <w:r>
        <w:br/>
      </w:r>
      <w:r>
        <w:t xml:space="preserve">McNeese State University</w:t>
      </w:r>
      <w:r>
        <w:br/>
      </w:r>
      <w:r>
        <w:t xml:space="preserve">Lake Charles, LA 70609, USA</w:t>
      </w:r>
      <w:r>
        <w:br/>
      </w:r>
      <w:r>
        <w:t xml:space="preserve">kiran@mcneese.edu</w:t>
      </w:r>
    </w:p>
    <w:p>
      <w:pPr>
        <w:pStyle w:val="BodyText"/>
      </w:pPr>
      <w:r>
        <w:t xml:space="preserve">11 July 2026</w:t>
      </w:r>
    </w:p>
    <w:p>
      <w:pPr>
        <w:pStyle w:val="BodyText"/>
      </w:pPr>
      <w:r>
        <w:t xml:space="preserve">The Editors</w:t>
      </w:r>
      <w:r>
        <w:br/>
      </w:r>
      <w:r>
        <w:rPr>
          <w:iCs/>
          <w:i/>
        </w:rPr>
        <w:t xml:space="preserve">Journal of Molecular Evolution</w:t>
      </w:r>
    </w:p>
    <w:p>
      <w:pPr>
        <w:pStyle w:val="BodyText"/>
      </w:pPr>
      <w:r>
        <w:t xml:space="preserve">Dear Editors,</w:t>
      </w:r>
    </w:p>
    <w:p>
      <w:pPr>
        <w:pStyle w:val="BodyText"/>
      </w:pPr>
      <w:r>
        <w:t xml:space="preserve">We submit</w:t>
      </w:r>
      <w:r>
        <w:t xml:space="preserve"> </w:t>
      </w:r>
      <w:r>
        <w:t xml:space="preserve">“</w:t>
      </w:r>
      <w:r>
        <w:t xml:space="preserve">Triplet architecture enables deep error-minimization of the genetic code</w:t>
      </w:r>
      <w:r>
        <w:t xml:space="preserve">”</w:t>
      </w:r>
      <w:r>
        <w:t xml:space="preserve"> </w:t>
      </w:r>
      <w:r>
        <w:t xml:space="preserve">for consideration as an Original Article in the</w:t>
      </w:r>
      <w:r>
        <w:t xml:space="preserve"> </w:t>
      </w:r>
      <w:r>
        <w:rPr>
          <w:iCs/>
          <w:i/>
        </w:rPr>
        <w:t xml:space="preserve">Journal of Molecular Evolution</w:t>
      </w:r>
      <w:r>
        <w:t xml:space="preserve">.</w:t>
      </w:r>
    </w:p>
    <w:p>
      <w:pPr>
        <w:pStyle w:val="BodyText"/>
      </w:pPr>
      <w:r>
        <w:t xml:space="preserve">The manuscript extends a line of work this journal established. Haig and Hurst (1991,</w:t>
      </w:r>
      <w:r>
        <w:t xml:space="preserve"> </w:t>
      </w:r>
      <w:r>
        <w:rPr>
          <w:iCs/>
          <w:i/>
        </w:rPr>
        <w:t xml:space="preserve">J Mol Evol</w:t>
      </w:r>
      <w:r>
        <w:t xml:space="preserve"> </w:t>
      </w:r>
      <w:r>
        <w:t xml:space="preserve">33:412–417) introduced the Monte Carlo randomization test for error minimization in the standard genetic code; Freeland and Hurst (1998,</w:t>
      </w:r>
      <w:r>
        <w:t xml:space="preserve"> </w:t>
      </w:r>
      <w:r>
        <w:rPr>
          <w:iCs/>
          <w:i/>
        </w:rPr>
        <w:t xml:space="preserve">J Mol Evol</w:t>
      </w:r>
      <w:r>
        <w:t xml:space="preserve"> </w:t>
      </w:r>
      <w:r>
        <w:t xml:space="preserve">47:238–248) used it to estimate that the code outperforms roughly 99.99% of random alternatives; Archetti (2004,</w:t>
      </w:r>
      <w:r>
        <w:t xml:space="preserve"> </w:t>
      </w:r>
      <w:r>
        <w:rPr>
          <w:iCs/>
          <w:i/>
        </w:rPr>
        <w:t xml:space="preserve">J Mol Evol</w:t>
      </w:r>
      <w:r>
        <w:t xml:space="preserve"> </w:t>
      </w:r>
      <w:r>
        <w:t xml:space="preserve">59:258–266) probed the sensitivity of that estimate to codon usage and property choice. Every analysis in this tradition, however, has been conducted at a single codon length. As a result, the field has been unable to separate optimization that arises from the assignment of amino acids to codons from optimization made possible by the triplet architecture itself.</w:t>
      </w:r>
    </w:p>
    <w:p>
      <w:pPr>
        <w:pStyle w:val="BodyText"/>
      </w:pPr>
      <w:r>
        <w:t xml:space="preserve">We separate them. Scoring the codon Hamming graph with two metrics adopted from Tlusty’s information-theoretic framework (Dirichlet energy and rate-distortion noise distortion) against an eight-dimensional PCA compression of twenty physicochemical descriptors, we find the standard code lies outside all 10^6 degeneracy-matched random codes on both metrics (p &lt; 10^-6), strengthening the Freeland–Hurst estimate by approximately two orders of magnitude. The PCA compression removes the property-selection degree of freedom that Koonin and Novozhilov (2009) identified as a persistent ambiguity in this literature.</w:t>
      </w:r>
    </w:p>
    <w:p>
      <w:pPr>
        <w:pStyle w:val="BodyText"/>
      </w:pPr>
      <w:r>
        <w:t xml:space="preserve">The principal result is a threshold effect, obtained from a 2 x 2 factorial design crossing codon length with alphabet size. A ten-amino-acid doublet projection of the standard code reaches only z = -3.8, with the best random doublet in a million trials at z = -4.0: indistinguishable from a well-sampled random code. A ten-amino-acid triplet code with the same degeneracy reaches z = -14.8, beyond the reach of 10^6 random permutations. Triplet architecture therefore crosses an optimization threshold that doublet architecture cannot, independent of alphabet size. The mechanism is synonymy at the wobble position: position 3 absorbs 69-77% of single-nucleotide errors as silent substitutions, a geometric degree of freedom doublet codes structurally cannot supply. This reframes the standard arithmetic explanation for triplet codon length (16 doublet codons cannot name 20 amino acids) by identifying a second, structural constraint operating alongside it.</w:t>
      </w:r>
    </w:p>
    <w:p>
      <w:pPr>
        <w:pStyle w:val="BodyText"/>
      </w:pPr>
      <w:r>
        <w:t xml:space="preserve">We have anticipated the principal methodological objections in the Materials and Methods. The metrics are specializations of constructions introduced by Tlusty (2007, 2008, 2010) and applied by Radvanyi and Kun (2021), and we say so explicitly rather than claiming them as novel; our contribution is the empirical null, the factorial design, and the PCA compression. We report sensitivity analyses showing the conclusion survives substitution of the squared graph Laplacian for the standard Dirichlet energy, and that a Boltzmann-weighted noise model with wobble softening strengthens rather than weakens the result.</w:t>
      </w:r>
    </w:p>
    <w:p>
      <w:pPr>
        <w:pStyle w:val="BodyText"/>
      </w:pPr>
      <w:r>
        <w:t xml:space="preserve">This manuscript is not under consideration elsewhere and has not been previously published. All authors have approved the submission and declare no competing interests. Analysis code and all computed null distributions are deposited with the manuscript.</w:t>
      </w:r>
    </w:p>
    <w:p>
      <w:pPr>
        <w:pStyle w:val="BodyText"/>
      </w:pPr>
      <w:r>
        <w:t xml:space="preserve">We thank you for your consideration.</w:t>
      </w:r>
    </w:p>
    <w:p>
      <w:pPr>
        <w:pStyle w:val="BodyText"/>
      </w:pPr>
      <w:r>
        <w:t xml:space="preserve">Sincerely,</w:t>
      </w:r>
    </w:p>
    <w:p>
      <w:pPr>
        <w:pStyle w:val="BodyText"/>
      </w:pPr>
      <w:r>
        <w:t xml:space="preserve">Boggavarapu Kiran</w:t>
      </w:r>
      <w:r>
        <w:br/>
      </w:r>
      <w:r>
        <w:rPr>
          <w:iCs/>
          <w:i/>
        </w:rPr>
        <w:t xml:space="preserve">Corresponding author, on behalf of</w:t>
      </w:r>
      <w:r>
        <w:t xml:space="preserve"> </w:t>
      </w:r>
      <w:r>
        <w:t xml:space="preserve">Hannah E. Rebbeck, J. Paudyal, and Boggavarapu Kiran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2026-07-12T00:36:11Z</dcterms:created>
  <dcterms:modified xsi:type="dcterms:W3CDTF">2026-07-12T00:36:11Z</dcterms:modified>
</cp:coreProperties>
</file>

<file path=docProps/custom.xml><?xml version="1.0" encoding="utf-8"?>
<Properties xmlns="http://schemas.openxmlformats.org/officeDocument/2006/custom-properties" xmlns:vt="http://schemas.openxmlformats.org/officeDocument/2006/docPropsVTypes"/>
</file>