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3B6C" w:rsidRDefault="008C3B6C">
      <w:pPr>
        <w:spacing w:after="2400"/>
      </w:pPr>
    </w:p>
    <w:p w:rsidR="008C3B6C" w:rsidRDefault="005C586C">
      <w:pPr>
        <w:spacing w:after="120"/>
        <w:jc w:val="center"/>
      </w:pPr>
      <w:r>
        <w:rPr>
          <w:rFonts w:ascii="Calibri" w:eastAsia="Calibri" w:hAnsi="Calibri" w:cs="Calibri"/>
          <w:b/>
          <w:bCs/>
          <w:caps/>
          <w:color w:val="2E5BFF"/>
          <w:sz w:val="24"/>
          <w:szCs w:val="24"/>
        </w:rPr>
        <w:t>DIGITAL LENDING PLATFORM</w:t>
      </w:r>
    </w:p>
    <w:p w:rsidR="008C3B6C" w:rsidRDefault="005C586C">
      <w:pPr>
        <w:spacing w:after="200"/>
        <w:jc w:val="center"/>
      </w:pPr>
      <w:r>
        <w:rPr>
          <w:rFonts w:ascii="Calibri" w:eastAsia="Calibri" w:hAnsi="Calibri" w:cs="Calibri"/>
          <w:b/>
          <w:bCs/>
          <w:color w:val="1A2332"/>
          <w:sz w:val="56"/>
          <w:szCs w:val="56"/>
        </w:rPr>
        <w:t>AI Credit Scoring &amp; Decisioning System</w:t>
      </w:r>
    </w:p>
    <w:p w:rsidR="008C3B6C" w:rsidRDefault="005C586C">
      <w:pPr>
        <w:spacing w:after="2000"/>
        <w:jc w:val="center"/>
      </w:pPr>
      <w:r>
        <w:rPr>
          <w:rFonts w:ascii="Calibri" w:eastAsia="Calibri" w:hAnsi="Calibri" w:cs="Calibri"/>
          <w:color w:val="44546A"/>
          <w:sz w:val="26"/>
          <w:szCs w:val="26"/>
        </w:rPr>
        <w:t>System Design Specification — Data Elements, Scoring Models, Algorithms &amp; Architecture</w:t>
      </w:r>
    </w:p>
    <w:p w:rsidR="008C3B6C" w:rsidRDefault="005C586C">
      <w:pPr>
        <w:spacing w:after="80"/>
        <w:jc w:val="center"/>
      </w:pPr>
      <w:r>
        <w:rPr>
          <w:rFonts w:ascii="Calibri" w:eastAsia="Calibri" w:hAnsi="Calibri" w:cs="Calibri"/>
          <w:color w:val="44546A"/>
        </w:rPr>
        <w:t>Version 1.0  ·  July 2026</w:t>
      </w:r>
    </w:p>
    <w:p w:rsidR="008C3B6C" w:rsidRDefault="005C586C">
      <w:pPr>
        <w:jc w:val="center"/>
      </w:pPr>
      <w:r>
        <w:rPr>
          <w:rFonts w:ascii="Calibri" w:eastAsia="Calibri" w:hAnsi="Calibri" w:cs="Calibri"/>
          <w:i/>
          <w:iCs/>
          <w:color w:val="8A93A3"/>
          <w:sz w:val="18"/>
          <w:szCs w:val="18"/>
        </w:rPr>
        <w:t>Confidential — Internal Design Document</w:t>
      </w:r>
    </w:p>
    <w:p w:rsidR="008C3B6C" w:rsidRDefault="005C586C">
      <w:r>
        <w:br w:type="page"/>
      </w:r>
    </w:p>
    <w:p w:rsidR="008C3B6C" w:rsidRDefault="005C586C">
      <w:pPr>
        <w:pStyle w:val="Heading1"/>
        <w:spacing w:before="360" w:after="200"/>
      </w:pPr>
      <w:bookmarkStart w:id="0" w:name="_Toc235175921"/>
      <w:r>
        <w:rPr>
          <w:rFonts w:ascii="Calibri" w:eastAsia="Calibri" w:hAnsi="Calibri" w:cs="Calibri"/>
          <w:b/>
          <w:bCs/>
          <w:color w:val="1A2332"/>
        </w:rPr>
        <w:lastRenderedPageBreak/>
        <w:t>Contents</w:t>
      </w:r>
      <w:bookmarkEnd w:id="0"/>
    </w:p>
    <w:sdt>
      <w:sdtPr>
        <w:alias w:val="Table of Contents"/>
        <w:id w:val="1475258312"/>
      </w:sdtPr>
      <w:sdtEndPr/>
      <w:sdtContent>
        <w:p w:rsidR="003E4BC4" w:rsidRDefault="005C586C">
          <w:pPr>
            <w:pStyle w:val="TOC1"/>
            <w:tabs>
              <w:tab w:val="right" w:leader="dot" w:pos="9710"/>
            </w:tabs>
            <w:rPr>
              <w:noProof/>
            </w:rPr>
          </w:pPr>
          <w:r>
            <w:fldChar w:fldCharType="begin"/>
          </w:r>
          <w:r>
            <w:instrText>TOC \h \o "1-2"</w:instrText>
          </w:r>
          <w:r>
            <w:fldChar w:fldCharType="separate"/>
          </w:r>
          <w:hyperlink w:anchor="_Toc235175921" w:history="1">
            <w:r w:rsidR="003E4BC4" w:rsidRPr="00F155B8">
              <w:rPr>
                <w:rStyle w:val="Hyperlink"/>
                <w:rFonts w:ascii="Calibri" w:eastAsia="Calibri" w:hAnsi="Calibri" w:cs="Calibri"/>
                <w:b/>
                <w:bCs/>
                <w:noProof/>
              </w:rPr>
              <w:t>Contents</w:t>
            </w:r>
            <w:r w:rsidR="003E4BC4">
              <w:rPr>
                <w:noProof/>
              </w:rPr>
              <w:tab/>
            </w:r>
            <w:r w:rsidR="003E4BC4">
              <w:rPr>
                <w:noProof/>
              </w:rPr>
              <w:fldChar w:fldCharType="begin"/>
            </w:r>
            <w:r w:rsidR="003E4BC4">
              <w:rPr>
                <w:noProof/>
              </w:rPr>
              <w:instrText xml:space="preserve"> PAGEREF _Toc235175921 \h </w:instrText>
            </w:r>
            <w:r w:rsidR="003E4BC4">
              <w:rPr>
                <w:noProof/>
              </w:rPr>
            </w:r>
            <w:r w:rsidR="003E4BC4">
              <w:rPr>
                <w:noProof/>
              </w:rPr>
              <w:fldChar w:fldCharType="separate"/>
            </w:r>
            <w:r w:rsidR="003E4BC4">
              <w:rPr>
                <w:noProof/>
              </w:rPr>
              <w:t>2</w:t>
            </w:r>
            <w:r w:rsidR="003E4BC4">
              <w:rPr>
                <w:noProof/>
              </w:rPr>
              <w:fldChar w:fldCharType="end"/>
            </w:r>
          </w:hyperlink>
        </w:p>
        <w:p w:rsidR="003E4BC4" w:rsidRDefault="003E4BC4">
          <w:pPr>
            <w:pStyle w:val="TOC1"/>
            <w:tabs>
              <w:tab w:val="right" w:leader="dot" w:pos="9710"/>
            </w:tabs>
            <w:rPr>
              <w:noProof/>
            </w:rPr>
          </w:pPr>
          <w:hyperlink w:anchor="_Toc235175922" w:history="1">
            <w:r w:rsidRPr="00F155B8">
              <w:rPr>
                <w:rStyle w:val="Hyperlink"/>
                <w:rFonts w:ascii="Calibri" w:eastAsia="Calibri" w:hAnsi="Calibri" w:cs="Calibri"/>
                <w:b/>
                <w:bCs/>
                <w:noProof/>
              </w:rPr>
              <w:t>1. Executive Summary</w:t>
            </w:r>
            <w:r>
              <w:rPr>
                <w:noProof/>
              </w:rPr>
              <w:tab/>
            </w:r>
            <w:r>
              <w:rPr>
                <w:noProof/>
              </w:rPr>
              <w:fldChar w:fldCharType="begin"/>
            </w:r>
            <w:r>
              <w:rPr>
                <w:noProof/>
              </w:rPr>
              <w:instrText xml:space="preserve"> PAGEREF _Toc235175922 \h </w:instrText>
            </w:r>
            <w:r>
              <w:rPr>
                <w:noProof/>
              </w:rPr>
            </w:r>
            <w:r>
              <w:rPr>
                <w:noProof/>
              </w:rPr>
              <w:fldChar w:fldCharType="separate"/>
            </w:r>
            <w:r>
              <w:rPr>
                <w:noProof/>
              </w:rPr>
              <w:t>3</w:t>
            </w:r>
            <w:r>
              <w:rPr>
                <w:noProof/>
              </w:rPr>
              <w:fldChar w:fldCharType="end"/>
            </w:r>
          </w:hyperlink>
        </w:p>
        <w:p w:rsidR="003E4BC4" w:rsidRDefault="003E4BC4">
          <w:pPr>
            <w:pStyle w:val="TOC1"/>
            <w:tabs>
              <w:tab w:val="right" w:leader="dot" w:pos="9710"/>
            </w:tabs>
            <w:rPr>
              <w:noProof/>
            </w:rPr>
          </w:pPr>
          <w:hyperlink w:anchor="_Toc235175923" w:history="1">
            <w:r w:rsidRPr="00F155B8">
              <w:rPr>
                <w:rStyle w:val="Hyperlink"/>
                <w:rFonts w:ascii="Calibri" w:eastAsia="Calibri" w:hAnsi="Calibri" w:cs="Calibri"/>
                <w:b/>
                <w:bCs/>
                <w:noProof/>
              </w:rPr>
              <w:t>2. Design Philosophy: Ask Little, Learn Much</w:t>
            </w:r>
            <w:r>
              <w:rPr>
                <w:noProof/>
              </w:rPr>
              <w:tab/>
            </w:r>
            <w:r>
              <w:rPr>
                <w:noProof/>
              </w:rPr>
              <w:fldChar w:fldCharType="begin"/>
            </w:r>
            <w:r>
              <w:rPr>
                <w:noProof/>
              </w:rPr>
              <w:instrText xml:space="preserve"> PAGEREF _Toc235175923 \h </w:instrText>
            </w:r>
            <w:r>
              <w:rPr>
                <w:noProof/>
              </w:rPr>
            </w:r>
            <w:r>
              <w:rPr>
                <w:noProof/>
              </w:rPr>
              <w:fldChar w:fldCharType="separate"/>
            </w:r>
            <w:r>
              <w:rPr>
                <w:noProof/>
              </w:rPr>
              <w:t>4</w:t>
            </w:r>
            <w:r>
              <w:rPr>
                <w:noProof/>
              </w:rPr>
              <w:fldChar w:fldCharType="end"/>
            </w:r>
          </w:hyperlink>
        </w:p>
        <w:p w:rsidR="003E4BC4" w:rsidRDefault="003E4BC4">
          <w:pPr>
            <w:pStyle w:val="TOC1"/>
            <w:tabs>
              <w:tab w:val="right" w:leader="dot" w:pos="9710"/>
            </w:tabs>
            <w:rPr>
              <w:noProof/>
            </w:rPr>
          </w:pPr>
          <w:hyperlink w:anchor="_Toc235175924" w:history="1">
            <w:r w:rsidRPr="00F155B8">
              <w:rPr>
                <w:rStyle w:val="Hyperlink"/>
                <w:rFonts w:ascii="Calibri" w:eastAsia="Calibri" w:hAnsi="Calibri" w:cs="Calibri"/>
                <w:b/>
                <w:bCs/>
                <w:noProof/>
              </w:rPr>
              <w:t>3. Applicant Journey &amp; UX Design</w:t>
            </w:r>
            <w:r>
              <w:rPr>
                <w:noProof/>
              </w:rPr>
              <w:tab/>
            </w:r>
            <w:r>
              <w:rPr>
                <w:noProof/>
              </w:rPr>
              <w:fldChar w:fldCharType="begin"/>
            </w:r>
            <w:r>
              <w:rPr>
                <w:noProof/>
              </w:rPr>
              <w:instrText xml:space="preserve"> PAGEREF _Toc235175924 \h </w:instrText>
            </w:r>
            <w:r>
              <w:rPr>
                <w:noProof/>
              </w:rPr>
            </w:r>
            <w:r>
              <w:rPr>
                <w:noProof/>
              </w:rPr>
              <w:fldChar w:fldCharType="separate"/>
            </w:r>
            <w:r>
              <w:rPr>
                <w:noProof/>
              </w:rPr>
              <w:t>5</w:t>
            </w:r>
            <w:r>
              <w:rPr>
                <w:noProof/>
              </w:rPr>
              <w:fldChar w:fldCharType="end"/>
            </w:r>
          </w:hyperlink>
        </w:p>
        <w:p w:rsidR="003E4BC4" w:rsidRDefault="003E4BC4">
          <w:pPr>
            <w:pStyle w:val="TOC2"/>
            <w:tabs>
              <w:tab w:val="right" w:leader="dot" w:pos="9710"/>
            </w:tabs>
            <w:rPr>
              <w:noProof/>
            </w:rPr>
          </w:pPr>
          <w:hyperlink w:anchor="_Toc235175925" w:history="1">
            <w:r w:rsidRPr="00F155B8">
              <w:rPr>
                <w:rStyle w:val="Hyperlink"/>
                <w:rFonts w:ascii="Calibri" w:eastAsia="Calibri" w:hAnsi="Calibri" w:cs="Calibri"/>
                <w:b/>
                <w:bCs/>
                <w:noProof/>
              </w:rPr>
              <w:t>3.1 The five-screen flow</w:t>
            </w:r>
            <w:r>
              <w:rPr>
                <w:noProof/>
              </w:rPr>
              <w:tab/>
            </w:r>
            <w:r>
              <w:rPr>
                <w:noProof/>
              </w:rPr>
              <w:fldChar w:fldCharType="begin"/>
            </w:r>
            <w:r>
              <w:rPr>
                <w:noProof/>
              </w:rPr>
              <w:instrText xml:space="preserve"> PAGEREF _Toc235175925 \h </w:instrText>
            </w:r>
            <w:r>
              <w:rPr>
                <w:noProof/>
              </w:rPr>
            </w:r>
            <w:r>
              <w:rPr>
                <w:noProof/>
              </w:rPr>
              <w:fldChar w:fldCharType="separate"/>
            </w:r>
            <w:r>
              <w:rPr>
                <w:noProof/>
              </w:rPr>
              <w:t>5</w:t>
            </w:r>
            <w:r>
              <w:rPr>
                <w:noProof/>
              </w:rPr>
              <w:fldChar w:fldCharType="end"/>
            </w:r>
          </w:hyperlink>
        </w:p>
        <w:p w:rsidR="003E4BC4" w:rsidRDefault="003E4BC4">
          <w:pPr>
            <w:pStyle w:val="TOC2"/>
            <w:tabs>
              <w:tab w:val="right" w:leader="dot" w:pos="9710"/>
            </w:tabs>
            <w:rPr>
              <w:noProof/>
            </w:rPr>
          </w:pPr>
          <w:hyperlink w:anchor="_Toc235175926" w:history="1">
            <w:r w:rsidRPr="00F155B8">
              <w:rPr>
                <w:rStyle w:val="Hyperlink"/>
                <w:rFonts w:ascii="Calibri" w:eastAsia="Calibri" w:hAnsi="Calibri" w:cs="Calibri"/>
                <w:b/>
                <w:bCs/>
                <w:noProof/>
              </w:rPr>
              <w:t>3.2 UX principles</w:t>
            </w:r>
            <w:r>
              <w:rPr>
                <w:noProof/>
              </w:rPr>
              <w:tab/>
            </w:r>
            <w:r>
              <w:rPr>
                <w:noProof/>
              </w:rPr>
              <w:fldChar w:fldCharType="begin"/>
            </w:r>
            <w:r>
              <w:rPr>
                <w:noProof/>
              </w:rPr>
              <w:instrText xml:space="preserve"> PAGEREF _Toc235175926 \h </w:instrText>
            </w:r>
            <w:r>
              <w:rPr>
                <w:noProof/>
              </w:rPr>
            </w:r>
            <w:r>
              <w:rPr>
                <w:noProof/>
              </w:rPr>
              <w:fldChar w:fldCharType="separate"/>
            </w:r>
            <w:r>
              <w:rPr>
                <w:noProof/>
              </w:rPr>
              <w:t>5</w:t>
            </w:r>
            <w:r>
              <w:rPr>
                <w:noProof/>
              </w:rPr>
              <w:fldChar w:fldCharType="end"/>
            </w:r>
          </w:hyperlink>
        </w:p>
        <w:p w:rsidR="003E4BC4" w:rsidRDefault="003E4BC4">
          <w:pPr>
            <w:pStyle w:val="TOC1"/>
            <w:tabs>
              <w:tab w:val="right" w:leader="dot" w:pos="9710"/>
            </w:tabs>
            <w:rPr>
              <w:noProof/>
            </w:rPr>
          </w:pPr>
          <w:hyperlink w:anchor="_Toc235175927" w:history="1">
            <w:r w:rsidRPr="00F155B8">
              <w:rPr>
                <w:rStyle w:val="Hyperlink"/>
                <w:rFonts w:ascii="Calibri" w:eastAsia="Calibri" w:hAnsi="Calibri" w:cs="Calibri"/>
                <w:b/>
                <w:bCs/>
                <w:noProof/>
              </w:rPr>
              <w:t>4. Data Architecture: Sources &amp; Scorable Elements</w:t>
            </w:r>
            <w:r>
              <w:rPr>
                <w:noProof/>
              </w:rPr>
              <w:tab/>
            </w:r>
            <w:r>
              <w:rPr>
                <w:noProof/>
              </w:rPr>
              <w:fldChar w:fldCharType="begin"/>
            </w:r>
            <w:r>
              <w:rPr>
                <w:noProof/>
              </w:rPr>
              <w:instrText xml:space="preserve"> PAGEREF _Toc235175927 \h </w:instrText>
            </w:r>
            <w:r>
              <w:rPr>
                <w:noProof/>
              </w:rPr>
            </w:r>
            <w:r>
              <w:rPr>
                <w:noProof/>
              </w:rPr>
              <w:fldChar w:fldCharType="separate"/>
            </w:r>
            <w:r>
              <w:rPr>
                <w:noProof/>
              </w:rPr>
              <w:t>6</w:t>
            </w:r>
            <w:r>
              <w:rPr>
                <w:noProof/>
              </w:rPr>
              <w:fldChar w:fldCharType="end"/>
            </w:r>
          </w:hyperlink>
        </w:p>
        <w:p w:rsidR="003E4BC4" w:rsidRDefault="003E4BC4">
          <w:pPr>
            <w:pStyle w:val="TOC2"/>
            <w:tabs>
              <w:tab w:val="right" w:leader="dot" w:pos="9710"/>
            </w:tabs>
            <w:rPr>
              <w:noProof/>
            </w:rPr>
          </w:pPr>
          <w:hyperlink w:anchor="_Toc235175928" w:history="1">
            <w:r w:rsidRPr="00F155B8">
              <w:rPr>
                <w:rStyle w:val="Hyperlink"/>
                <w:rFonts w:ascii="Calibri" w:eastAsia="Calibri" w:hAnsi="Calibri" w:cs="Calibri"/>
                <w:b/>
                <w:bCs/>
                <w:noProof/>
              </w:rPr>
              <w:t>4.1 Master data taxonomy</w:t>
            </w:r>
            <w:r>
              <w:rPr>
                <w:noProof/>
              </w:rPr>
              <w:tab/>
            </w:r>
            <w:r>
              <w:rPr>
                <w:noProof/>
              </w:rPr>
              <w:fldChar w:fldCharType="begin"/>
            </w:r>
            <w:r>
              <w:rPr>
                <w:noProof/>
              </w:rPr>
              <w:instrText xml:space="preserve"> PAGEREF _Toc235175928 \h </w:instrText>
            </w:r>
            <w:r>
              <w:rPr>
                <w:noProof/>
              </w:rPr>
            </w:r>
            <w:r>
              <w:rPr>
                <w:noProof/>
              </w:rPr>
              <w:fldChar w:fldCharType="separate"/>
            </w:r>
            <w:r>
              <w:rPr>
                <w:noProof/>
              </w:rPr>
              <w:t>6</w:t>
            </w:r>
            <w:r>
              <w:rPr>
                <w:noProof/>
              </w:rPr>
              <w:fldChar w:fldCharType="end"/>
            </w:r>
          </w:hyperlink>
        </w:p>
        <w:p w:rsidR="003E4BC4" w:rsidRDefault="003E4BC4">
          <w:pPr>
            <w:pStyle w:val="TOC1"/>
            <w:tabs>
              <w:tab w:val="right" w:leader="dot" w:pos="9710"/>
            </w:tabs>
            <w:rPr>
              <w:noProof/>
            </w:rPr>
          </w:pPr>
          <w:hyperlink w:anchor="_Toc235175929" w:history="1">
            <w:r w:rsidRPr="00F155B8">
              <w:rPr>
                <w:rStyle w:val="Hyperlink"/>
                <w:rFonts w:ascii="Calibri" w:eastAsia="Calibri" w:hAnsi="Calibri" w:cs="Calibri"/>
                <w:b/>
                <w:bCs/>
                <w:noProof/>
              </w:rPr>
              <w:t>5. Feature Engineering Framework</w:t>
            </w:r>
            <w:r>
              <w:rPr>
                <w:noProof/>
              </w:rPr>
              <w:tab/>
            </w:r>
            <w:r>
              <w:rPr>
                <w:noProof/>
              </w:rPr>
              <w:fldChar w:fldCharType="begin"/>
            </w:r>
            <w:r>
              <w:rPr>
                <w:noProof/>
              </w:rPr>
              <w:instrText xml:space="preserve"> PAGEREF _Toc235175929 \h </w:instrText>
            </w:r>
            <w:r>
              <w:rPr>
                <w:noProof/>
              </w:rPr>
            </w:r>
            <w:r>
              <w:rPr>
                <w:noProof/>
              </w:rPr>
              <w:fldChar w:fldCharType="separate"/>
            </w:r>
            <w:r>
              <w:rPr>
                <w:noProof/>
              </w:rPr>
              <w:t>8</w:t>
            </w:r>
            <w:r>
              <w:rPr>
                <w:noProof/>
              </w:rPr>
              <w:fldChar w:fldCharType="end"/>
            </w:r>
          </w:hyperlink>
        </w:p>
        <w:p w:rsidR="003E4BC4" w:rsidRDefault="003E4BC4">
          <w:pPr>
            <w:pStyle w:val="TOC2"/>
            <w:tabs>
              <w:tab w:val="right" w:leader="dot" w:pos="9710"/>
            </w:tabs>
            <w:rPr>
              <w:noProof/>
            </w:rPr>
          </w:pPr>
          <w:hyperlink w:anchor="_Toc235175930" w:history="1">
            <w:r w:rsidRPr="00F155B8">
              <w:rPr>
                <w:rStyle w:val="Hyperlink"/>
                <w:rFonts w:ascii="Calibri" w:eastAsia="Calibri" w:hAnsi="Calibri" w:cs="Calibri"/>
                <w:b/>
                <w:bCs/>
                <w:noProof/>
              </w:rPr>
              <w:t>5.1 Transformation layers</w:t>
            </w:r>
            <w:r>
              <w:rPr>
                <w:noProof/>
              </w:rPr>
              <w:tab/>
            </w:r>
            <w:r>
              <w:rPr>
                <w:noProof/>
              </w:rPr>
              <w:fldChar w:fldCharType="begin"/>
            </w:r>
            <w:r>
              <w:rPr>
                <w:noProof/>
              </w:rPr>
              <w:instrText xml:space="preserve"> PAGEREF _Toc235175930 \h </w:instrText>
            </w:r>
            <w:r>
              <w:rPr>
                <w:noProof/>
              </w:rPr>
            </w:r>
            <w:r>
              <w:rPr>
                <w:noProof/>
              </w:rPr>
              <w:fldChar w:fldCharType="separate"/>
            </w:r>
            <w:r>
              <w:rPr>
                <w:noProof/>
              </w:rPr>
              <w:t>8</w:t>
            </w:r>
            <w:r>
              <w:rPr>
                <w:noProof/>
              </w:rPr>
              <w:fldChar w:fldCharType="end"/>
            </w:r>
          </w:hyperlink>
        </w:p>
        <w:p w:rsidR="003E4BC4" w:rsidRDefault="003E4BC4">
          <w:pPr>
            <w:pStyle w:val="TOC2"/>
            <w:tabs>
              <w:tab w:val="right" w:leader="dot" w:pos="9710"/>
            </w:tabs>
            <w:rPr>
              <w:noProof/>
            </w:rPr>
          </w:pPr>
          <w:hyperlink w:anchor="_Toc235175931" w:history="1">
            <w:r w:rsidRPr="00F155B8">
              <w:rPr>
                <w:rStyle w:val="Hyperlink"/>
                <w:rFonts w:ascii="Calibri" w:eastAsia="Calibri" w:hAnsi="Calibri" w:cs="Calibri"/>
                <w:b/>
                <w:bCs/>
                <w:noProof/>
              </w:rPr>
              <w:t>5.2 Canonical engineered features and formulas</w:t>
            </w:r>
            <w:r>
              <w:rPr>
                <w:noProof/>
              </w:rPr>
              <w:tab/>
            </w:r>
            <w:r>
              <w:rPr>
                <w:noProof/>
              </w:rPr>
              <w:fldChar w:fldCharType="begin"/>
            </w:r>
            <w:r>
              <w:rPr>
                <w:noProof/>
              </w:rPr>
              <w:instrText xml:space="preserve"> PAGEREF _Toc235175931 \h </w:instrText>
            </w:r>
            <w:r>
              <w:rPr>
                <w:noProof/>
              </w:rPr>
            </w:r>
            <w:r>
              <w:rPr>
                <w:noProof/>
              </w:rPr>
              <w:fldChar w:fldCharType="separate"/>
            </w:r>
            <w:r>
              <w:rPr>
                <w:noProof/>
              </w:rPr>
              <w:t>8</w:t>
            </w:r>
            <w:r>
              <w:rPr>
                <w:noProof/>
              </w:rPr>
              <w:fldChar w:fldCharType="end"/>
            </w:r>
          </w:hyperlink>
        </w:p>
        <w:p w:rsidR="003E4BC4" w:rsidRDefault="003E4BC4">
          <w:pPr>
            <w:pStyle w:val="TOC2"/>
            <w:tabs>
              <w:tab w:val="right" w:leader="dot" w:pos="9710"/>
            </w:tabs>
            <w:rPr>
              <w:noProof/>
            </w:rPr>
          </w:pPr>
          <w:hyperlink w:anchor="_Toc235175932" w:history="1">
            <w:r w:rsidRPr="00F155B8">
              <w:rPr>
                <w:rStyle w:val="Hyperlink"/>
                <w:rFonts w:ascii="Calibri" w:eastAsia="Calibri" w:hAnsi="Calibri" w:cs="Calibri"/>
                <w:b/>
                <w:bCs/>
                <w:noProof/>
              </w:rPr>
              <w:t>5.3 Weight of Evidence and Information Value</w:t>
            </w:r>
            <w:r>
              <w:rPr>
                <w:noProof/>
              </w:rPr>
              <w:tab/>
            </w:r>
            <w:r>
              <w:rPr>
                <w:noProof/>
              </w:rPr>
              <w:fldChar w:fldCharType="begin"/>
            </w:r>
            <w:r>
              <w:rPr>
                <w:noProof/>
              </w:rPr>
              <w:instrText xml:space="preserve"> PAGEREF _Toc235175932 \h </w:instrText>
            </w:r>
            <w:r>
              <w:rPr>
                <w:noProof/>
              </w:rPr>
            </w:r>
            <w:r>
              <w:rPr>
                <w:noProof/>
              </w:rPr>
              <w:fldChar w:fldCharType="separate"/>
            </w:r>
            <w:r>
              <w:rPr>
                <w:noProof/>
              </w:rPr>
              <w:t>8</w:t>
            </w:r>
            <w:r>
              <w:rPr>
                <w:noProof/>
              </w:rPr>
              <w:fldChar w:fldCharType="end"/>
            </w:r>
          </w:hyperlink>
        </w:p>
        <w:p w:rsidR="003E4BC4" w:rsidRDefault="003E4BC4">
          <w:pPr>
            <w:pStyle w:val="TOC2"/>
            <w:tabs>
              <w:tab w:val="right" w:leader="dot" w:pos="9710"/>
            </w:tabs>
            <w:rPr>
              <w:noProof/>
            </w:rPr>
          </w:pPr>
          <w:hyperlink w:anchor="_Toc235175933" w:history="1">
            <w:r w:rsidRPr="00F155B8">
              <w:rPr>
                <w:rStyle w:val="Hyperlink"/>
                <w:rFonts w:ascii="Calibri" w:eastAsia="Calibri" w:hAnsi="Calibri" w:cs="Calibri"/>
                <w:b/>
                <w:bCs/>
                <w:noProof/>
              </w:rPr>
              <w:t>5.4 Selection &amp; hygiene</w:t>
            </w:r>
            <w:r>
              <w:rPr>
                <w:noProof/>
              </w:rPr>
              <w:tab/>
            </w:r>
            <w:r>
              <w:rPr>
                <w:noProof/>
              </w:rPr>
              <w:fldChar w:fldCharType="begin"/>
            </w:r>
            <w:r>
              <w:rPr>
                <w:noProof/>
              </w:rPr>
              <w:instrText xml:space="preserve"> PAGEREF _Toc235175933 \h </w:instrText>
            </w:r>
            <w:r>
              <w:rPr>
                <w:noProof/>
              </w:rPr>
            </w:r>
            <w:r>
              <w:rPr>
                <w:noProof/>
              </w:rPr>
              <w:fldChar w:fldCharType="separate"/>
            </w:r>
            <w:r>
              <w:rPr>
                <w:noProof/>
              </w:rPr>
              <w:t>9</w:t>
            </w:r>
            <w:r>
              <w:rPr>
                <w:noProof/>
              </w:rPr>
              <w:fldChar w:fldCharType="end"/>
            </w:r>
          </w:hyperlink>
        </w:p>
        <w:p w:rsidR="003E4BC4" w:rsidRDefault="003E4BC4">
          <w:pPr>
            <w:pStyle w:val="TOC1"/>
            <w:tabs>
              <w:tab w:val="right" w:leader="dot" w:pos="9710"/>
            </w:tabs>
            <w:rPr>
              <w:noProof/>
            </w:rPr>
          </w:pPr>
          <w:hyperlink w:anchor="_Toc235175934" w:history="1">
            <w:r w:rsidRPr="00F155B8">
              <w:rPr>
                <w:rStyle w:val="Hyperlink"/>
                <w:rFonts w:ascii="Calibri" w:eastAsia="Calibri" w:hAnsi="Calibri" w:cs="Calibri"/>
                <w:b/>
                <w:bCs/>
                <w:noProof/>
              </w:rPr>
              <w:t>6. The AI Credit Scoring Model</w:t>
            </w:r>
            <w:r>
              <w:rPr>
                <w:noProof/>
              </w:rPr>
              <w:tab/>
            </w:r>
            <w:r>
              <w:rPr>
                <w:noProof/>
              </w:rPr>
              <w:fldChar w:fldCharType="begin"/>
            </w:r>
            <w:r>
              <w:rPr>
                <w:noProof/>
              </w:rPr>
              <w:instrText xml:space="preserve"> PAGEREF _Toc235175934 \h </w:instrText>
            </w:r>
            <w:r>
              <w:rPr>
                <w:noProof/>
              </w:rPr>
            </w:r>
            <w:r>
              <w:rPr>
                <w:noProof/>
              </w:rPr>
              <w:fldChar w:fldCharType="separate"/>
            </w:r>
            <w:r>
              <w:rPr>
                <w:noProof/>
              </w:rPr>
              <w:t>10</w:t>
            </w:r>
            <w:r>
              <w:rPr>
                <w:noProof/>
              </w:rPr>
              <w:fldChar w:fldCharType="end"/>
            </w:r>
          </w:hyperlink>
        </w:p>
        <w:p w:rsidR="003E4BC4" w:rsidRDefault="003E4BC4">
          <w:pPr>
            <w:pStyle w:val="TOC2"/>
            <w:tabs>
              <w:tab w:val="right" w:leader="dot" w:pos="9710"/>
            </w:tabs>
            <w:rPr>
              <w:noProof/>
            </w:rPr>
          </w:pPr>
          <w:hyperlink w:anchor="_Toc235175935" w:history="1">
            <w:r w:rsidRPr="00F155B8">
              <w:rPr>
                <w:rStyle w:val="Hyperlink"/>
                <w:rFonts w:ascii="Calibri" w:eastAsia="Calibri" w:hAnsi="Calibri" w:cs="Calibri"/>
                <w:b/>
                <w:bCs/>
                <w:noProof/>
              </w:rPr>
              <w:t>6.1 Scoring topology</w:t>
            </w:r>
            <w:r>
              <w:rPr>
                <w:noProof/>
              </w:rPr>
              <w:tab/>
            </w:r>
            <w:r>
              <w:rPr>
                <w:noProof/>
              </w:rPr>
              <w:fldChar w:fldCharType="begin"/>
            </w:r>
            <w:r>
              <w:rPr>
                <w:noProof/>
              </w:rPr>
              <w:instrText xml:space="preserve"> PAGEREF _Toc235175935 \h </w:instrText>
            </w:r>
            <w:r>
              <w:rPr>
                <w:noProof/>
              </w:rPr>
            </w:r>
            <w:r>
              <w:rPr>
                <w:noProof/>
              </w:rPr>
              <w:fldChar w:fldCharType="separate"/>
            </w:r>
            <w:r>
              <w:rPr>
                <w:noProof/>
              </w:rPr>
              <w:t>10</w:t>
            </w:r>
            <w:r>
              <w:rPr>
                <w:noProof/>
              </w:rPr>
              <w:fldChar w:fldCharType="end"/>
            </w:r>
          </w:hyperlink>
        </w:p>
        <w:p w:rsidR="003E4BC4" w:rsidRDefault="003E4BC4">
          <w:pPr>
            <w:pStyle w:val="TOC2"/>
            <w:tabs>
              <w:tab w:val="right" w:leader="dot" w:pos="9710"/>
            </w:tabs>
            <w:rPr>
              <w:noProof/>
            </w:rPr>
          </w:pPr>
          <w:hyperlink w:anchor="_Toc235175936" w:history="1">
            <w:r w:rsidRPr="00F155B8">
              <w:rPr>
                <w:rStyle w:val="Hyperlink"/>
                <w:rFonts w:ascii="Calibri" w:eastAsia="Calibri" w:hAnsi="Calibri" w:cs="Calibri"/>
                <w:b/>
                <w:bCs/>
                <w:noProof/>
              </w:rPr>
              <w:t>6.2 The twelve sub-scores</w:t>
            </w:r>
            <w:r>
              <w:rPr>
                <w:noProof/>
              </w:rPr>
              <w:tab/>
            </w:r>
            <w:r>
              <w:rPr>
                <w:noProof/>
              </w:rPr>
              <w:fldChar w:fldCharType="begin"/>
            </w:r>
            <w:r>
              <w:rPr>
                <w:noProof/>
              </w:rPr>
              <w:instrText xml:space="preserve"> PAGEREF _Toc235175936 \h </w:instrText>
            </w:r>
            <w:r>
              <w:rPr>
                <w:noProof/>
              </w:rPr>
            </w:r>
            <w:r>
              <w:rPr>
                <w:noProof/>
              </w:rPr>
              <w:fldChar w:fldCharType="separate"/>
            </w:r>
            <w:r>
              <w:rPr>
                <w:noProof/>
              </w:rPr>
              <w:t>10</w:t>
            </w:r>
            <w:r>
              <w:rPr>
                <w:noProof/>
              </w:rPr>
              <w:fldChar w:fldCharType="end"/>
            </w:r>
          </w:hyperlink>
        </w:p>
        <w:p w:rsidR="003E4BC4" w:rsidRDefault="003E4BC4">
          <w:pPr>
            <w:pStyle w:val="TOC2"/>
            <w:tabs>
              <w:tab w:val="right" w:leader="dot" w:pos="9710"/>
            </w:tabs>
            <w:rPr>
              <w:noProof/>
            </w:rPr>
          </w:pPr>
          <w:hyperlink w:anchor="_Toc235175937" w:history="1">
            <w:r w:rsidRPr="00F155B8">
              <w:rPr>
                <w:rStyle w:val="Hyperlink"/>
                <w:rFonts w:ascii="Calibri" w:eastAsia="Calibri" w:hAnsi="Calibri" w:cs="Calibri"/>
                <w:b/>
                <w:bCs/>
                <w:noProof/>
              </w:rPr>
              <w:t>6.3 Algorithm portfolio</w:t>
            </w:r>
            <w:r>
              <w:rPr>
                <w:noProof/>
              </w:rPr>
              <w:tab/>
            </w:r>
            <w:r>
              <w:rPr>
                <w:noProof/>
              </w:rPr>
              <w:fldChar w:fldCharType="begin"/>
            </w:r>
            <w:r>
              <w:rPr>
                <w:noProof/>
              </w:rPr>
              <w:instrText xml:space="preserve"> PAGEREF _Toc235175937 \h </w:instrText>
            </w:r>
            <w:r>
              <w:rPr>
                <w:noProof/>
              </w:rPr>
            </w:r>
            <w:r>
              <w:rPr>
                <w:noProof/>
              </w:rPr>
              <w:fldChar w:fldCharType="separate"/>
            </w:r>
            <w:r>
              <w:rPr>
                <w:noProof/>
              </w:rPr>
              <w:t>12</w:t>
            </w:r>
            <w:r>
              <w:rPr>
                <w:noProof/>
              </w:rPr>
              <w:fldChar w:fldCharType="end"/>
            </w:r>
          </w:hyperlink>
        </w:p>
        <w:p w:rsidR="003E4BC4" w:rsidRDefault="003E4BC4">
          <w:pPr>
            <w:pStyle w:val="TOC2"/>
            <w:tabs>
              <w:tab w:val="right" w:leader="dot" w:pos="9710"/>
            </w:tabs>
            <w:rPr>
              <w:noProof/>
            </w:rPr>
          </w:pPr>
          <w:hyperlink w:anchor="_Toc235175938" w:history="1">
            <w:r w:rsidRPr="00F155B8">
              <w:rPr>
                <w:rStyle w:val="Hyperlink"/>
                <w:rFonts w:ascii="Calibri" w:eastAsia="Calibri" w:hAnsi="Calibri" w:cs="Calibri"/>
                <w:b/>
                <w:bCs/>
                <w:noProof/>
              </w:rPr>
              <w:t>6.4 The mathematics, end to end</w:t>
            </w:r>
            <w:r>
              <w:rPr>
                <w:noProof/>
              </w:rPr>
              <w:tab/>
            </w:r>
            <w:r>
              <w:rPr>
                <w:noProof/>
              </w:rPr>
              <w:fldChar w:fldCharType="begin"/>
            </w:r>
            <w:r>
              <w:rPr>
                <w:noProof/>
              </w:rPr>
              <w:instrText xml:space="preserve"> PAGEREF _Toc235175938 \h </w:instrText>
            </w:r>
            <w:r>
              <w:rPr>
                <w:noProof/>
              </w:rPr>
            </w:r>
            <w:r>
              <w:rPr>
                <w:noProof/>
              </w:rPr>
              <w:fldChar w:fldCharType="separate"/>
            </w:r>
            <w:r>
              <w:rPr>
                <w:noProof/>
              </w:rPr>
              <w:t>12</w:t>
            </w:r>
            <w:r>
              <w:rPr>
                <w:noProof/>
              </w:rPr>
              <w:fldChar w:fldCharType="end"/>
            </w:r>
          </w:hyperlink>
        </w:p>
        <w:p w:rsidR="003E4BC4" w:rsidRDefault="003E4BC4">
          <w:pPr>
            <w:pStyle w:val="TOC1"/>
            <w:tabs>
              <w:tab w:val="right" w:leader="dot" w:pos="9710"/>
            </w:tabs>
            <w:rPr>
              <w:noProof/>
            </w:rPr>
          </w:pPr>
          <w:hyperlink w:anchor="_Toc235175939" w:history="1">
            <w:r w:rsidRPr="00F155B8">
              <w:rPr>
                <w:rStyle w:val="Hyperlink"/>
                <w:rFonts w:ascii="Calibri" w:eastAsia="Calibri" w:hAnsi="Calibri" w:cs="Calibri"/>
                <w:b/>
                <w:bCs/>
                <w:noProof/>
              </w:rPr>
              <w:t>7. Decision Engine</w:t>
            </w:r>
            <w:r>
              <w:rPr>
                <w:noProof/>
              </w:rPr>
              <w:tab/>
            </w:r>
            <w:r>
              <w:rPr>
                <w:noProof/>
              </w:rPr>
              <w:fldChar w:fldCharType="begin"/>
            </w:r>
            <w:r>
              <w:rPr>
                <w:noProof/>
              </w:rPr>
              <w:instrText xml:space="preserve"> PAGEREF _Toc235175939 \h </w:instrText>
            </w:r>
            <w:r>
              <w:rPr>
                <w:noProof/>
              </w:rPr>
            </w:r>
            <w:r>
              <w:rPr>
                <w:noProof/>
              </w:rPr>
              <w:fldChar w:fldCharType="separate"/>
            </w:r>
            <w:r>
              <w:rPr>
                <w:noProof/>
              </w:rPr>
              <w:t>14</w:t>
            </w:r>
            <w:r>
              <w:rPr>
                <w:noProof/>
              </w:rPr>
              <w:fldChar w:fldCharType="end"/>
            </w:r>
          </w:hyperlink>
        </w:p>
        <w:p w:rsidR="003E4BC4" w:rsidRDefault="003E4BC4">
          <w:pPr>
            <w:pStyle w:val="TOC2"/>
            <w:tabs>
              <w:tab w:val="right" w:leader="dot" w:pos="9710"/>
            </w:tabs>
            <w:rPr>
              <w:noProof/>
            </w:rPr>
          </w:pPr>
          <w:hyperlink w:anchor="_Toc235175940" w:history="1">
            <w:r w:rsidRPr="00F155B8">
              <w:rPr>
                <w:rStyle w:val="Hyperlink"/>
                <w:rFonts w:ascii="Calibri" w:eastAsia="Calibri" w:hAnsi="Calibri" w:cs="Calibri"/>
                <w:b/>
                <w:bCs/>
                <w:noProof/>
              </w:rPr>
              <w:t>7.1 Decision waterfall</w:t>
            </w:r>
            <w:r>
              <w:rPr>
                <w:noProof/>
              </w:rPr>
              <w:tab/>
            </w:r>
            <w:r>
              <w:rPr>
                <w:noProof/>
              </w:rPr>
              <w:fldChar w:fldCharType="begin"/>
            </w:r>
            <w:r>
              <w:rPr>
                <w:noProof/>
              </w:rPr>
              <w:instrText xml:space="preserve"> PAGEREF _Toc235175940 \h </w:instrText>
            </w:r>
            <w:r>
              <w:rPr>
                <w:noProof/>
              </w:rPr>
            </w:r>
            <w:r>
              <w:rPr>
                <w:noProof/>
              </w:rPr>
              <w:fldChar w:fldCharType="separate"/>
            </w:r>
            <w:r>
              <w:rPr>
                <w:noProof/>
              </w:rPr>
              <w:t>14</w:t>
            </w:r>
            <w:r>
              <w:rPr>
                <w:noProof/>
              </w:rPr>
              <w:fldChar w:fldCharType="end"/>
            </w:r>
          </w:hyperlink>
        </w:p>
        <w:p w:rsidR="003E4BC4" w:rsidRDefault="003E4BC4">
          <w:pPr>
            <w:pStyle w:val="TOC2"/>
            <w:tabs>
              <w:tab w:val="right" w:leader="dot" w:pos="9710"/>
            </w:tabs>
            <w:rPr>
              <w:noProof/>
            </w:rPr>
          </w:pPr>
          <w:hyperlink w:anchor="_Toc235175941" w:history="1">
            <w:r w:rsidRPr="00F155B8">
              <w:rPr>
                <w:rStyle w:val="Hyperlink"/>
                <w:rFonts w:ascii="Calibri" w:eastAsia="Calibri" w:hAnsi="Calibri" w:cs="Calibri"/>
                <w:b/>
                <w:bCs/>
                <w:noProof/>
              </w:rPr>
              <w:t>7.2 Decision matrix</w:t>
            </w:r>
            <w:r>
              <w:rPr>
                <w:noProof/>
              </w:rPr>
              <w:tab/>
            </w:r>
            <w:r>
              <w:rPr>
                <w:noProof/>
              </w:rPr>
              <w:fldChar w:fldCharType="begin"/>
            </w:r>
            <w:r>
              <w:rPr>
                <w:noProof/>
              </w:rPr>
              <w:instrText xml:space="preserve"> PAGEREF _Toc235175941 \h </w:instrText>
            </w:r>
            <w:r>
              <w:rPr>
                <w:noProof/>
              </w:rPr>
            </w:r>
            <w:r>
              <w:rPr>
                <w:noProof/>
              </w:rPr>
              <w:fldChar w:fldCharType="separate"/>
            </w:r>
            <w:r>
              <w:rPr>
                <w:noProof/>
              </w:rPr>
              <w:t>14</w:t>
            </w:r>
            <w:r>
              <w:rPr>
                <w:noProof/>
              </w:rPr>
              <w:fldChar w:fldCharType="end"/>
            </w:r>
          </w:hyperlink>
        </w:p>
        <w:p w:rsidR="003E4BC4" w:rsidRDefault="003E4BC4">
          <w:pPr>
            <w:pStyle w:val="TOC2"/>
            <w:tabs>
              <w:tab w:val="right" w:leader="dot" w:pos="9710"/>
            </w:tabs>
            <w:rPr>
              <w:noProof/>
            </w:rPr>
          </w:pPr>
          <w:hyperlink w:anchor="_Toc235175942" w:history="1">
            <w:r w:rsidRPr="00F155B8">
              <w:rPr>
                <w:rStyle w:val="Hyperlink"/>
                <w:rFonts w:ascii="Calibri" w:eastAsia="Calibri" w:hAnsi="Calibri" w:cs="Calibri"/>
                <w:b/>
                <w:bCs/>
                <w:noProof/>
              </w:rPr>
              <w:t>7.3 Limit assignment formula</w:t>
            </w:r>
            <w:r>
              <w:rPr>
                <w:noProof/>
              </w:rPr>
              <w:tab/>
            </w:r>
            <w:r>
              <w:rPr>
                <w:noProof/>
              </w:rPr>
              <w:fldChar w:fldCharType="begin"/>
            </w:r>
            <w:r>
              <w:rPr>
                <w:noProof/>
              </w:rPr>
              <w:instrText xml:space="preserve"> PAGEREF _Toc235175942 \h </w:instrText>
            </w:r>
            <w:r>
              <w:rPr>
                <w:noProof/>
              </w:rPr>
            </w:r>
            <w:r>
              <w:rPr>
                <w:noProof/>
              </w:rPr>
              <w:fldChar w:fldCharType="separate"/>
            </w:r>
            <w:r>
              <w:rPr>
                <w:noProof/>
              </w:rPr>
              <w:t>14</w:t>
            </w:r>
            <w:r>
              <w:rPr>
                <w:noProof/>
              </w:rPr>
              <w:fldChar w:fldCharType="end"/>
            </w:r>
          </w:hyperlink>
        </w:p>
        <w:p w:rsidR="003E4BC4" w:rsidRDefault="003E4BC4">
          <w:pPr>
            <w:pStyle w:val="TOC2"/>
            <w:tabs>
              <w:tab w:val="right" w:leader="dot" w:pos="9710"/>
            </w:tabs>
            <w:rPr>
              <w:noProof/>
            </w:rPr>
          </w:pPr>
          <w:hyperlink w:anchor="_Toc235175943" w:history="1">
            <w:r w:rsidRPr="00F155B8">
              <w:rPr>
                <w:rStyle w:val="Hyperlink"/>
                <w:rFonts w:ascii="Calibri" w:eastAsia="Calibri" w:hAnsi="Calibri" w:cs="Calibri"/>
                <w:b/>
                <w:bCs/>
                <w:noProof/>
              </w:rPr>
              <w:t>7.4 Champion / challenger</w:t>
            </w:r>
            <w:r>
              <w:rPr>
                <w:noProof/>
              </w:rPr>
              <w:tab/>
            </w:r>
            <w:r>
              <w:rPr>
                <w:noProof/>
              </w:rPr>
              <w:fldChar w:fldCharType="begin"/>
            </w:r>
            <w:r>
              <w:rPr>
                <w:noProof/>
              </w:rPr>
              <w:instrText xml:space="preserve"> PAGEREF _Toc235175943 \h </w:instrText>
            </w:r>
            <w:r>
              <w:rPr>
                <w:noProof/>
              </w:rPr>
            </w:r>
            <w:r>
              <w:rPr>
                <w:noProof/>
              </w:rPr>
              <w:fldChar w:fldCharType="separate"/>
            </w:r>
            <w:r>
              <w:rPr>
                <w:noProof/>
              </w:rPr>
              <w:t>14</w:t>
            </w:r>
            <w:r>
              <w:rPr>
                <w:noProof/>
              </w:rPr>
              <w:fldChar w:fldCharType="end"/>
            </w:r>
          </w:hyperlink>
        </w:p>
        <w:p w:rsidR="003E4BC4" w:rsidRDefault="003E4BC4">
          <w:pPr>
            <w:pStyle w:val="TOC1"/>
            <w:tabs>
              <w:tab w:val="right" w:leader="dot" w:pos="9710"/>
            </w:tabs>
            <w:rPr>
              <w:noProof/>
            </w:rPr>
          </w:pPr>
          <w:hyperlink w:anchor="_Toc235175944" w:history="1">
            <w:r w:rsidRPr="00F155B8">
              <w:rPr>
                <w:rStyle w:val="Hyperlink"/>
                <w:rFonts w:ascii="Calibri" w:eastAsia="Calibri" w:hAnsi="Calibri" w:cs="Calibri"/>
                <w:b/>
                <w:bCs/>
                <w:noProof/>
              </w:rPr>
              <w:t>8. Explainability, Fairness &amp; Model Governance</w:t>
            </w:r>
            <w:r>
              <w:rPr>
                <w:noProof/>
              </w:rPr>
              <w:tab/>
            </w:r>
            <w:r>
              <w:rPr>
                <w:noProof/>
              </w:rPr>
              <w:fldChar w:fldCharType="begin"/>
            </w:r>
            <w:r>
              <w:rPr>
                <w:noProof/>
              </w:rPr>
              <w:instrText xml:space="preserve"> PAGEREF _Toc235175944 \h </w:instrText>
            </w:r>
            <w:r>
              <w:rPr>
                <w:noProof/>
              </w:rPr>
            </w:r>
            <w:r>
              <w:rPr>
                <w:noProof/>
              </w:rPr>
              <w:fldChar w:fldCharType="separate"/>
            </w:r>
            <w:r>
              <w:rPr>
                <w:noProof/>
              </w:rPr>
              <w:t>16</w:t>
            </w:r>
            <w:r>
              <w:rPr>
                <w:noProof/>
              </w:rPr>
              <w:fldChar w:fldCharType="end"/>
            </w:r>
          </w:hyperlink>
        </w:p>
        <w:p w:rsidR="003E4BC4" w:rsidRDefault="003E4BC4">
          <w:pPr>
            <w:pStyle w:val="TOC2"/>
            <w:tabs>
              <w:tab w:val="right" w:leader="dot" w:pos="9710"/>
            </w:tabs>
            <w:rPr>
              <w:noProof/>
            </w:rPr>
          </w:pPr>
          <w:hyperlink w:anchor="_Toc235175945" w:history="1">
            <w:r w:rsidRPr="00F155B8">
              <w:rPr>
                <w:rStyle w:val="Hyperlink"/>
                <w:rFonts w:ascii="Calibri" w:eastAsia="Calibri" w:hAnsi="Calibri" w:cs="Calibri"/>
                <w:b/>
                <w:bCs/>
                <w:noProof/>
              </w:rPr>
              <w:t>8.1 Explainable AI layer</w:t>
            </w:r>
            <w:r>
              <w:rPr>
                <w:noProof/>
              </w:rPr>
              <w:tab/>
            </w:r>
            <w:r>
              <w:rPr>
                <w:noProof/>
              </w:rPr>
              <w:fldChar w:fldCharType="begin"/>
            </w:r>
            <w:r>
              <w:rPr>
                <w:noProof/>
              </w:rPr>
              <w:instrText xml:space="preserve"> PAGEREF _Toc235175945 \h </w:instrText>
            </w:r>
            <w:r>
              <w:rPr>
                <w:noProof/>
              </w:rPr>
            </w:r>
            <w:r>
              <w:rPr>
                <w:noProof/>
              </w:rPr>
              <w:fldChar w:fldCharType="separate"/>
            </w:r>
            <w:r>
              <w:rPr>
                <w:noProof/>
              </w:rPr>
              <w:t>16</w:t>
            </w:r>
            <w:r>
              <w:rPr>
                <w:noProof/>
              </w:rPr>
              <w:fldChar w:fldCharType="end"/>
            </w:r>
          </w:hyperlink>
        </w:p>
        <w:p w:rsidR="003E4BC4" w:rsidRDefault="003E4BC4">
          <w:pPr>
            <w:pStyle w:val="TOC2"/>
            <w:tabs>
              <w:tab w:val="right" w:leader="dot" w:pos="9710"/>
            </w:tabs>
            <w:rPr>
              <w:noProof/>
            </w:rPr>
          </w:pPr>
          <w:hyperlink w:anchor="_Toc235175946" w:history="1">
            <w:r w:rsidRPr="00F155B8">
              <w:rPr>
                <w:rStyle w:val="Hyperlink"/>
                <w:rFonts w:ascii="Calibri" w:eastAsia="Calibri" w:hAnsi="Calibri" w:cs="Calibri"/>
                <w:b/>
                <w:bCs/>
                <w:noProof/>
              </w:rPr>
              <w:t>8.2 Fairness engineering</w:t>
            </w:r>
            <w:r>
              <w:rPr>
                <w:noProof/>
              </w:rPr>
              <w:tab/>
            </w:r>
            <w:r>
              <w:rPr>
                <w:noProof/>
              </w:rPr>
              <w:fldChar w:fldCharType="begin"/>
            </w:r>
            <w:r>
              <w:rPr>
                <w:noProof/>
              </w:rPr>
              <w:instrText xml:space="preserve"> PAGEREF _Toc235175946 \h </w:instrText>
            </w:r>
            <w:r>
              <w:rPr>
                <w:noProof/>
              </w:rPr>
            </w:r>
            <w:r>
              <w:rPr>
                <w:noProof/>
              </w:rPr>
              <w:fldChar w:fldCharType="separate"/>
            </w:r>
            <w:r>
              <w:rPr>
                <w:noProof/>
              </w:rPr>
              <w:t>16</w:t>
            </w:r>
            <w:r>
              <w:rPr>
                <w:noProof/>
              </w:rPr>
              <w:fldChar w:fldCharType="end"/>
            </w:r>
          </w:hyperlink>
        </w:p>
        <w:p w:rsidR="003E4BC4" w:rsidRDefault="003E4BC4">
          <w:pPr>
            <w:pStyle w:val="TOC2"/>
            <w:tabs>
              <w:tab w:val="right" w:leader="dot" w:pos="9710"/>
            </w:tabs>
            <w:rPr>
              <w:noProof/>
            </w:rPr>
          </w:pPr>
          <w:hyperlink w:anchor="_Toc235175947" w:history="1">
            <w:r w:rsidRPr="00F155B8">
              <w:rPr>
                <w:rStyle w:val="Hyperlink"/>
                <w:rFonts w:ascii="Calibri" w:eastAsia="Calibri" w:hAnsi="Calibri" w:cs="Calibri"/>
                <w:b/>
                <w:bCs/>
                <w:noProof/>
              </w:rPr>
              <w:t>8.3 Governance</w:t>
            </w:r>
            <w:r>
              <w:rPr>
                <w:noProof/>
              </w:rPr>
              <w:tab/>
            </w:r>
            <w:r>
              <w:rPr>
                <w:noProof/>
              </w:rPr>
              <w:fldChar w:fldCharType="begin"/>
            </w:r>
            <w:r>
              <w:rPr>
                <w:noProof/>
              </w:rPr>
              <w:instrText xml:space="preserve"> PAGEREF _Toc235175947 \h </w:instrText>
            </w:r>
            <w:r>
              <w:rPr>
                <w:noProof/>
              </w:rPr>
            </w:r>
            <w:r>
              <w:rPr>
                <w:noProof/>
              </w:rPr>
              <w:fldChar w:fldCharType="separate"/>
            </w:r>
            <w:r>
              <w:rPr>
                <w:noProof/>
              </w:rPr>
              <w:t>16</w:t>
            </w:r>
            <w:r>
              <w:rPr>
                <w:noProof/>
              </w:rPr>
              <w:fldChar w:fldCharType="end"/>
            </w:r>
          </w:hyperlink>
        </w:p>
        <w:p w:rsidR="003E4BC4" w:rsidRDefault="003E4BC4">
          <w:pPr>
            <w:pStyle w:val="TOC1"/>
            <w:tabs>
              <w:tab w:val="right" w:leader="dot" w:pos="9710"/>
            </w:tabs>
            <w:rPr>
              <w:noProof/>
            </w:rPr>
          </w:pPr>
          <w:hyperlink w:anchor="_Toc235175948" w:history="1">
            <w:r w:rsidRPr="00F155B8">
              <w:rPr>
                <w:rStyle w:val="Hyperlink"/>
                <w:rFonts w:ascii="Calibri" w:eastAsia="Calibri" w:hAnsi="Calibri" w:cs="Calibri"/>
                <w:b/>
                <w:bCs/>
                <w:noProof/>
              </w:rPr>
              <w:t>9. System Architecture</w:t>
            </w:r>
            <w:r>
              <w:rPr>
                <w:noProof/>
              </w:rPr>
              <w:tab/>
            </w:r>
            <w:r>
              <w:rPr>
                <w:noProof/>
              </w:rPr>
              <w:fldChar w:fldCharType="begin"/>
            </w:r>
            <w:r>
              <w:rPr>
                <w:noProof/>
              </w:rPr>
              <w:instrText xml:space="preserve"> PAGEREF _Toc235175948 \h </w:instrText>
            </w:r>
            <w:r>
              <w:rPr>
                <w:noProof/>
              </w:rPr>
            </w:r>
            <w:r>
              <w:rPr>
                <w:noProof/>
              </w:rPr>
              <w:fldChar w:fldCharType="separate"/>
            </w:r>
            <w:r>
              <w:rPr>
                <w:noProof/>
              </w:rPr>
              <w:t>17</w:t>
            </w:r>
            <w:r>
              <w:rPr>
                <w:noProof/>
              </w:rPr>
              <w:fldChar w:fldCharType="end"/>
            </w:r>
          </w:hyperlink>
        </w:p>
        <w:p w:rsidR="003E4BC4" w:rsidRDefault="003E4BC4">
          <w:pPr>
            <w:pStyle w:val="TOC2"/>
            <w:tabs>
              <w:tab w:val="right" w:leader="dot" w:pos="9710"/>
            </w:tabs>
            <w:rPr>
              <w:noProof/>
            </w:rPr>
          </w:pPr>
          <w:hyperlink w:anchor="_Toc235175949" w:history="1">
            <w:r w:rsidRPr="00F155B8">
              <w:rPr>
                <w:rStyle w:val="Hyperlink"/>
                <w:rFonts w:ascii="Calibri" w:eastAsia="Calibri" w:hAnsi="Calibri" w:cs="Calibri"/>
                <w:b/>
                <w:bCs/>
                <w:noProof/>
              </w:rPr>
              <w:t>9.1 Logical architecture</w:t>
            </w:r>
            <w:r>
              <w:rPr>
                <w:noProof/>
              </w:rPr>
              <w:tab/>
            </w:r>
            <w:r>
              <w:rPr>
                <w:noProof/>
              </w:rPr>
              <w:fldChar w:fldCharType="begin"/>
            </w:r>
            <w:r>
              <w:rPr>
                <w:noProof/>
              </w:rPr>
              <w:instrText xml:space="preserve"> PAGEREF _Toc235175949 \h </w:instrText>
            </w:r>
            <w:r>
              <w:rPr>
                <w:noProof/>
              </w:rPr>
            </w:r>
            <w:r>
              <w:rPr>
                <w:noProof/>
              </w:rPr>
              <w:fldChar w:fldCharType="separate"/>
            </w:r>
            <w:r>
              <w:rPr>
                <w:noProof/>
              </w:rPr>
              <w:t>17</w:t>
            </w:r>
            <w:r>
              <w:rPr>
                <w:noProof/>
              </w:rPr>
              <w:fldChar w:fldCharType="end"/>
            </w:r>
          </w:hyperlink>
        </w:p>
        <w:p w:rsidR="003E4BC4" w:rsidRDefault="003E4BC4">
          <w:pPr>
            <w:pStyle w:val="TOC2"/>
            <w:tabs>
              <w:tab w:val="right" w:leader="dot" w:pos="9710"/>
            </w:tabs>
            <w:rPr>
              <w:noProof/>
            </w:rPr>
          </w:pPr>
          <w:hyperlink w:anchor="_Toc235175950" w:history="1">
            <w:r w:rsidRPr="00F155B8">
              <w:rPr>
                <w:rStyle w:val="Hyperlink"/>
                <w:rFonts w:ascii="Calibri" w:eastAsia="Calibri" w:hAnsi="Calibri" w:cs="Calibri"/>
                <w:b/>
                <w:bCs/>
                <w:noProof/>
              </w:rPr>
              <w:t>9.2 Component responsibilities</w:t>
            </w:r>
            <w:r>
              <w:rPr>
                <w:noProof/>
              </w:rPr>
              <w:tab/>
            </w:r>
            <w:r>
              <w:rPr>
                <w:noProof/>
              </w:rPr>
              <w:fldChar w:fldCharType="begin"/>
            </w:r>
            <w:r>
              <w:rPr>
                <w:noProof/>
              </w:rPr>
              <w:instrText xml:space="preserve"> PAGEREF _Toc235175950 \h </w:instrText>
            </w:r>
            <w:r>
              <w:rPr>
                <w:noProof/>
              </w:rPr>
            </w:r>
            <w:r>
              <w:rPr>
                <w:noProof/>
              </w:rPr>
              <w:fldChar w:fldCharType="separate"/>
            </w:r>
            <w:r>
              <w:rPr>
                <w:noProof/>
              </w:rPr>
              <w:t>17</w:t>
            </w:r>
            <w:r>
              <w:rPr>
                <w:noProof/>
              </w:rPr>
              <w:fldChar w:fldCharType="end"/>
            </w:r>
          </w:hyperlink>
        </w:p>
        <w:p w:rsidR="003E4BC4" w:rsidRDefault="003E4BC4">
          <w:pPr>
            <w:pStyle w:val="TOC2"/>
            <w:tabs>
              <w:tab w:val="right" w:leader="dot" w:pos="9710"/>
            </w:tabs>
            <w:rPr>
              <w:noProof/>
            </w:rPr>
          </w:pPr>
          <w:hyperlink w:anchor="_Toc235175951" w:history="1">
            <w:r w:rsidRPr="00F155B8">
              <w:rPr>
                <w:rStyle w:val="Hyperlink"/>
                <w:rFonts w:ascii="Calibri" w:eastAsia="Calibri" w:hAnsi="Calibri" w:cs="Calibri"/>
                <w:b/>
                <w:bCs/>
                <w:noProof/>
              </w:rPr>
              <w:t>9.3 Real-time decision data flow and latency budget</w:t>
            </w:r>
            <w:r>
              <w:rPr>
                <w:noProof/>
              </w:rPr>
              <w:tab/>
            </w:r>
            <w:r>
              <w:rPr>
                <w:noProof/>
              </w:rPr>
              <w:fldChar w:fldCharType="begin"/>
            </w:r>
            <w:r>
              <w:rPr>
                <w:noProof/>
              </w:rPr>
              <w:instrText xml:space="preserve"> PAGEREF _Toc235175951 \h </w:instrText>
            </w:r>
            <w:r>
              <w:rPr>
                <w:noProof/>
              </w:rPr>
            </w:r>
            <w:r>
              <w:rPr>
                <w:noProof/>
              </w:rPr>
              <w:fldChar w:fldCharType="separate"/>
            </w:r>
            <w:r>
              <w:rPr>
                <w:noProof/>
              </w:rPr>
              <w:t>18</w:t>
            </w:r>
            <w:r>
              <w:rPr>
                <w:noProof/>
              </w:rPr>
              <w:fldChar w:fldCharType="end"/>
            </w:r>
          </w:hyperlink>
        </w:p>
        <w:p w:rsidR="003E4BC4" w:rsidRDefault="003E4BC4">
          <w:pPr>
            <w:pStyle w:val="TOC2"/>
            <w:tabs>
              <w:tab w:val="right" w:leader="dot" w:pos="9710"/>
            </w:tabs>
            <w:rPr>
              <w:noProof/>
            </w:rPr>
          </w:pPr>
          <w:hyperlink w:anchor="_Toc235175952" w:history="1">
            <w:r w:rsidRPr="00F155B8">
              <w:rPr>
                <w:rStyle w:val="Hyperlink"/>
                <w:rFonts w:ascii="Calibri" w:eastAsia="Calibri" w:hAnsi="Calibri" w:cs="Calibri"/>
                <w:b/>
                <w:bCs/>
                <w:noProof/>
              </w:rPr>
              <w:t>9.4 Technology stack (reference)</w:t>
            </w:r>
            <w:r>
              <w:rPr>
                <w:noProof/>
              </w:rPr>
              <w:tab/>
            </w:r>
            <w:r>
              <w:rPr>
                <w:noProof/>
              </w:rPr>
              <w:fldChar w:fldCharType="begin"/>
            </w:r>
            <w:r>
              <w:rPr>
                <w:noProof/>
              </w:rPr>
              <w:instrText xml:space="preserve"> PAGEREF _Toc235175952 \h </w:instrText>
            </w:r>
            <w:r>
              <w:rPr>
                <w:noProof/>
              </w:rPr>
            </w:r>
            <w:r>
              <w:rPr>
                <w:noProof/>
              </w:rPr>
              <w:fldChar w:fldCharType="separate"/>
            </w:r>
            <w:r>
              <w:rPr>
                <w:noProof/>
              </w:rPr>
              <w:t>18</w:t>
            </w:r>
            <w:r>
              <w:rPr>
                <w:noProof/>
              </w:rPr>
              <w:fldChar w:fldCharType="end"/>
            </w:r>
          </w:hyperlink>
        </w:p>
        <w:p w:rsidR="003E4BC4" w:rsidRDefault="003E4BC4">
          <w:pPr>
            <w:pStyle w:val="TOC1"/>
            <w:tabs>
              <w:tab w:val="right" w:leader="dot" w:pos="9710"/>
            </w:tabs>
            <w:rPr>
              <w:noProof/>
            </w:rPr>
          </w:pPr>
          <w:hyperlink w:anchor="_Toc235175953" w:history="1">
            <w:r w:rsidRPr="00F155B8">
              <w:rPr>
                <w:rStyle w:val="Hyperlink"/>
                <w:rFonts w:ascii="Calibri" w:eastAsia="Calibri" w:hAnsi="Calibri" w:cs="Calibri"/>
                <w:b/>
                <w:bCs/>
                <w:noProof/>
              </w:rPr>
              <w:t>10. Cold-Start Strategy: Lending Before You Have Data</w:t>
            </w:r>
            <w:r>
              <w:rPr>
                <w:noProof/>
              </w:rPr>
              <w:tab/>
            </w:r>
            <w:r>
              <w:rPr>
                <w:noProof/>
              </w:rPr>
              <w:fldChar w:fldCharType="begin"/>
            </w:r>
            <w:r>
              <w:rPr>
                <w:noProof/>
              </w:rPr>
              <w:instrText xml:space="preserve"> PAGEREF _Toc235175953 \h </w:instrText>
            </w:r>
            <w:r>
              <w:rPr>
                <w:noProof/>
              </w:rPr>
            </w:r>
            <w:r>
              <w:rPr>
                <w:noProof/>
              </w:rPr>
              <w:fldChar w:fldCharType="separate"/>
            </w:r>
            <w:r>
              <w:rPr>
                <w:noProof/>
              </w:rPr>
              <w:t>19</w:t>
            </w:r>
            <w:r>
              <w:rPr>
                <w:noProof/>
              </w:rPr>
              <w:fldChar w:fldCharType="end"/>
            </w:r>
          </w:hyperlink>
        </w:p>
        <w:p w:rsidR="003E4BC4" w:rsidRDefault="003E4BC4">
          <w:pPr>
            <w:pStyle w:val="TOC1"/>
            <w:tabs>
              <w:tab w:val="right" w:leader="dot" w:pos="9710"/>
            </w:tabs>
            <w:rPr>
              <w:noProof/>
            </w:rPr>
          </w:pPr>
          <w:hyperlink w:anchor="_Toc235175954" w:history="1">
            <w:r w:rsidRPr="00F155B8">
              <w:rPr>
                <w:rStyle w:val="Hyperlink"/>
                <w:rFonts w:ascii="Calibri" w:eastAsia="Calibri" w:hAnsi="Calibri" w:cs="Calibri"/>
                <w:b/>
                <w:bCs/>
                <w:noProof/>
              </w:rPr>
              <w:t>11. Security, Privacy &amp; Regulatory Compliance</w:t>
            </w:r>
            <w:r>
              <w:rPr>
                <w:noProof/>
              </w:rPr>
              <w:tab/>
            </w:r>
            <w:r>
              <w:rPr>
                <w:noProof/>
              </w:rPr>
              <w:fldChar w:fldCharType="begin"/>
            </w:r>
            <w:r>
              <w:rPr>
                <w:noProof/>
              </w:rPr>
              <w:instrText xml:space="preserve"> PAGEREF _Toc235175954 \h </w:instrText>
            </w:r>
            <w:r>
              <w:rPr>
                <w:noProof/>
              </w:rPr>
            </w:r>
            <w:r>
              <w:rPr>
                <w:noProof/>
              </w:rPr>
              <w:fldChar w:fldCharType="separate"/>
            </w:r>
            <w:r>
              <w:rPr>
                <w:noProof/>
              </w:rPr>
              <w:t>20</w:t>
            </w:r>
            <w:r>
              <w:rPr>
                <w:noProof/>
              </w:rPr>
              <w:fldChar w:fldCharType="end"/>
            </w:r>
          </w:hyperlink>
        </w:p>
        <w:p w:rsidR="003E4BC4" w:rsidRDefault="003E4BC4">
          <w:pPr>
            <w:pStyle w:val="TOC1"/>
            <w:tabs>
              <w:tab w:val="right" w:leader="dot" w:pos="9710"/>
            </w:tabs>
            <w:rPr>
              <w:noProof/>
            </w:rPr>
          </w:pPr>
          <w:hyperlink w:anchor="_Toc235175955" w:history="1">
            <w:r w:rsidRPr="00F155B8">
              <w:rPr>
                <w:rStyle w:val="Hyperlink"/>
                <w:rFonts w:ascii="Calibri" w:eastAsia="Calibri" w:hAnsi="Calibri" w:cs="Calibri"/>
                <w:b/>
                <w:bCs/>
                <w:noProof/>
              </w:rPr>
              <w:t>12. Implementation Roadmap</w:t>
            </w:r>
            <w:r>
              <w:rPr>
                <w:noProof/>
              </w:rPr>
              <w:tab/>
            </w:r>
            <w:r>
              <w:rPr>
                <w:noProof/>
              </w:rPr>
              <w:fldChar w:fldCharType="begin"/>
            </w:r>
            <w:r>
              <w:rPr>
                <w:noProof/>
              </w:rPr>
              <w:instrText xml:space="preserve"> PAGEREF _Toc235175955 \h </w:instrText>
            </w:r>
            <w:r>
              <w:rPr>
                <w:noProof/>
              </w:rPr>
            </w:r>
            <w:r>
              <w:rPr>
                <w:noProof/>
              </w:rPr>
              <w:fldChar w:fldCharType="separate"/>
            </w:r>
            <w:r>
              <w:rPr>
                <w:noProof/>
              </w:rPr>
              <w:t>21</w:t>
            </w:r>
            <w:r>
              <w:rPr>
                <w:noProof/>
              </w:rPr>
              <w:fldChar w:fldCharType="end"/>
            </w:r>
          </w:hyperlink>
        </w:p>
        <w:p w:rsidR="003E4BC4" w:rsidRDefault="003E4BC4">
          <w:pPr>
            <w:pStyle w:val="TOC2"/>
            <w:tabs>
              <w:tab w:val="right" w:leader="dot" w:pos="9710"/>
            </w:tabs>
            <w:rPr>
              <w:noProof/>
            </w:rPr>
          </w:pPr>
          <w:hyperlink w:anchor="_Toc235175956" w:history="1">
            <w:r w:rsidRPr="00F155B8">
              <w:rPr>
                <w:rStyle w:val="Hyperlink"/>
                <w:rFonts w:ascii="Calibri" w:eastAsia="Calibri" w:hAnsi="Calibri" w:cs="Calibri"/>
                <w:b/>
                <w:bCs/>
                <w:noProof/>
              </w:rPr>
              <w:t>Closing note</w:t>
            </w:r>
            <w:r>
              <w:rPr>
                <w:noProof/>
              </w:rPr>
              <w:tab/>
            </w:r>
            <w:r>
              <w:rPr>
                <w:noProof/>
              </w:rPr>
              <w:fldChar w:fldCharType="begin"/>
            </w:r>
            <w:r>
              <w:rPr>
                <w:noProof/>
              </w:rPr>
              <w:instrText xml:space="preserve"> PAGEREF _Toc235175956 \h </w:instrText>
            </w:r>
            <w:r>
              <w:rPr>
                <w:noProof/>
              </w:rPr>
            </w:r>
            <w:r>
              <w:rPr>
                <w:noProof/>
              </w:rPr>
              <w:fldChar w:fldCharType="separate"/>
            </w:r>
            <w:r>
              <w:rPr>
                <w:noProof/>
              </w:rPr>
              <w:t>21</w:t>
            </w:r>
            <w:r>
              <w:rPr>
                <w:noProof/>
              </w:rPr>
              <w:fldChar w:fldCharType="end"/>
            </w:r>
          </w:hyperlink>
        </w:p>
        <w:p w:rsidR="008C3B6C" w:rsidRDefault="005C586C">
          <w:r>
            <w:fldChar w:fldCharType="end"/>
          </w:r>
        </w:p>
      </w:sdtContent>
    </w:sdt>
    <w:p w:rsidR="008C3B6C" w:rsidRDefault="005C586C">
      <w:r>
        <w:br w:type="page"/>
      </w:r>
    </w:p>
    <w:p w:rsidR="008C3B6C" w:rsidRDefault="005C586C">
      <w:pPr>
        <w:pStyle w:val="Heading1"/>
        <w:spacing w:before="360" w:after="200"/>
      </w:pPr>
      <w:bookmarkStart w:id="1" w:name="_Toc235175922"/>
      <w:r>
        <w:rPr>
          <w:rFonts w:ascii="Calibri" w:eastAsia="Calibri" w:hAnsi="Calibri" w:cs="Calibri"/>
          <w:b/>
          <w:bCs/>
          <w:color w:val="1A2332"/>
        </w:rPr>
        <w:lastRenderedPageBreak/>
        <w:t>1. Executive Summary</w:t>
      </w:r>
      <w:bookmarkEnd w:id="1"/>
    </w:p>
    <w:p w:rsidR="008C3B6C" w:rsidRDefault="005C586C">
      <w:pPr>
        <w:spacing w:after="160" w:line="300" w:lineRule="auto"/>
      </w:pPr>
      <w:r>
        <w:rPr>
          <w:rFonts w:ascii="Calibri" w:eastAsia="Calibri" w:hAnsi="Calibri" w:cs="Calibri"/>
          <w:color w:val="2B2B2B"/>
          <w:sz w:val="21"/>
          <w:szCs w:val="21"/>
        </w:rPr>
        <w:t>This document specifies the complete design of an AI-driven digital lending application built on one governing principle: the applicant does the minimum, the system does the maximum. The borrower completes an application in five screen</w:t>
      </w:r>
      <w:r>
        <w:rPr>
          <w:rFonts w:ascii="Calibri" w:eastAsia="Calibri" w:hAnsi="Calibri" w:cs="Calibri"/>
          <w:color w:val="2B2B2B"/>
          <w:sz w:val="21"/>
          <w:szCs w:val="21"/>
        </w:rPr>
        <w:t>s and under three minutes, providing roughly eight pieces of information. Behind that simple surface, the platform assembles data from fifteen source families, engineers 2,500 to 4,000 predictive features, runs a layered ensemble of machine-learning models</w:t>
      </w:r>
      <w:r>
        <w:rPr>
          <w:rFonts w:ascii="Calibri" w:eastAsia="Calibri" w:hAnsi="Calibri" w:cs="Calibri"/>
          <w:color w:val="2B2B2B"/>
          <w:sz w:val="21"/>
          <w:szCs w:val="21"/>
        </w:rPr>
        <w:t>, and returns a fully priced, fully explained credit decision in under five seconds.</w:t>
      </w:r>
    </w:p>
    <w:p w:rsidR="008C3B6C" w:rsidRDefault="005C586C">
      <w:pPr>
        <w:spacing w:after="160" w:line="300" w:lineRule="auto"/>
      </w:pPr>
      <w:r>
        <w:rPr>
          <w:rFonts w:ascii="Calibri" w:eastAsia="Calibri" w:hAnsi="Calibri" w:cs="Calibri"/>
          <w:color w:val="2B2B2B"/>
          <w:sz w:val="21"/>
          <w:szCs w:val="21"/>
        </w:rPr>
        <w:t>The design synthesizes three proven blueprints: the Chinese nano-lending stack (device intelligence, behavioral biometrics, sub-five-second decisions), the Western regulat</w:t>
      </w:r>
      <w:r>
        <w:rPr>
          <w:rFonts w:ascii="Calibri" w:eastAsia="Calibri" w:hAnsi="Calibri" w:cs="Calibri"/>
          <w:color w:val="2B2B2B"/>
          <w:sz w:val="21"/>
          <w:szCs w:val="21"/>
        </w:rPr>
        <w:t>ed stack (bureau data, explainability, adverse-action reason codes, fairness governance), and the emerging-market alternative-data stack (telecom, wallet, utility and open-banking cash-flow data for thin-file borrowers). Current research and production evi</w:t>
      </w:r>
      <w:r>
        <w:rPr>
          <w:rFonts w:ascii="Calibri" w:eastAsia="Calibri" w:hAnsi="Calibri" w:cs="Calibri"/>
          <w:color w:val="2B2B2B"/>
          <w:sz w:val="21"/>
          <w:szCs w:val="21"/>
        </w:rPr>
        <w:t>dence support this direction: the strongest 2026-generation models combine consented alternative data — rent, utilities, telecom, bank cash flow — with explainable machine learning, and peer-reviewed evidence shows such systems can raise approval rates and</w:t>
      </w:r>
      <w:r>
        <w:rPr>
          <w:rFonts w:ascii="Calibri" w:eastAsia="Calibri" w:hAnsi="Calibri" w:cs="Calibri"/>
          <w:color w:val="2B2B2B"/>
          <w:sz w:val="21"/>
          <w:szCs w:val="21"/>
        </w:rPr>
        <w:t xml:space="preserve"> lower default rates simultaneously for underserved populations.</w:t>
      </w:r>
    </w:p>
    <w:p w:rsidR="008C3B6C" w:rsidRDefault="005C586C">
      <w:pPr>
        <w:pStyle w:val="Heading3"/>
        <w:spacing w:before="220" w:after="120"/>
      </w:pPr>
      <w:r>
        <w:rPr>
          <w:rFonts w:ascii="Calibri" w:eastAsia="Calibri" w:hAnsi="Calibri" w:cs="Calibri"/>
          <w:b/>
          <w:bCs/>
          <w:color w:val="2E5BFF"/>
          <w:sz w:val="22"/>
          <w:szCs w:val="22"/>
        </w:rPr>
        <w:t>What the system delivers</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A five-screen applicant journey with ~8 user inputs, automated KYC, and instant decisions.</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 xml:space="preserve">A data architecture spanning 15 source families and 2,500–4,000 engineered </w:t>
      </w:r>
      <w:r>
        <w:rPr>
          <w:rFonts w:ascii="Calibri" w:eastAsia="Calibri" w:hAnsi="Calibri" w:cs="Calibri"/>
          <w:color w:val="2B2B2B"/>
          <w:sz w:val="21"/>
          <w:szCs w:val="21"/>
        </w:rPr>
        <w:t>features per application.</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A two-stage decisioning core: a fraud gate, then a 12-sub-score credit engine feeding a calibrated Probability-of-Default (PD) ensemble.</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A transparent scorecard layer (points-based, 300–900 scale) reconciled with the ML ensemble for regulatory defensibility.</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Risk-based limit assignment and pricing formulas driven by PD, LGD, EAD and affordability.</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Explainable AI (SHAP reason codes), fairnes</w:t>
      </w:r>
      <w:r>
        <w:rPr>
          <w:rFonts w:ascii="Calibri" w:eastAsia="Calibri" w:hAnsi="Calibri" w:cs="Calibri"/>
          <w:color w:val="2B2B2B"/>
          <w:sz w:val="21"/>
          <w:szCs w:val="21"/>
        </w:rPr>
        <w:t>s monitoring, champion/challenger governance and full MLOps.</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A cloud-native microservices architecture with a real-time feature store and a sub-5-second latency budget.</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A three-phase cold-start strategy so the system can lend safely from day one, before any repayment history exists.</w:t>
      </w:r>
    </w:p>
    <w:p w:rsidR="008C3B6C" w:rsidRDefault="005C586C">
      <w:r>
        <w:br w:type="page"/>
      </w:r>
    </w:p>
    <w:p w:rsidR="008C3B6C" w:rsidRDefault="005C586C">
      <w:pPr>
        <w:pStyle w:val="Heading1"/>
        <w:spacing w:before="360" w:after="200"/>
      </w:pPr>
      <w:bookmarkStart w:id="2" w:name="_Toc235175923"/>
      <w:r>
        <w:rPr>
          <w:rFonts w:ascii="Calibri" w:eastAsia="Calibri" w:hAnsi="Calibri" w:cs="Calibri"/>
          <w:b/>
          <w:bCs/>
          <w:color w:val="1A2332"/>
        </w:rPr>
        <w:lastRenderedPageBreak/>
        <w:t>2. Design Philosophy: Ask Little, Learn Much</w:t>
      </w:r>
      <w:bookmarkEnd w:id="2"/>
    </w:p>
    <w:p w:rsidR="008C3B6C" w:rsidRDefault="005C586C">
      <w:pPr>
        <w:spacing w:after="160" w:line="300" w:lineRule="auto"/>
      </w:pPr>
      <w:r>
        <w:rPr>
          <w:rFonts w:ascii="Calibri" w:eastAsia="Calibri" w:hAnsi="Calibri" w:cs="Calibri"/>
          <w:color w:val="2B2B2B"/>
          <w:sz w:val="21"/>
          <w:szCs w:val="21"/>
        </w:rPr>
        <w:t>Every element of the design flows from a single asymmetry:</w:t>
      </w:r>
    </w:p>
    <w:p w:rsidR="008C3B6C" w:rsidRDefault="005C586C">
      <w:pPr>
        <w:shd w:val="clear" w:color="auto" w:fill="F5F7FA"/>
        <w:spacing w:after="40"/>
        <w:ind w:left="240"/>
      </w:pPr>
      <w:r>
        <w:rPr>
          <w:rFonts w:ascii="Consolas" w:eastAsia="Consolas" w:hAnsi="Consolas" w:cs="Consolas"/>
          <w:color w:val="1A2332"/>
          <w:sz w:val="17"/>
          <w:szCs w:val="17"/>
        </w:rPr>
        <w:t xml:space="preserve">  APPLICANT EFFORT        SYSTEM EF</w:t>
      </w:r>
      <w:r>
        <w:rPr>
          <w:rFonts w:ascii="Consolas" w:eastAsia="Consolas" w:hAnsi="Consolas" w:cs="Consolas"/>
          <w:color w:val="1A2332"/>
          <w:sz w:val="17"/>
          <w:szCs w:val="17"/>
        </w:rPr>
        <w:t>FORT</w:t>
      </w:r>
    </w:p>
    <w:p w:rsidR="008C3B6C" w:rsidRDefault="005C586C">
      <w:pPr>
        <w:shd w:val="clear" w:color="auto" w:fill="F5F7FA"/>
        <w:spacing w:after="40"/>
        <w:ind w:left="240"/>
      </w:pPr>
      <w:r>
        <w:rPr>
          <w:rFonts w:ascii="Consolas" w:eastAsia="Consolas" w:hAnsi="Consolas" w:cs="Consolas"/>
          <w:color w:val="1A2332"/>
          <w:sz w:val="17"/>
          <w:szCs w:val="17"/>
        </w:rPr>
        <w:t xml:space="preserve">  ───────────────        ─────────────────────────────</w:t>
      </w:r>
    </w:p>
    <w:p w:rsidR="008C3B6C" w:rsidRDefault="005C586C">
      <w:pPr>
        <w:shd w:val="clear" w:color="auto" w:fill="F5F7FA"/>
        <w:spacing w:after="40"/>
        <w:ind w:left="240"/>
      </w:pPr>
      <w:r>
        <w:rPr>
          <w:rFonts w:ascii="Consolas" w:eastAsia="Consolas" w:hAnsi="Consolas" w:cs="Consolas"/>
          <w:color w:val="1A2332"/>
          <w:sz w:val="17"/>
          <w:szCs w:val="17"/>
        </w:rPr>
        <w:t xml:space="preserve">  ~8 inputs               15 data source families</w:t>
      </w:r>
    </w:p>
    <w:p w:rsidR="008C3B6C" w:rsidRDefault="005C586C">
      <w:pPr>
        <w:shd w:val="clear" w:color="auto" w:fill="F5F7FA"/>
        <w:spacing w:after="40"/>
        <w:ind w:left="240"/>
      </w:pPr>
      <w:r>
        <w:rPr>
          <w:rFonts w:ascii="Consolas" w:eastAsia="Consolas" w:hAnsi="Consolas" w:cs="Consolas"/>
          <w:color w:val="1A2332"/>
          <w:sz w:val="17"/>
          <w:szCs w:val="17"/>
        </w:rPr>
        <w:t xml:space="preserve">  5 screens               2,500–4,000 engineered features</w:t>
      </w:r>
    </w:p>
    <w:p w:rsidR="008C3B6C" w:rsidRDefault="005C586C">
      <w:pPr>
        <w:shd w:val="clear" w:color="auto" w:fill="F5F7FA"/>
        <w:spacing w:after="40"/>
        <w:ind w:left="240"/>
      </w:pPr>
      <w:r>
        <w:rPr>
          <w:rFonts w:ascii="Consolas" w:eastAsia="Consolas" w:hAnsi="Consolas" w:cs="Consolas"/>
          <w:color w:val="1A2332"/>
          <w:sz w:val="17"/>
          <w:szCs w:val="17"/>
        </w:rPr>
        <w:t xml:space="preserve">  &lt; 3 minutes             12 sub-scores, 8+ ML models</w:t>
      </w:r>
    </w:p>
    <w:p w:rsidR="008C3B6C" w:rsidRDefault="005C586C">
      <w:pPr>
        <w:shd w:val="clear" w:color="auto" w:fill="F5F7FA"/>
        <w:spacing w:after="200"/>
        <w:ind w:left="240"/>
      </w:pPr>
      <w:r>
        <w:rPr>
          <w:rFonts w:ascii="Consolas" w:eastAsia="Consolas" w:hAnsi="Consolas" w:cs="Consolas"/>
          <w:color w:val="1A2332"/>
          <w:sz w:val="17"/>
          <w:szCs w:val="17"/>
        </w:rPr>
        <w:t xml:space="preserve">  1 tap to accept         PD / LGD</w:t>
      </w:r>
      <w:r>
        <w:rPr>
          <w:rFonts w:ascii="Consolas" w:eastAsia="Consolas" w:hAnsi="Consolas" w:cs="Consolas"/>
          <w:color w:val="1A2332"/>
          <w:sz w:val="17"/>
          <w:szCs w:val="17"/>
        </w:rPr>
        <w:t xml:space="preserve"> / EAD / pricing engine</w:t>
      </w:r>
    </w:p>
    <w:p w:rsidR="008C3B6C" w:rsidRDefault="005C586C">
      <w:pPr>
        <w:spacing w:after="160" w:line="300" w:lineRule="auto"/>
      </w:pPr>
      <w:r>
        <w:rPr>
          <w:rFonts w:ascii="Calibri" w:eastAsia="Calibri" w:hAnsi="Calibri" w:cs="Calibri"/>
          <w:color w:val="2B2B2B"/>
          <w:sz w:val="21"/>
          <w:szCs w:val="21"/>
        </w:rPr>
        <w:t>Three design rules operationalize this:</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Never ask what you can fetch. National ID number is typed once; name, date of birth and address are extracted by OCR from the ID document and verified against the government registry. Income i</w:t>
      </w:r>
      <w:r>
        <w:rPr>
          <w:rFonts w:ascii="Calibri" w:eastAsia="Calibri" w:hAnsi="Calibri" w:cs="Calibri"/>
          <w:color w:val="2B2B2B"/>
          <w:sz w:val="21"/>
          <w:szCs w:val="21"/>
        </w:rPr>
        <w:t>s never asked as a free-text field the borrower can inflate — it is predicted from cash-flow data and cross-checked against the declared range.</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Never fetch what you cannot justify. Every data source is consent-gated, purpose-limited and shown to the user i</w:t>
      </w:r>
      <w:r>
        <w:rPr>
          <w:rFonts w:ascii="Calibri" w:eastAsia="Calibri" w:hAnsi="Calibri" w:cs="Calibri"/>
          <w:color w:val="2B2B2B"/>
          <w:sz w:val="21"/>
          <w:szCs w:val="21"/>
        </w:rPr>
        <w:t>n plain language. Consented, regulated alternative data (bank transactions, telecom, utilities) is defensible; scraped contact lists and social graphs are not, and are excluded by design — regulators in most jurisdictions have restricted or prohibited them</w:t>
      </w:r>
      <w:r>
        <w:rPr>
          <w:rFonts w:ascii="Calibri" w:eastAsia="Calibri" w:hAnsi="Calibri" w:cs="Calibri"/>
          <w:color w:val="2B2B2B"/>
          <w:sz w:val="21"/>
          <w:szCs w:val="21"/>
        </w:rPr>
        <w:t>.</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Never decide what you cannot explain. Every decision — approve, decline, limit, price — carries machine-generated reason codes derived from SHAP values, mapped to human-readable adverse-action language. A decline the lender cannot explain is a decline it</w:t>
      </w:r>
      <w:r>
        <w:rPr>
          <w:rFonts w:ascii="Calibri" w:eastAsia="Calibri" w:hAnsi="Calibri" w:cs="Calibri"/>
          <w:color w:val="2B2B2B"/>
          <w:sz w:val="21"/>
          <w:szCs w:val="21"/>
        </w:rPr>
        <w:t xml:space="preserve"> cannot defend.</w:t>
      </w:r>
    </w:p>
    <w:p w:rsidR="008C3B6C" w:rsidRDefault="005C586C">
      <w:pPr>
        <w:pStyle w:val="Heading3"/>
        <w:spacing w:before="220" w:after="120"/>
      </w:pPr>
      <w:r>
        <w:rPr>
          <w:rFonts w:ascii="Calibri" w:eastAsia="Calibri" w:hAnsi="Calibri" w:cs="Calibri"/>
          <w:b/>
          <w:bCs/>
          <w:color w:val="2E5BFF"/>
          <w:sz w:val="22"/>
          <w:szCs w:val="22"/>
        </w:rPr>
        <w:t>Progressive data acquisition</w:t>
      </w:r>
    </w:p>
    <w:p w:rsidR="008C3B6C" w:rsidRDefault="005C586C">
      <w:pPr>
        <w:spacing w:after="160" w:line="300" w:lineRule="auto"/>
      </w:pPr>
      <w:r>
        <w:rPr>
          <w:rFonts w:ascii="Calibri" w:eastAsia="Calibri" w:hAnsi="Calibri" w:cs="Calibri"/>
          <w:color w:val="2B2B2B"/>
          <w:sz w:val="21"/>
          <w:szCs w:val="21"/>
        </w:rPr>
        <w:t>The system operates a tiered data model. Tier 0 (mandatory) is enough to decide a small first loan: identity, device, behavioral and telecom signals. Tier 1 (encouraged, consent-based) unlocks larger limits: ope</w:t>
      </w:r>
      <w:r>
        <w:rPr>
          <w:rFonts w:ascii="Calibri" w:eastAsia="Calibri" w:hAnsi="Calibri" w:cs="Calibri"/>
          <w:color w:val="2B2B2B"/>
          <w:sz w:val="21"/>
          <w:szCs w:val="21"/>
        </w:rPr>
        <w:t xml:space="preserve">n-banking or SMS-parsed bank transactions, wallet history, utility and rent payments. Tier 2 (relationship data) accrues automatically with each repaid loan and becomes the strongest predictor of all. The app presents this to the borrower as a transparent </w:t>
      </w:r>
      <w:r>
        <w:rPr>
          <w:rFonts w:ascii="Calibri" w:eastAsia="Calibri" w:hAnsi="Calibri" w:cs="Calibri"/>
          <w:color w:val="2B2B2B"/>
          <w:sz w:val="21"/>
          <w:szCs w:val="21"/>
        </w:rPr>
        <w:t>bargain: “Connect your bank account to unlock up to 5× your current limit.” Consent becomes a growth lever rather than a compliance checkbox.</w:t>
      </w:r>
    </w:p>
    <w:p w:rsidR="008C3B6C" w:rsidRDefault="005C586C">
      <w:r>
        <w:br w:type="page"/>
      </w:r>
    </w:p>
    <w:p w:rsidR="008C3B6C" w:rsidRDefault="005C586C">
      <w:pPr>
        <w:pStyle w:val="Heading1"/>
        <w:spacing w:before="360" w:after="200"/>
      </w:pPr>
      <w:bookmarkStart w:id="3" w:name="_Toc235175924"/>
      <w:r>
        <w:rPr>
          <w:rFonts w:ascii="Calibri" w:eastAsia="Calibri" w:hAnsi="Calibri" w:cs="Calibri"/>
          <w:b/>
          <w:bCs/>
          <w:color w:val="1A2332"/>
        </w:rPr>
        <w:lastRenderedPageBreak/>
        <w:t>3. Applicant Journey &amp; UX Design</w:t>
      </w:r>
      <w:bookmarkEnd w:id="3"/>
    </w:p>
    <w:p w:rsidR="008C3B6C" w:rsidRDefault="005C586C">
      <w:pPr>
        <w:spacing w:after="160" w:line="300" w:lineRule="auto"/>
      </w:pPr>
      <w:r>
        <w:rPr>
          <w:rFonts w:ascii="Calibri" w:eastAsia="Calibri" w:hAnsi="Calibri" w:cs="Calibri"/>
          <w:color w:val="2B2B2B"/>
          <w:sz w:val="21"/>
          <w:szCs w:val="21"/>
        </w:rPr>
        <w:t xml:space="preserve">The journey is engineered so that every screen serves double duty: it collects </w:t>
      </w:r>
      <w:r>
        <w:rPr>
          <w:rFonts w:ascii="Calibri" w:eastAsia="Calibri" w:hAnsi="Calibri" w:cs="Calibri"/>
          <w:color w:val="2B2B2B"/>
          <w:sz w:val="21"/>
          <w:szCs w:val="21"/>
        </w:rPr>
        <w:t>an input the system genuinely cannot infer, and it silently generates behavioral telemetry that feeds the fraud and behavioral models (typing cadence, hesitation, copy-paste events, sensor data).</w:t>
      </w:r>
    </w:p>
    <w:p w:rsidR="008C3B6C" w:rsidRDefault="005C586C">
      <w:pPr>
        <w:pStyle w:val="Heading2"/>
        <w:spacing w:before="280" w:after="160"/>
      </w:pPr>
      <w:bookmarkStart w:id="4" w:name="_Toc235175925"/>
      <w:r>
        <w:rPr>
          <w:rFonts w:ascii="Calibri" w:eastAsia="Calibri" w:hAnsi="Calibri" w:cs="Calibri"/>
          <w:b/>
          <w:bCs/>
          <w:color w:val="44546A"/>
        </w:rPr>
        <w:t>3.1 The five-screen flow</w:t>
      </w:r>
      <w:bookmarkEnd w:id="4"/>
    </w:p>
    <w:tbl>
      <w:tblPr>
        <w:tblW w:w="9360" w:type="dxa"/>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CellMar>
          <w:left w:w="10" w:type="dxa"/>
          <w:right w:w="10" w:type="dxa"/>
        </w:tblCellMar>
        <w:tblLook w:val="04A0" w:firstRow="1" w:lastRow="0" w:firstColumn="1" w:lastColumn="0" w:noHBand="0" w:noVBand="1"/>
      </w:tblPr>
      <w:tblGrid>
        <w:gridCol w:w="399"/>
        <w:gridCol w:w="1399"/>
        <w:gridCol w:w="2597"/>
        <w:gridCol w:w="571"/>
        <w:gridCol w:w="4394"/>
      </w:tblGrid>
      <w:tr w:rsidR="008C3B6C">
        <w:tblPrEx>
          <w:tblCellMar>
            <w:top w:w="0" w:type="dxa"/>
            <w:bottom w:w="0" w:type="dxa"/>
          </w:tblCellMar>
        </w:tblPrEx>
        <w:trPr>
          <w:tblHeader/>
        </w:trPr>
        <w:tc>
          <w:tcPr>
            <w:tcW w:w="40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w:t>
            </w:r>
          </w:p>
        </w:tc>
        <w:tc>
          <w:tcPr>
            <w:tcW w:w="140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Screen</w:t>
            </w:r>
          </w:p>
        </w:tc>
        <w:tc>
          <w:tcPr>
            <w:tcW w:w="260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User does</w:t>
            </w:r>
          </w:p>
        </w:tc>
        <w:tc>
          <w:tcPr>
            <w:tcW w:w="56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Time</w:t>
            </w:r>
          </w:p>
        </w:tc>
        <w:tc>
          <w:tcPr>
            <w:tcW w:w="440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System does silently</w:t>
            </w:r>
          </w:p>
        </w:tc>
      </w:tr>
      <w:tr w:rsidR="008C3B6C">
        <w:tblPrEx>
          <w:tblCellMar>
            <w:top w:w="0" w:type="dxa"/>
            <w:bottom w:w="0" w:type="dxa"/>
          </w:tblCellMar>
        </w:tblPrEx>
        <w:tc>
          <w:tcPr>
            <w:tcW w:w="4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1</w:t>
            </w:r>
          </w:p>
        </w:tc>
        <w:tc>
          <w:tcPr>
            <w:tcW w:w="14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Phone + OTP</w:t>
            </w:r>
          </w:p>
        </w:tc>
        <w:tc>
          <w:tcPr>
            <w:tcW w:w="26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Enters mobile number, taps OTP autofill</w:t>
            </w:r>
          </w:p>
        </w:tc>
        <w:tc>
          <w:tcPr>
            <w:tcW w:w="5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15 s</w:t>
            </w:r>
          </w:p>
        </w:tc>
        <w:tc>
          <w:tcPr>
            <w:tcW w:w="44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Device fingerprint; SIM age &amp; tenure lookup; number-intelligence check; velocity check against prior applications; geolocation capture</w:t>
            </w:r>
          </w:p>
        </w:tc>
      </w:tr>
      <w:tr w:rsidR="008C3B6C">
        <w:tblPrEx>
          <w:tblCellMar>
            <w:top w:w="0" w:type="dxa"/>
            <w:bottom w:w="0" w:type="dxa"/>
          </w:tblCellMar>
        </w:tblPrEx>
        <w:tc>
          <w:tcPr>
            <w:tcW w:w="4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2</w:t>
            </w:r>
          </w:p>
        </w:tc>
        <w:tc>
          <w:tcPr>
            <w:tcW w:w="14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Identity (KYC)</w:t>
            </w:r>
          </w:p>
        </w:tc>
        <w:tc>
          <w:tcPr>
            <w:tcW w:w="26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Photographs national ID; takes selfie</w:t>
            </w:r>
          </w:p>
        </w:tc>
        <w:tc>
          <w:tcPr>
            <w:tcW w:w="56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45 s</w:t>
            </w:r>
          </w:p>
        </w:tc>
        <w:tc>
          <w:tcPr>
            <w:tcW w:w="44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OCR extraction of name/DOB/ID/address; government-registry match; face match + passive liveness; deepfake detection; sanctions/PEP/blacklist screening; duplicate-identity graph check</w:t>
            </w:r>
          </w:p>
        </w:tc>
      </w:tr>
      <w:tr w:rsidR="008C3B6C">
        <w:tblPrEx>
          <w:tblCellMar>
            <w:top w:w="0" w:type="dxa"/>
            <w:bottom w:w="0" w:type="dxa"/>
          </w:tblCellMar>
        </w:tblPrEx>
        <w:tc>
          <w:tcPr>
            <w:tcW w:w="4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3</w:t>
            </w:r>
          </w:p>
        </w:tc>
        <w:tc>
          <w:tcPr>
            <w:tcW w:w="14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Three questions</w:t>
            </w:r>
          </w:p>
        </w:tc>
        <w:tc>
          <w:tcPr>
            <w:tcW w:w="26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Confirms/edits: employment type, declared income range, loan purpose</w:t>
            </w:r>
          </w:p>
        </w:tc>
        <w:tc>
          <w:tcPr>
            <w:tcW w:w="5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30 s</w:t>
            </w:r>
          </w:p>
        </w:tc>
        <w:tc>
          <w:tcPr>
            <w:tcW w:w="44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Behavioral biometrics (typing rhythm, corrections, hesitation, copy-paste); consistency check of declared vs. predicted income</w:t>
            </w:r>
          </w:p>
        </w:tc>
      </w:tr>
      <w:tr w:rsidR="008C3B6C">
        <w:tblPrEx>
          <w:tblCellMar>
            <w:top w:w="0" w:type="dxa"/>
            <w:bottom w:w="0" w:type="dxa"/>
          </w:tblCellMar>
        </w:tblPrEx>
        <w:tc>
          <w:tcPr>
            <w:tcW w:w="4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4</w:t>
            </w:r>
          </w:p>
        </w:tc>
        <w:tc>
          <w:tcPr>
            <w:tcW w:w="14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Data consent</w:t>
            </w:r>
          </w:p>
        </w:tc>
        <w:tc>
          <w:tcPr>
            <w:tcW w:w="26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Toggles: bank connection (open banking / SMS parsing), telecom data, utility history — each with plain-language benefit statement</w:t>
            </w:r>
          </w:p>
        </w:tc>
        <w:tc>
          <w:tcPr>
            <w:tcW w:w="56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30 s</w:t>
            </w:r>
          </w:p>
        </w:tc>
        <w:tc>
          <w:tcPr>
            <w:tcW w:w="44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Async ingestion pipelines fire per consent; feature store begins computing Tier-1 features; limit preview updates live as</w:t>
            </w:r>
            <w:r>
              <w:rPr>
                <w:rFonts w:ascii="Calibri" w:eastAsia="Calibri" w:hAnsi="Calibri" w:cs="Calibri"/>
                <w:color w:val="2B2B2B"/>
                <w:sz w:val="18"/>
                <w:szCs w:val="18"/>
              </w:rPr>
              <w:t xml:space="preserve"> data lands</w:t>
            </w:r>
          </w:p>
        </w:tc>
      </w:tr>
      <w:tr w:rsidR="008C3B6C">
        <w:tblPrEx>
          <w:tblCellMar>
            <w:top w:w="0" w:type="dxa"/>
            <w:bottom w:w="0" w:type="dxa"/>
          </w:tblCellMar>
        </w:tblPrEx>
        <w:tc>
          <w:tcPr>
            <w:tcW w:w="4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5</w:t>
            </w:r>
          </w:p>
        </w:tc>
        <w:tc>
          <w:tcPr>
            <w:tcW w:w="14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Offer &amp; e-sign</w:t>
            </w:r>
          </w:p>
        </w:tc>
        <w:tc>
          <w:tcPr>
            <w:tcW w:w="26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Slides to select amount within approved limit; reviews APR, tenor, schedule; e-signs</w:t>
            </w:r>
          </w:p>
        </w:tc>
        <w:tc>
          <w:tcPr>
            <w:tcW w:w="5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40 s</w:t>
            </w:r>
          </w:p>
        </w:tc>
        <w:tc>
          <w:tcPr>
            <w:tcW w:w="44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Full scoring pipeline completes; risk-based limit &amp; price rendered; contract generated; disbursement to wallet/bank initiated</w:t>
            </w:r>
          </w:p>
        </w:tc>
      </w:tr>
    </w:tbl>
    <w:p w:rsidR="008C3B6C" w:rsidRDefault="008C3B6C">
      <w:pPr>
        <w:spacing w:after="120"/>
      </w:pPr>
    </w:p>
    <w:p w:rsidR="008C3B6C" w:rsidRDefault="005C586C">
      <w:pPr>
        <w:spacing w:after="160" w:line="300" w:lineRule="auto"/>
      </w:pPr>
      <w:r>
        <w:rPr>
          <w:rFonts w:ascii="Calibri" w:eastAsia="Calibri" w:hAnsi="Calibri" w:cs="Calibri"/>
          <w:color w:val="2B2B2B"/>
          <w:sz w:val="21"/>
          <w:szCs w:val="21"/>
        </w:rPr>
        <w:t>Total applicant effort: approximately eight inputs and 2½–3 minutes. Returning borrowers skip screens 1–3 entirely (biometric login) and see a pre-approved limit on the home screen — a one-tap drawdown.</w:t>
      </w:r>
    </w:p>
    <w:p w:rsidR="008C3B6C" w:rsidRDefault="005C586C">
      <w:pPr>
        <w:pStyle w:val="Heading2"/>
        <w:spacing w:before="280" w:after="160"/>
      </w:pPr>
      <w:bookmarkStart w:id="5" w:name="_Toc235175926"/>
      <w:r>
        <w:rPr>
          <w:rFonts w:ascii="Calibri" w:eastAsia="Calibri" w:hAnsi="Calibri" w:cs="Calibri"/>
          <w:b/>
          <w:bCs/>
          <w:color w:val="44546A"/>
        </w:rPr>
        <w:t>3.2 UX principles</w:t>
      </w:r>
      <w:bookmarkEnd w:id="5"/>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One decision per screen; primary ac</w:t>
      </w:r>
      <w:r>
        <w:rPr>
          <w:rFonts w:ascii="Calibri" w:eastAsia="Calibri" w:hAnsi="Calibri" w:cs="Calibri"/>
          <w:color w:val="2B2B2B"/>
          <w:sz w:val="21"/>
          <w:szCs w:val="21"/>
        </w:rPr>
        <w:t>tion always thumb-reachable; progress indicator throughout.</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Live limit preview on the consent screen — connecting data visibly raises the number, making the value exchange concrete.</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Full price transparency before signature: APR, total cost of credit, repay</w:t>
      </w:r>
      <w:r>
        <w:rPr>
          <w:rFonts w:ascii="Calibri" w:eastAsia="Calibri" w:hAnsi="Calibri" w:cs="Calibri"/>
          <w:color w:val="2B2B2B"/>
          <w:sz w:val="21"/>
          <w:szCs w:val="21"/>
        </w:rPr>
        <w:t>ment schedule, late-fee policy. No dark patterns; regulators and app-store policies both punish concealment.</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Decline with dignity: a declined applicant sees the top reasons (from reason codes), which are fixable, and a path back (“connect your bank account</w:t>
      </w:r>
      <w:r>
        <w:rPr>
          <w:rFonts w:ascii="Calibri" w:eastAsia="Calibri" w:hAnsi="Calibri" w:cs="Calibri"/>
          <w:color w:val="2B2B2B"/>
          <w:sz w:val="21"/>
          <w:szCs w:val="21"/>
        </w:rPr>
        <w:t xml:space="preserve"> and reapply in 30 days”).</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Offline-tolerant and low-end-device-tolerant: the app must run on 2 GB RAM Android devices over 3G; heavy computation happens server-side.</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Accessibility and localization from day one: local language(s), numerals, and voice guidance for lower-literacy segments.</w:t>
      </w:r>
    </w:p>
    <w:p w:rsidR="008C3B6C" w:rsidRDefault="005C586C">
      <w:r>
        <w:br w:type="page"/>
      </w:r>
    </w:p>
    <w:p w:rsidR="008C3B6C" w:rsidRDefault="005C586C">
      <w:pPr>
        <w:pStyle w:val="Heading1"/>
        <w:spacing w:before="360" w:after="200"/>
      </w:pPr>
      <w:bookmarkStart w:id="6" w:name="_Toc235175927"/>
      <w:r>
        <w:rPr>
          <w:rFonts w:ascii="Calibri" w:eastAsia="Calibri" w:hAnsi="Calibri" w:cs="Calibri"/>
          <w:b/>
          <w:bCs/>
          <w:color w:val="1A2332"/>
        </w:rPr>
        <w:lastRenderedPageBreak/>
        <w:t>4. Data Architecture: Sources &amp; Scorable Elements</w:t>
      </w:r>
      <w:bookmarkEnd w:id="6"/>
    </w:p>
    <w:p w:rsidR="008C3B6C" w:rsidRDefault="005C586C">
      <w:pPr>
        <w:spacing w:after="160" w:line="300" w:lineRule="auto"/>
      </w:pPr>
      <w:r>
        <w:rPr>
          <w:rFonts w:ascii="Calibri" w:eastAsia="Calibri" w:hAnsi="Calibri" w:cs="Calibri"/>
          <w:color w:val="2B2B2B"/>
          <w:sz w:val="21"/>
          <w:szCs w:val="21"/>
        </w:rPr>
        <w:t>The platform draws on fifteen source families. The table below is the master taxonomy: what is collected, where it comes from, the consent basis, and the approximate number of engineered features each family yields in production.</w:t>
      </w:r>
    </w:p>
    <w:p w:rsidR="008C3B6C" w:rsidRDefault="005C586C">
      <w:pPr>
        <w:pStyle w:val="Heading2"/>
        <w:spacing w:before="280" w:after="160"/>
      </w:pPr>
      <w:bookmarkStart w:id="7" w:name="_Toc235175928"/>
      <w:r>
        <w:rPr>
          <w:rFonts w:ascii="Calibri" w:eastAsia="Calibri" w:hAnsi="Calibri" w:cs="Calibri"/>
          <w:b/>
          <w:bCs/>
          <w:color w:val="44546A"/>
        </w:rPr>
        <w:t>4.1 Master data taxonomy</w:t>
      </w:r>
      <w:bookmarkEnd w:id="7"/>
    </w:p>
    <w:tbl>
      <w:tblPr>
        <w:tblW w:w="8960" w:type="dxa"/>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CellMar>
          <w:left w:w="10" w:type="dxa"/>
          <w:right w:w="10" w:type="dxa"/>
        </w:tblCellMar>
        <w:tblLook w:val="04A0" w:firstRow="1" w:lastRow="0" w:firstColumn="1" w:lastColumn="0" w:noHBand="0" w:noVBand="1"/>
      </w:tblPr>
      <w:tblGrid>
        <w:gridCol w:w="1342"/>
        <w:gridCol w:w="1610"/>
        <w:gridCol w:w="1144"/>
        <w:gridCol w:w="3926"/>
        <w:gridCol w:w="938"/>
      </w:tblGrid>
      <w:tr w:rsidR="008C3B6C">
        <w:tblPrEx>
          <w:tblCellMar>
            <w:top w:w="0" w:type="dxa"/>
            <w:bottom w:w="0" w:type="dxa"/>
          </w:tblCellMar>
        </w:tblPrEx>
        <w:trPr>
          <w:tblHeader/>
        </w:trPr>
        <w:tc>
          <w:tcPr>
            <w:tcW w:w="135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F</w:t>
            </w:r>
            <w:r>
              <w:rPr>
                <w:rFonts w:ascii="Calibri" w:eastAsia="Calibri" w:hAnsi="Calibri" w:cs="Calibri"/>
                <w:b/>
                <w:bCs/>
                <w:color w:val="FFFFFF"/>
                <w:sz w:val="18"/>
                <w:szCs w:val="18"/>
              </w:rPr>
              <w:t>amily</w:t>
            </w:r>
          </w:p>
        </w:tc>
        <w:tc>
          <w:tcPr>
            <w:tcW w:w="165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Source / method</w:t>
            </w:r>
          </w:p>
        </w:tc>
        <w:tc>
          <w:tcPr>
            <w:tcW w:w="115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Consent basis</w:t>
            </w:r>
          </w:p>
        </w:tc>
        <w:tc>
          <w:tcPr>
            <w:tcW w:w="411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Representative elements</w:t>
            </w:r>
          </w:p>
        </w:tc>
        <w:tc>
          <w:tcPr>
            <w:tcW w:w="70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~Features</w:t>
            </w:r>
          </w:p>
        </w:tc>
      </w:tr>
      <w:tr w:rsidR="008C3B6C">
        <w:tblPrEx>
          <w:tblCellMar>
            <w:top w:w="0" w:type="dxa"/>
            <w:bottom w:w="0" w:type="dxa"/>
          </w:tblCellMar>
        </w:tblPrEx>
        <w:tc>
          <w:tcPr>
            <w:tcW w:w="13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1. Identity &amp; KYC</w:t>
            </w:r>
          </w:p>
        </w:tc>
        <w:tc>
          <w:tcPr>
            <w:tcW w:w="16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ID OCR + government registry + biometrics vendor</w:t>
            </w:r>
          </w:p>
        </w:tc>
        <w:tc>
          <w:tcPr>
            <w:tcW w:w="11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Mandatory (regulatory)</w:t>
            </w:r>
          </w:p>
        </w:tc>
        <w:tc>
          <w:tcPr>
            <w:tcW w:w="411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ID validity, name/DOB match, face-match %, liveness score, address verification, sanctions/PEP hits, duplicate-identity flags</w:t>
            </w:r>
          </w:p>
        </w:tc>
        <w:tc>
          <w:tcPr>
            <w:tcW w:w="7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60–80</w:t>
            </w:r>
          </w:p>
        </w:tc>
      </w:tr>
      <w:tr w:rsidR="008C3B6C">
        <w:tblPrEx>
          <w:tblCellMar>
            <w:top w:w="0" w:type="dxa"/>
            <w:bottom w:w="0" w:type="dxa"/>
          </w:tblCellMar>
        </w:tblPrEx>
        <w:tc>
          <w:tcPr>
            <w:tcW w:w="13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2. Demographics</w:t>
            </w:r>
          </w:p>
        </w:tc>
        <w:tc>
          <w:tcPr>
            <w:tcW w:w="16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Extracted from ID + 3 questions</w:t>
            </w:r>
          </w:p>
        </w:tc>
        <w:tc>
          <w:tcPr>
            <w:tcW w:w="11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Mandatory</w:t>
            </w:r>
          </w:p>
        </w:tc>
        <w:tc>
          <w:tcPr>
            <w:tcW w:w="411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Age, marital status, dependents, education, profession, employmen</w:t>
            </w:r>
            <w:r>
              <w:rPr>
                <w:rFonts w:ascii="Calibri" w:eastAsia="Calibri" w:hAnsi="Calibri" w:cs="Calibri"/>
                <w:color w:val="2B2B2B"/>
                <w:sz w:val="18"/>
                <w:szCs w:val="18"/>
              </w:rPr>
              <w:t>t type, residential tenure (gender &amp; protected attributes collected only for fairness testing, never as model inputs)</w:t>
            </w:r>
          </w:p>
        </w:tc>
        <w:tc>
          <w:tcPr>
            <w:tcW w:w="7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30–50</w:t>
            </w:r>
          </w:p>
        </w:tc>
      </w:tr>
      <w:tr w:rsidR="008C3B6C">
        <w:tblPrEx>
          <w:tblCellMar>
            <w:top w:w="0" w:type="dxa"/>
            <w:bottom w:w="0" w:type="dxa"/>
          </w:tblCellMar>
        </w:tblPrEx>
        <w:tc>
          <w:tcPr>
            <w:tcW w:w="13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3. Device intelligence</w:t>
            </w:r>
          </w:p>
        </w:tc>
        <w:tc>
          <w:tcPr>
            <w:tcW w:w="16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SDK on device</w:t>
            </w:r>
          </w:p>
        </w:tc>
        <w:tc>
          <w:tcPr>
            <w:tcW w:w="11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Mandatory (fraud prevention, disclosed)</w:t>
            </w:r>
          </w:p>
        </w:tc>
        <w:tc>
          <w:tcPr>
            <w:tcW w:w="411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Device age/model/price tier, OS version, root/jailbreak, emulator detection, VPN/proxy, SIM-change count, timezone-language-GPS consistency, battery &amp; storage profile, app-integrity attestation</w:t>
            </w:r>
          </w:p>
        </w:tc>
        <w:tc>
          <w:tcPr>
            <w:tcW w:w="7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200–300</w:t>
            </w:r>
          </w:p>
        </w:tc>
      </w:tr>
      <w:tr w:rsidR="008C3B6C">
        <w:tblPrEx>
          <w:tblCellMar>
            <w:top w:w="0" w:type="dxa"/>
            <w:bottom w:w="0" w:type="dxa"/>
          </w:tblCellMar>
        </w:tblPrEx>
        <w:tc>
          <w:tcPr>
            <w:tcW w:w="13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4. Behavioral biometrics</w:t>
            </w:r>
          </w:p>
        </w:tc>
        <w:tc>
          <w:tcPr>
            <w:tcW w:w="16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In-app telemetry</w:t>
            </w:r>
          </w:p>
        </w:tc>
        <w:tc>
          <w:tcPr>
            <w:tcW w:w="11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Mandatory (disclosed)</w:t>
            </w:r>
          </w:p>
        </w:tc>
        <w:tc>
          <w:tcPr>
            <w:tcW w:w="411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Typing speed &amp; rhythm, correction rate, copy-paste of ID/name fields, hesitation per question, swipe/scroll dynamics, session replay anomalies, form-completion time</w:t>
            </w:r>
          </w:p>
        </w:tc>
        <w:tc>
          <w:tcPr>
            <w:tcW w:w="7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150–250</w:t>
            </w:r>
          </w:p>
        </w:tc>
      </w:tr>
      <w:tr w:rsidR="008C3B6C">
        <w:tblPrEx>
          <w:tblCellMar>
            <w:top w:w="0" w:type="dxa"/>
            <w:bottom w:w="0" w:type="dxa"/>
          </w:tblCellMar>
        </w:tblPrEx>
        <w:tc>
          <w:tcPr>
            <w:tcW w:w="13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5. Telecom</w:t>
            </w:r>
          </w:p>
        </w:tc>
        <w:tc>
          <w:tcPr>
            <w:tcW w:w="16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MNO partnership / carrier API</w:t>
            </w:r>
          </w:p>
        </w:tc>
        <w:tc>
          <w:tcPr>
            <w:tcW w:w="11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Opt-in</w:t>
            </w:r>
          </w:p>
        </w:tc>
        <w:tc>
          <w:tcPr>
            <w:tcW w:w="411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SIM tenure, recharge frequency &amp; amounts, data usage, top-up regularity, roaming, telco bill payment history, number-porting events</w:t>
            </w:r>
          </w:p>
        </w:tc>
        <w:tc>
          <w:tcPr>
            <w:tcW w:w="7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150–220</w:t>
            </w:r>
          </w:p>
        </w:tc>
      </w:tr>
      <w:tr w:rsidR="008C3B6C">
        <w:tblPrEx>
          <w:tblCellMar>
            <w:top w:w="0" w:type="dxa"/>
            <w:bottom w:w="0" w:type="dxa"/>
          </w:tblCellMar>
        </w:tblPrEx>
        <w:tc>
          <w:tcPr>
            <w:tcW w:w="13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6. Banking &amp; open banking</w:t>
            </w:r>
          </w:p>
        </w:tc>
        <w:tc>
          <w:tcPr>
            <w:tcW w:w="16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Open-banking API / statement upload / SMS parsing</w:t>
            </w:r>
          </w:p>
        </w:tc>
        <w:tc>
          <w:tcPr>
            <w:tcW w:w="11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Opt-in (strongest limit unlock)</w:t>
            </w:r>
          </w:p>
        </w:tc>
        <w:tc>
          <w:tcPr>
            <w:tcW w:w="411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Salary credits &amp; regularity, income volatility, average &amp; minimum daily balance, balance trend, NSF/returned items, debit velocity, merchant categories, existing EMI debits, gambling flags, savings ratio</w:t>
            </w:r>
          </w:p>
        </w:tc>
        <w:tc>
          <w:tcPr>
            <w:tcW w:w="7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350–450</w:t>
            </w:r>
          </w:p>
        </w:tc>
      </w:tr>
      <w:tr w:rsidR="008C3B6C">
        <w:tblPrEx>
          <w:tblCellMar>
            <w:top w:w="0" w:type="dxa"/>
            <w:bottom w:w="0" w:type="dxa"/>
          </w:tblCellMar>
        </w:tblPrEx>
        <w:tc>
          <w:tcPr>
            <w:tcW w:w="13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7. Wallets &amp; payments</w:t>
            </w:r>
          </w:p>
        </w:tc>
        <w:tc>
          <w:tcPr>
            <w:tcW w:w="16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Wallet partner APIs / PSP</w:t>
            </w:r>
          </w:p>
        </w:tc>
        <w:tc>
          <w:tcPr>
            <w:tcW w:w="11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Opt-in</w:t>
            </w:r>
          </w:p>
        </w:tc>
        <w:tc>
          <w:tcPr>
            <w:tcW w:w="411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Wallet tenure, transaction count &amp; value trend, P2P network breadth, QR merchant payments, bill-pay history, chargebacks</w:t>
            </w:r>
          </w:p>
        </w:tc>
        <w:tc>
          <w:tcPr>
            <w:tcW w:w="7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150–250</w:t>
            </w:r>
          </w:p>
        </w:tc>
      </w:tr>
      <w:tr w:rsidR="008C3B6C">
        <w:tblPrEx>
          <w:tblCellMar>
            <w:top w:w="0" w:type="dxa"/>
            <w:bottom w:w="0" w:type="dxa"/>
          </w:tblCellMar>
        </w:tblPrEx>
        <w:tc>
          <w:tcPr>
            <w:tcW w:w="13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8. Utility, rent &amp; subscriptions</w:t>
            </w:r>
          </w:p>
        </w:tc>
        <w:tc>
          <w:tcPr>
            <w:tcW w:w="16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Biller aggregators / open banking</w:t>
            </w:r>
          </w:p>
        </w:tc>
        <w:tc>
          <w:tcPr>
            <w:tcW w:w="11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Opt-in</w:t>
            </w:r>
          </w:p>
        </w:tc>
        <w:tc>
          <w:tcPr>
            <w:tcW w:w="411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Electricity/water/gas payment punctuality, rent payments, telecom postpaid, streaming subscriptions, insurance premiums, school-fee payments</w:t>
            </w:r>
          </w:p>
        </w:tc>
        <w:tc>
          <w:tcPr>
            <w:tcW w:w="7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80–120</w:t>
            </w:r>
          </w:p>
        </w:tc>
      </w:tr>
      <w:tr w:rsidR="008C3B6C">
        <w:tblPrEx>
          <w:tblCellMar>
            <w:top w:w="0" w:type="dxa"/>
            <w:bottom w:w="0" w:type="dxa"/>
          </w:tblCellMar>
        </w:tblPrEx>
        <w:tc>
          <w:tcPr>
            <w:tcW w:w="13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9. Credit bureau</w:t>
            </w:r>
          </w:p>
        </w:tc>
        <w:tc>
          <w:tcPr>
            <w:tcW w:w="16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Bureau API (where borrower is not thin-file)</w:t>
            </w:r>
          </w:p>
        </w:tc>
        <w:tc>
          <w:tcPr>
            <w:tcW w:w="11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Mandatory where available</w:t>
            </w:r>
          </w:p>
        </w:tc>
        <w:tc>
          <w:tcPr>
            <w:tcW w:w="411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Bureau score, tradelines, utilization, DPD history, defaults, collections, inquiries (velocity), credit age &amp; mix</w:t>
            </w:r>
          </w:p>
        </w:tc>
        <w:tc>
          <w:tcPr>
            <w:tcW w:w="7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80–150</w:t>
            </w:r>
          </w:p>
        </w:tc>
      </w:tr>
      <w:tr w:rsidR="008C3B6C">
        <w:tblPrEx>
          <w:tblCellMar>
            <w:top w:w="0" w:type="dxa"/>
            <w:bottom w:w="0" w:type="dxa"/>
          </w:tblCellMar>
        </w:tblPrEx>
        <w:tc>
          <w:tcPr>
            <w:tcW w:w="13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10. Location intelligence</w:t>
            </w:r>
          </w:p>
        </w:tc>
        <w:tc>
          <w:tcPr>
            <w:tcW w:w="16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Coarse GPS + IP</w:t>
            </w:r>
          </w:p>
        </w:tc>
        <w:tc>
          <w:tcPr>
            <w:tcW w:w="11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Mandatory (fraud) + opt-in (enhanced)</w:t>
            </w:r>
          </w:p>
        </w:tc>
        <w:tc>
          <w:tcPr>
            <w:tcW w:w="411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Home/work location stability, night-location consistency, distance ID-address vs. GPS, fraud-hotspot proximity, impossible-travel events</w:t>
            </w:r>
          </w:p>
        </w:tc>
        <w:tc>
          <w:tcPr>
            <w:tcW w:w="7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80–120</w:t>
            </w:r>
          </w:p>
        </w:tc>
      </w:tr>
      <w:tr w:rsidR="008C3B6C">
        <w:tblPrEx>
          <w:tblCellMar>
            <w:top w:w="0" w:type="dxa"/>
            <w:bottom w:w="0" w:type="dxa"/>
          </w:tblCellMar>
        </w:tblPrEx>
        <w:tc>
          <w:tcPr>
            <w:tcW w:w="13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11. Digital footprint</w:t>
            </w:r>
          </w:p>
        </w:tc>
        <w:tc>
          <w:tcPr>
            <w:tcW w:w="16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Email/phone intelligence vendors</w:t>
            </w:r>
          </w:p>
        </w:tc>
        <w:tc>
          <w:tcPr>
            <w:tcW w:w="11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Mandatory (fraud)</w:t>
            </w:r>
          </w:p>
        </w:tc>
        <w:tc>
          <w:tcPr>
            <w:tcW w:w="411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Email age &amp;</w:t>
            </w:r>
            <w:r>
              <w:rPr>
                <w:rFonts w:ascii="Calibri" w:eastAsia="Calibri" w:hAnsi="Calibri" w:cs="Calibri"/>
                <w:color w:val="2B2B2B"/>
                <w:sz w:val="18"/>
                <w:szCs w:val="18"/>
              </w:rPr>
              <w:t xml:space="preserve"> domain reputation, phone-number age &amp; type (VoIP flag), breach-presence signal, registration footprint breadth</w:t>
            </w:r>
          </w:p>
        </w:tc>
        <w:tc>
          <w:tcPr>
            <w:tcW w:w="7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40–80</w:t>
            </w:r>
          </w:p>
        </w:tc>
      </w:tr>
      <w:tr w:rsidR="008C3B6C">
        <w:tblPrEx>
          <w:tblCellMar>
            <w:top w:w="0" w:type="dxa"/>
            <w:bottom w:w="0" w:type="dxa"/>
          </w:tblCellMar>
        </w:tblPrEx>
        <w:tc>
          <w:tcPr>
            <w:tcW w:w="13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lastRenderedPageBreak/>
              <w:t>12. Employment &amp; income</w:t>
            </w:r>
          </w:p>
        </w:tc>
        <w:tc>
          <w:tcPr>
            <w:tcW w:w="16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Payroll API / employer verification / predicted</w:t>
            </w:r>
          </w:p>
        </w:tc>
        <w:tc>
          <w:tcPr>
            <w:tcW w:w="11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Opt-in + derived</w:t>
            </w:r>
          </w:p>
        </w:tc>
        <w:tc>
          <w:tcPr>
            <w:tcW w:w="411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Payroll-verified salary, employer risk tier, tenure, income predicted from cash flows vs. declared range (divergence is itself a feature)</w:t>
            </w:r>
          </w:p>
        </w:tc>
        <w:tc>
          <w:tcPr>
            <w:tcW w:w="7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80–150</w:t>
            </w:r>
          </w:p>
        </w:tc>
      </w:tr>
      <w:tr w:rsidR="008C3B6C">
        <w:tblPrEx>
          <w:tblCellMar>
            <w:top w:w="0" w:type="dxa"/>
            <w:bottom w:w="0" w:type="dxa"/>
          </w:tblCellMar>
        </w:tblPrEx>
        <w:tc>
          <w:tcPr>
            <w:tcW w:w="13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13. Relationship (internal)</w:t>
            </w:r>
          </w:p>
        </w:tc>
        <w:tc>
          <w:tcPr>
            <w:tcW w:w="16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Own loan ledger</w:t>
            </w:r>
          </w:p>
        </w:tc>
        <w:tc>
          <w:tcPr>
            <w:tcW w:w="11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Automatic</w:t>
            </w:r>
          </w:p>
        </w:tc>
        <w:tc>
          <w:tcPr>
            <w:tcW w:w="411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Prior loans count, repayment punctuality, early repayments, limit utilization, top-up behavior, collection contacts, app-engagement recency</w:t>
            </w:r>
          </w:p>
        </w:tc>
        <w:tc>
          <w:tcPr>
            <w:tcW w:w="7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150–250</w:t>
            </w:r>
          </w:p>
        </w:tc>
      </w:tr>
      <w:tr w:rsidR="008C3B6C">
        <w:tblPrEx>
          <w:tblCellMar>
            <w:top w:w="0" w:type="dxa"/>
            <w:bottom w:w="0" w:type="dxa"/>
          </w:tblCellMar>
        </w:tblPrEx>
        <w:tc>
          <w:tcPr>
            <w:tcW w:w="13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14. Application meta &amp; velocity</w:t>
            </w:r>
          </w:p>
        </w:tc>
        <w:tc>
          <w:tcPr>
            <w:tcW w:w="16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Internal + consortium</w:t>
            </w:r>
          </w:p>
        </w:tc>
        <w:tc>
          <w:tcPr>
            <w:tcW w:w="11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Automatic</w:t>
            </w:r>
          </w:p>
        </w:tc>
        <w:tc>
          <w:tcPr>
            <w:tcW w:w="411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Applications per device/ID/address/IP in 24h/7d/30d, cross-lender velocity (consortium), time-of-day of application, referral source quality</w:t>
            </w:r>
          </w:p>
        </w:tc>
        <w:tc>
          <w:tcPr>
            <w:tcW w:w="7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60–100</w:t>
            </w:r>
          </w:p>
        </w:tc>
      </w:tr>
      <w:tr w:rsidR="008C3B6C">
        <w:tblPrEx>
          <w:tblCellMar>
            <w:top w:w="0" w:type="dxa"/>
            <w:bottom w:w="0" w:type="dxa"/>
          </w:tblCellMar>
        </w:tblPrEx>
        <w:tc>
          <w:tcPr>
            <w:tcW w:w="13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15. Macro &amp; portfolio context</w:t>
            </w:r>
          </w:p>
        </w:tc>
        <w:tc>
          <w:tcPr>
            <w:tcW w:w="16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Public data + internal</w:t>
            </w:r>
          </w:p>
        </w:tc>
        <w:tc>
          <w:tcPr>
            <w:tcW w:w="11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Automatic</w:t>
            </w:r>
          </w:p>
        </w:tc>
        <w:tc>
          <w:tcPr>
            <w:tcW w:w="411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Regional unemployment, inflation, seasonality, vintage performance of similar cohorts, current portfolio concentration</w:t>
            </w:r>
          </w:p>
        </w:tc>
        <w:tc>
          <w:tcPr>
            <w:tcW w:w="7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50–100</w:t>
            </w:r>
          </w:p>
        </w:tc>
      </w:tr>
    </w:tbl>
    <w:p w:rsidR="008C3B6C" w:rsidRDefault="008C3B6C">
      <w:pPr>
        <w:spacing w:after="120"/>
      </w:pPr>
    </w:p>
    <w:p w:rsidR="008C3B6C" w:rsidRDefault="005C586C">
      <w:pPr>
        <w:spacing w:after="160" w:line="300" w:lineRule="auto"/>
      </w:pPr>
      <w:r>
        <w:rPr>
          <w:rFonts w:ascii="Calibri" w:eastAsia="Calibri" w:hAnsi="Calibri" w:cs="Calibri"/>
          <w:b/>
          <w:bCs/>
          <w:color w:val="2B2B2B"/>
          <w:sz w:val="21"/>
          <w:szCs w:val="21"/>
        </w:rPr>
        <w:t xml:space="preserve">Production total: </w:t>
      </w:r>
      <w:r>
        <w:rPr>
          <w:rFonts w:ascii="Calibri" w:eastAsia="Calibri" w:hAnsi="Calibri" w:cs="Calibri"/>
          <w:color w:val="2B2B2B"/>
          <w:sz w:val="21"/>
          <w:szCs w:val="21"/>
        </w:rPr>
        <w:t xml:space="preserve">roughly 1,800–2,700 base features, expanding to </w:t>
      </w:r>
      <w:r>
        <w:rPr>
          <w:rFonts w:ascii="Calibri" w:eastAsia="Calibri" w:hAnsi="Calibri" w:cs="Calibri"/>
          <w:b/>
          <w:bCs/>
          <w:color w:val="2B2B2B"/>
          <w:sz w:val="21"/>
          <w:szCs w:val="21"/>
        </w:rPr>
        <w:t>2,500–4,000 after derived-feature generation</w:t>
      </w:r>
      <w:r>
        <w:rPr>
          <w:rFonts w:ascii="Calibri" w:eastAsia="Calibri" w:hAnsi="Calibri" w:cs="Calibri"/>
          <w:color w:val="2B2B2B"/>
          <w:sz w:val="21"/>
          <w:szCs w:val="21"/>
        </w:rPr>
        <w:t xml:space="preserve"> (interactions, ratios, time-windowed aggregates). This matches the observed range in mature digital lenders (600+ features in early Chinese nano-lenders, 2,000–5,000 in enterprise-grade engines).</w:t>
      </w:r>
    </w:p>
    <w:p w:rsidR="008C3B6C" w:rsidRDefault="005C586C">
      <w:pPr>
        <w:pStyle w:val="Heading3"/>
        <w:spacing w:before="220" w:after="120"/>
      </w:pPr>
      <w:r>
        <w:rPr>
          <w:rFonts w:ascii="Calibri" w:eastAsia="Calibri" w:hAnsi="Calibri" w:cs="Calibri"/>
          <w:b/>
          <w:bCs/>
          <w:color w:val="2E5BFF"/>
          <w:sz w:val="22"/>
          <w:szCs w:val="22"/>
        </w:rPr>
        <w:t>Deliberately excluded</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 xml:space="preserve">Contact lists, call logs to specific </w:t>
      </w:r>
      <w:r>
        <w:rPr>
          <w:rFonts w:ascii="Calibri" w:eastAsia="Calibri" w:hAnsi="Calibri" w:cs="Calibri"/>
          <w:color w:val="2B2B2B"/>
          <w:sz w:val="21"/>
          <w:szCs w:val="21"/>
        </w:rPr>
        <w:t>persons, and social-media graph data — restricted or prohibited in most jurisdictions, high reputational risk, and modern consented transactional data outperforms them.</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Protected attributes (gender, race, religion, ethnicity) as model inputs — retained onl</w:t>
      </w:r>
      <w:r>
        <w:rPr>
          <w:rFonts w:ascii="Calibri" w:eastAsia="Calibri" w:hAnsi="Calibri" w:cs="Calibri"/>
          <w:color w:val="2B2B2B"/>
          <w:sz w:val="21"/>
          <w:szCs w:val="21"/>
        </w:rPr>
        <w:t>y in a segregated fairness-audit store to test for disparate impact.</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Raw message content. SMS parsing, where used, extracts only structured financial-transaction templates from bank/telco sender IDs, on-device where possible.</w:t>
      </w:r>
    </w:p>
    <w:p w:rsidR="008C3B6C" w:rsidRDefault="005C586C">
      <w:r>
        <w:br w:type="page"/>
      </w:r>
    </w:p>
    <w:p w:rsidR="008C3B6C" w:rsidRDefault="005C586C">
      <w:pPr>
        <w:pStyle w:val="Heading1"/>
        <w:spacing w:before="360" w:after="200"/>
      </w:pPr>
      <w:bookmarkStart w:id="8" w:name="_Toc235175929"/>
      <w:r>
        <w:rPr>
          <w:rFonts w:ascii="Calibri" w:eastAsia="Calibri" w:hAnsi="Calibri" w:cs="Calibri"/>
          <w:b/>
          <w:bCs/>
          <w:color w:val="1A2332"/>
        </w:rPr>
        <w:lastRenderedPageBreak/>
        <w:t>5. Feature Engineering Frame</w:t>
      </w:r>
      <w:r>
        <w:rPr>
          <w:rFonts w:ascii="Calibri" w:eastAsia="Calibri" w:hAnsi="Calibri" w:cs="Calibri"/>
          <w:b/>
          <w:bCs/>
          <w:color w:val="1A2332"/>
        </w:rPr>
        <w:t>work</w:t>
      </w:r>
      <w:bookmarkEnd w:id="8"/>
    </w:p>
    <w:p w:rsidR="008C3B6C" w:rsidRDefault="005C586C">
      <w:pPr>
        <w:spacing w:after="160" w:line="300" w:lineRule="auto"/>
      </w:pPr>
      <w:r>
        <w:rPr>
          <w:rFonts w:ascii="Calibri" w:eastAsia="Calibri" w:hAnsi="Calibri" w:cs="Calibri"/>
          <w:color w:val="2B2B2B"/>
          <w:sz w:val="21"/>
          <w:szCs w:val="21"/>
        </w:rPr>
        <w:t>Raw data becomes predictive power through a disciplined pipeline. Every feature has a registered definition (owner, formula, source lineage, refresh frequency, missing-value rule, explainability label) in the feature store — a Data Dictionary discipline wi</w:t>
      </w:r>
      <w:r>
        <w:rPr>
          <w:rFonts w:ascii="Calibri" w:eastAsia="Calibri" w:hAnsi="Calibri" w:cs="Calibri"/>
          <w:color w:val="2B2B2B"/>
          <w:sz w:val="21"/>
          <w:szCs w:val="21"/>
        </w:rPr>
        <w:t>thout which a 3,000-feature system becomes unmaintainable.</w:t>
      </w:r>
    </w:p>
    <w:p w:rsidR="008C3B6C" w:rsidRDefault="005C586C">
      <w:pPr>
        <w:pStyle w:val="Heading2"/>
        <w:spacing w:before="280" w:after="160"/>
      </w:pPr>
      <w:bookmarkStart w:id="9" w:name="_Toc235175930"/>
      <w:r>
        <w:rPr>
          <w:rFonts w:ascii="Calibri" w:eastAsia="Calibri" w:hAnsi="Calibri" w:cs="Calibri"/>
          <w:b/>
          <w:bCs/>
          <w:color w:val="44546A"/>
        </w:rPr>
        <w:t>5.1 Transformation layers</w:t>
      </w:r>
      <w:bookmarkEnd w:id="9"/>
    </w:p>
    <w:p w:rsidR="008C3B6C" w:rsidRDefault="005C586C">
      <w:pPr>
        <w:shd w:val="clear" w:color="auto" w:fill="F5F7FA"/>
        <w:spacing w:after="40"/>
        <w:ind w:left="240"/>
      </w:pPr>
      <w:r>
        <w:rPr>
          <w:rFonts w:ascii="Consolas" w:eastAsia="Consolas" w:hAnsi="Consolas" w:cs="Consolas"/>
          <w:color w:val="1A2332"/>
          <w:sz w:val="17"/>
          <w:szCs w:val="17"/>
        </w:rPr>
        <w:t xml:space="preserve">  RAW SIGNALS ──► CLEANSING ──► BASE FEATURES ──► DERIVED FEATURES ──► MODEL-READY</w:t>
      </w:r>
    </w:p>
    <w:p w:rsidR="008C3B6C" w:rsidRDefault="005C586C">
      <w:pPr>
        <w:shd w:val="clear" w:color="auto" w:fill="F5F7FA"/>
        <w:spacing w:after="40"/>
        <w:ind w:left="240"/>
      </w:pPr>
      <w:r>
        <w:rPr>
          <w:rFonts w:ascii="Consolas" w:eastAsia="Consolas" w:hAnsi="Consolas" w:cs="Consolas"/>
          <w:color w:val="1A2332"/>
          <w:sz w:val="17"/>
          <w:szCs w:val="17"/>
        </w:rPr>
        <w:t xml:space="preserve">  (events,        (dedupe,      (per-source      (ratios, trends,    (WoE-binned,</w:t>
      </w:r>
    </w:p>
    <w:p w:rsidR="008C3B6C" w:rsidRDefault="005C586C">
      <w:pPr>
        <w:shd w:val="clear" w:color="auto" w:fill="F5F7FA"/>
        <w:spacing w:after="40"/>
        <w:ind w:left="240"/>
      </w:pPr>
      <w:r>
        <w:rPr>
          <w:rFonts w:ascii="Consolas" w:eastAsia="Consolas" w:hAnsi="Consolas" w:cs="Consolas"/>
          <w:color w:val="1A2332"/>
          <w:sz w:val="17"/>
          <w:szCs w:val="17"/>
        </w:rPr>
        <w:t xml:space="preserve">   sta</w:t>
      </w:r>
      <w:r>
        <w:rPr>
          <w:rFonts w:ascii="Consolas" w:eastAsia="Consolas" w:hAnsi="Consolas" w:cs="Consolas"/>
          <w:color w:val="1A2332"/>
          <w:sz w:val="17"/>
          <w:szCs w:val="17"/>
        </w:rPr>
        <w:t>tements,     impute,       aggregates)      windows, inter-     scaled,</w:t>
      </w:r>
    </w:p>
    <w:p w:rsidR="008C3B6C" w:rsidRDefault="005C586C">
      <w:pPr>
        <w:shd w:val="clear" w:color="auto" w:fill="F5F7FA"/>
        <w:spacing w:after="200"/>
        <w:ind w:left="240"/>
      </w:pPr>
      <w:r>
        <w:rPr>
          <w:rFonts w:ascii="Consolas" w:eastAsia="Consolas" w:hAnsi="Consolas" w:cs="Consolas"/>
          <w:color w:val="1A2332"/>
          <w:sz w:val="17"/>
          <w:szCs w:val="17"/>
        </w:rPr>
        <w:t xml:space="preserve">   telemetry)      outliers)                      actions, embeds)    encoded)</w:t>
      </w:r>
    </w:p>
    <w:p w:rsidR="008C3B6C" w:rsidRDefault="005C586C">
      <w:pPr>
        <w:pStyle w:val="Heading2"/>
        <w:spacing w:before="280" w:after="160"/>
      </w:pPr>
      <w:bookmarkStart w:id="10" w:name="_Toc235175931"/>
      <w:r>
        <w:rPr>
          <w:rFonts w:ascii="Calibri" w:eastAsia="Calibri" w:hAnsi="Calibri" w:cs="Calibri"/>
          <w:b/>
          <w:bCs/>
          <w:color w:val="44546A"/>
        </w:rPr>
        <w:t>5.2 Canonical engineered features and formulas</w:t>
      </w:r>
      <w:bookmarkEnd w:id="10"/>
    </w:p>
    <w:p w:rsidR="008C3B6C" w:rsidRDefault="005C586C">
      <w:pPr>
        <w:spacing w:after="160" w:line="300" w:lineRule="auto"/>
      </w:pPr>
      <w:r>
        <w:rPr>
          <w:rFonts w:ascii="Calibri" w:eastAsia="Calibri" w:hAnsi="Calibri" w:cs="Calibri"/>
          <w:color w:val="2B2B2B"/>
          <w:sz w:val="21"/>
          <w:szCs w:val="21"/>
        </w:rPr>
        <w:t>Affordability and cash-flow ratios (the strongest classical predictors):</w:t>
      </w:r>
    </w:p>
    <w:p w:rsidR="008C3B6C" w:rsidRDefault="005C586C">
      <w:pPr>
        <w:shd w:val="clear" w:color="auto" w:fill="F5F7FA"/>
        <w:spacing w:after="40"/>
        <w:ind w:left="240"/>
      </w:pPr>
      <w:r>
        <w:rPr>
          <w:rFonts w:ascii="Consolas" w:eastAsia="Consolas" w:hAnsi="Consolas" w:cs="Consolas"/>
          <w:color w:val="1A2332"/>
          <w:sz w:val="17"/>
          <w:szCs w:val="17"/>
        </w:rPr>
        <w:t>DTI  = Total monthly debt payments / Gross monthly income</w:t>
      </w:r>
    </w:p>
    <w:p w:rsidR="008C3B6C" w:rsidRDefault="005C586C">
      <w:pPr>
        <w:shd w:val="clear" w:color="auto" w:fill="F5F7FA"/>
        <w:spacing w:after="40"/>
        <w:ind w:left="240"/>
      </w:pPr>
      <w:r>
        <w:rPr>
          <w:rFonts w:ascii="Consolas" w:eastAsia="Consolas" w:hAnsi="Consolas" w:cs="Consolas"/>
          <w:color w:val="1A2332"/>
          <w:sz w:val="17"/>
          <w:szCs w:val="17"/>
        </w:rPr>
        <w:t>FOIR = (Existing EMIs + Proposed EMI) / Net monthly income</w:t>
      </w:r>
    </w:p>
    <w:p w:rsidR="008C3B6C" w:rsidRDefault="005C586C">
      <w:pPr>
        <w:shd w:val="clear" w:color="auto" w:fill="F5F7FA"/>
        <w:spacing w:after="40"/>
        <w:ind w:left="240"/>
      </w:pPr>
      <w:r>
        <w:rPr>
          <w:rFonts w:ascii="Consolas" w:eastAsia="Consolas" w:hAnsi="Consolas" w:cs="Consolas"/>
          <w:color w:val="1A2332"/>
          <w:sz w:val="17"/>
          <w:szCs w:val="17"/>
        </w:rPr>
        <w:t>DSR  = Total debt service / Disposable income</w:t>
      </w:r>
    </w:p>
    <w:p w:rsidR="008C3B6C" w:rsidRDefault="005C586C">
      <w:pPr>
        <w:shd w:val="clear" w:color="auto" w:fill="F5F7FA"/>
        <w:spacing w:after="40"/>
        <w:ind w:left="240"/>
      </w:pPr>
      <w:r>
        <w:rPr>
          <w:rFonts w:ascii="Consolas" w:eastAsia="Consolas" w:hAnsi="Consolas" w:cs="Consolas"/>
          <w:color w:val="1A2332"/>
          <w:sz w:val="17"/>
          <w:szCs w:val="17"/>
        </w:rPr>
        <w:t xml:space="preserve">Savings ratio       </w:t>
      </w:r>
      <w:r>
        <w:rPr>
          <w:rFonts w:ascii="Consolas" w:eastAsia="Consolas" w:hAnsi="Consolas" w:cs="Consolas"/>
          <w:color w:val="1A2332"/>
          <w:sz w:val="17"/>
          <w:szCs w:val="17"/>
        </w:rPr>
        <w:t xml:space="preserve"> = Net monthly savings / Net income</w:t>
      </w:r>
    </w:p>
    <w:p w:rsidR="008C3B6C" w:rsidRDefault="005C586C">
      <w:pPr>
        <w:shd w:val="clear" w:color="auto" w:fill="F5F7FA"/>
        <w:spacing w:after="40"/>
        <w:ind w:left="240"/>
      </w:pPr>
      <w:r>
        <w:rPr>
          <w:rFonts w:ascii="Consolas" w:eastAsia="Consolas" w:hAnsi="Consolas" w:cs="Consolas"/>
          <w:color w:val="1A2332"/>
          <w:sz w:val="17"/>
          <w:szCs w:val="17"/>
        </w:rPr>
        <w:t>Income volatility    = σ(monthly income, 6m) / μ(monthly income, 6m)   [coefficient of variation]</w:t>
      </w:r>
    </w:p>
    <w:p w:rsidR="008C3B6C" w:rsidRDefault="005C586C">
      <w:pPr>
        <w:shd w:val="clear" w:color="auto" w:fill="F5F7FA"/>
        <w:spacing w:after="40"/>
        <w:ind w:left="240"/>
      </w:pPr>
      <w:r>
        <w:rPr>
          <w:rFonts w:ascii="Consolas" w:eastAsia="Consolas" w:hAnsi="Consolas" w:cs="Consolas"/>
          <w:color w:val="1A2332"/>
          <w:sz w:val="17"/>
          <w:szCs w:val="17"/>
        </w:rPr>
        <w:t>Balance trend        = slope of OLS fit over daily end-balance, 90d</w:t>
      </w:r>
    </w:p>
    <w:p w:rsidR="008C3B6C" w:rsidRDefault="005C586C">
      <w:pPr>
        <w:shd w:val="clear" w:color="auto" w:fill="F5F7FA"/>
        <w:spacing w:after="40"/>
        <w:ind w:left="240"/>
      </w:pPr>
      <w:r>
        <w:rPr>
          <w:rFonts w:ascii="Consolas" w:eastAsia="Consolas" w:hAnsi="Consolas" w:cs="Consolas"/>
          <w:color w:val="1A2332"/>
          <w:sz w:val="17"/>
          <w:szCs w:val="17"/>
        </w:rPr>
        <w:t>Min-balance buffer   = min(daily balance, 30d) / avera</w:t>
      </w:r>
      <w:r>
        <w:rPr>
          <w:rFonts w:ascii="Consolas" w:eastAsia="Consolas" w:hAnsi="Consolas" w:cs="Consolas"/>
          <w:color w:val="1A2332"/>
          <w:sz w:val="17"/>
          <w:szCs w:val="17"/>
        </w:rPr>
        <w:t>ge daily outflow</w:t>
      </w:r>
    </w:p>
    <w:p w:rsidR="008C3B6C" w:rsidRDefault="005C586C">
      <w:pPr>
        <w:shd w:val="clear" w:color="auto" w:fill="F5F7FA"/>
        <w:spacing w:after="200"/>
        <w:ind w:left="240"/>
      </w:pPr>
      <w:r>
        <w:rPr>
          <w:rFonts w:ascii="Consolas" w:eastAsia="Consolas" w:hAnsi="Consolas" w:cs="Consolas"/>
          <w:color w:val="1A2332"/>
          <w:sz w:val="17"/>
          <w:szCs w:val="17"/>
        </w:rPr>
        <w:t>Expense coverage     = liquid balance / (1-month essential expenses)</w:t>
      </w:r>
    </w:p>
    <w:p w:rsidR="008C3B6C" w:rsidRDefault="005C586C">
      <w:pPr>
        <w:spacing w:after="160" w:line="300" w:lineRule="auto"/>
      </w:pPr>
      <w:r>
        <w:rPr>
          <w:rFonts w:ascii="Calibri" w:eastAsia="Calibri" w:hAnsi="Calibri" w:cs="Calibri"/>
          <w:color w:val="2B2B2B"/>
          <w:sz w:val="21"/>
          <w:szCs w:val="21"/>
        </w:rPr>
        <w:t>Time-windowed aggregates are generated systematically: for each base metric (salary credits, NSF events, wallet spend, recharge amount, DPD, application attempts), comput</w:t>
      </w:r>
      <w:r>
        <w:rPr>
          <w:rFonts w:ascii="Calibri" w:eastAsia="Calibri" w:hAnsi="Calibri" w:cs="Calibri"/>
          <w:color w:val="2B2B2B"/>
          <w:sz w:val="21"/>
          <w:szCs w:val="21"/>
        </w:rPr>
        <w:t>e count / sum / mean / max / trend over 7d, 30d, 90d, 180d, 360d windows, plus ratios between adjacent windows (momentum features such as spend_30d / spend_90d).</w:t>
      </w:r>
    </w:p>
    <w:p w:rsidR="008C3B6C" w:rsidRDefault="005C586C">
      <w:pPr>
        <w:spacing w:after="160" w:line="300" w:lineRule="auto"/>
      </w:pPr>
      <w:r>
        <w:rPr>
          <w:rFonts w:ascii="Calibri" w:eastAsia="Calibri" w:hAnsi="Calibri" w:cs="Calibri"/>
          <w:color w:val="2B2B2B"/>
          <w:sz w:val="21"/>
          <w:szCs w:val="21"/>
        </w:rPr>
        <w:t>Consistency and fraud features are engineered as divergences:</w:t>
      </w:r>
    </w:p>
    <w:p w:rsidR="008C3B6C" w:rsidRDefault="005C586C">
      <w:pPr>
        <w:shd w:val="clear" w:color="auto" w:fill="F5F7FA"/>
        <w:spacing w:after="40"/>
        <w:ind w:left="240"/>
      </w:pPr>
      <w:r>
        <w:rPr>
          <w:rFonts w:ascii="Consolas" w:eastAsia="Consolas" w:hAnsi="Consolas" w:cs="Consolas"/>
          <w:color w:val="1A2332"/>
          <w:sz w:val="17"/>
          <w:szCs w:val="17"/>
        </w:rPr>
        <w:t>Income divergence    = |declared</w:t>
      </w:r>
      <w:r>
        <w:rPr>
          <w:rFonts w:ascii="Consolas" w:eastAsia="Consolas" w:hAnsi="Consolas" w:cs="Consolas"/>
          <w:color w:val="1A2332"/>
          <w:sz w:val="17"/>
          <w:szCs w:val="17"/>
        </w:rPr>
        <w:t xml:space="preserve"> income − predicted income| / predicted income</w:t>
      </w:r>
    </w:p>
    <w:p w:rsidR="008C3B6C" w:rsidRDefault="005C586C">
      <w:pPr>
        <w:shd w:val="clear" w:color="auto" w:fill="F5F7FA"/>
        <w:spacing w:after="40"/>
        <w:ind w:left="240"/>
      </w:pPr>
      <w:r>
        <w:rPr>
          <w:rFonts w:ascii="Consolas" w:eastAsia="Consolas" w:hAnsi="Consolas" w:cs="Consolas"/>
          <w:color w:val="1A2332"/>
          <w:sz w:val="17"/>
          <w:szCs w:val="17"/>
        </w:rPr>
        <w:t>Geo divergence       = distance(ID address, modal night GPS location)</w:t>
      </w:r>
    </w:p>
    <w:p w:rsidR="008C3B6C" w:rsidRDefault="005C586C">
      <w:pPr>
        <w:shd w:val="clear" w:color="auto" w:fill="F5F7FA"/>
        <w:spacing w:after="200"/>
        <w:ind w:left="240"/>
      </w:pPr>
      <w:r>
        <w:rPr>
          <w:rFonts w:ascii="Consolas" w:eastAsia="Consolas" w:hAnsi="Consolas" w:cs="Consolas"/>
          <w:color w:val="1A2332"/>
          <w:sz w:val="17"/>
          <w:szCs w:val="17"/>
        </w:rPr>
        <w:t>Identity coherence   = Σ pairwise match scores (name/DOB/address across ID, bureau, telco, bank)</w:t>
      </w:r>
    </w:p>
    <w:p w:rsidR="008C3B6C" w:rsidRDefault="005C586C">
      <w:pPr>
        <w:pStyle w:val="Heading2"/>
        <w:spacing w:before="280" w:after="160"/>
      </w:pPr>
      <w:bookmarkStart w:id="11" w:name="_Toc235175932"/>
      <w:r>
        <w:rPr>
          <w:rFonts w:ascii="Calibri" w:eastAsia="Calibri" w:hAnsi="Calibri" w:cs="Calibri"/>
          <w:b/>
          <w:bCs/>
          <w:color w:val="44546A"/>
        </w:rPr>
        <w:t>5.3 Weight of Evidence and Information Val</w:t>
      </w:r>
      <w:r>
        <w:rPr>
          <w:rFonts w:ascii="Calibri" w:eastAsia="Calibri" w:hAnsi="Calibri" w:cs="Calibri"/>
          <w:b/>
          <w:bCs/>
          <w:color w:val="44546A"/>
        </w:rPr>
        <w:t>ue</w:t>
      </w:r>
      <w:bookmarkEnd w:id="11"/>
    </w:p>
    <w:p w:rsidR="008C3B6C" w:rsidRDefault="005C586C">
      <w:pPr>
        <w:spacing w:after="160" w:line="300" w:lineRule="auto"/>
      </w:pPr>
      <w:r>
        <w:rPr>
          <w:rFonts w:ascii="Calibri" w:eastAsia="Calibri" w:hAnsi="Calibri" w:cs="Calibri"/>
          <w:color w:val="2B2B2B"/>
          <w:sz w:val="21"/>
          <w:szCs w:val="21"/>
        </w:rPr>
        <w:t>For the regulatory scorecard layer, continuous features are binned and transformed with Weight of Evidence, and selected by Information Value:</w:t>
      </w:r>
    </w:p>
    <w:p w:rsidR="008C3B6C" w:rsidRDefault="005C586C">
      <w:pPr>
        <w:shd w:val="clear" w:color="auto" w:fill="F5F7FA"/>
        <w:spacing w:after="40"/>
        <w:ind w:left="240"/>
      </w:pPr>
      <w:r>
        <w:rPr>
          <w:rFonts w:ascii="Consolas" w:eastAsia="Consolas" w:hAnsi="Consolas" w:cs="Consolas"/>
          <w:color w:val="1A2332"/>
          <w:sz w:val="17"/>
          <w:szCs w:val="17"/>
        </w:rPr>
        <w:t>WoE(bin i) = ln( %Good(i) / %Bad(i) )</w:t>
      </w:r>
    </w:p>
    <w:p w:rsidR="008C3B6C" w:rsidRDefault="005C586C">
      <w:pPr>
        <w:shd w:val="clear" w:color="auto" w:fill="F5F7FA"/>
        <w:spacing w:after="120"/>
        <w:ind w:left="240"/>
      </w:pPr>
      <w:r>
        <w:rPr>
          <w:rFonts w:ascii="Consolas" w:eastAsia="Consolas" w:hAnsi="Consolas" w:cs="Consolas"/>
          <w:color w:val="1A2332"/>
          <w:sz w:val="17"/>
          <w:szCs w:val="17"/>
        </w:rPr>
        <w:t>IV = Σ over bins [ (%Good(i) − %Bad(i)) × WoE(i) ]</w:t>
      </w:r>
    </w:p>
    <w:tbl>
      <w:tblPr>
        <w:tblW w:w="8960" w:type="dxa"/>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CellMar>
          <w:left w:w="10" w:type="dxa"/>
          <w:right w:w="10" w:type="dxa"/>
        </w:tblCellMar>
        <w:tblLook w:val="04A0" w:firstRow="1" w:lastRow="0" w:firstColumn="1" w:lastColumn="0" w:noHBand="0" w:noVBand="1"/>
      </w:tblPr>
      <w:tblGrid>
        <w:gridCol w:w="1400"/>
        <w:gridCol w:w="2600"/>
        <w:gridCol w:w="4960"/>
      </w:tblGrid>
      <w:tr w:rsidR="008C3B6C">
        <w:tblPrEx>
          <w:tblCellMar>
            <w:top w:w="0" w:type="dxa"/>
            <w:bottom w:w="0" w:type="dxa"/>
          </w:tblCellMar>
        </w:tblPrEx>
        <w:trPr>
          <w:tblHeader/>
        </w:trPr>
        <w:tc>
          <w:tcPr>
            <w:tcW w:w="140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IV range</w:t>
            </w:r>
          </w:p>
        </w:tc>
        <w:tc>
          <w:tcPr>
            <w:tcW w:w="260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Predictive strength</w:t>
            </w:r>
          </w:p>
        </w:tc>
        <w:tc>
          <w:tcPr>
            <w:tcW w:w="496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Action</w:t>
            </w:r>
          </w:p>
        </w:tc>
      </w:tr>
      <w:tr w:rsidR="008C3B6C">
        <w:tblPrEx>
          <w:tblCellMar>
            <w:top w:w="0" w:type="dxa"/>
            <w:bottom w:w="0" w:type="dxa"/>
          </w:tblCellMar>
        </w:tblPrEx>
        <w:tc>
          <w:tcPr>
            <w:tcW w:w="14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&lt; 0.02</w:t>
            </w:r>
          </w:p>
        </w:tc>
        <w:tc>
          <w:tcPr>
            <w:tcW w:w="26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Unpredictive</w:t>
            </w:r>
          </w:p>
        </w:tc>
        <w:tc>
          <w:tcPr>
            <w:tcW w:w="49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Drop</w:t>
            </w:r>
          </w:p>
        </w:tc>
      </w:tr>
      <w:tr w:rsidR="008C3B6C">
        <w:tblPrEx>
          <w:tblCellMar>
            <w:top w:w="0" w:type="dxa"/>
            <w:bottom w:w="0" w:type="dxa"/>
          </w:tblCellMar>
        </w:tblPrEx>
        <w:tc>
          <w:tcPr>
            <w:tcW w:w="14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0.02–0.10</w:t>
            </w:r>
          </w:p>
        </w:tc>
        <w:tc>
          <w:tcPr>
            <w:tcW w:w="26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Weak</w:t>
            </w:r>
          </w:p>
        </w:tc>
        <w:tc>
          <w:tcPr>
            <w:tcW w:w="496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Keep only if adds stability</w:t>
            </w:r>
          </w:p>
        </w:tc>
      </w:tr>
      <w:tr w:rsidR="008C3B6C">
        <w:tblPrEx>
          <w:tblCellMar>
            <w:top w:w="0" w:type="dxa"/>
            <w:bottom w:w="0" w:type="dxa"/>
          </w:tblCellMar>
        </w:tblPrEx>
        <w:tc>
          <w:tcPr>
            <w:tcW w:w="14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0.10–0.30</w:t>
            </w:r>
          </w:p>
        </w:tc>
        <w:tc>
          <w:tcPr>
            <w:tcW w:w="26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Medium</w:t>
            </w:r>
          </w:p>
        </w:tc>
        <w:tc>
          <w:tcPr>
            <w:tcW w:w="49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Include</w:t>
            </w:r>
          </w:p>
        </w:tc>
      </w:tr>
      <w:tr w:rsidR="008C3B6C">
        <w:tblPrEx>
          <w:tblCellMar>
            <w:top w:w="0" w:type="dxa"/>
            <w:bottom w:w="0" w:type="dxa"/>
          </w:tblCellMar>
        </w:tblPrEx>
        <w:tc>
          <w:tcPr>
            <w:tcW w:w="14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0.30–0.50</w:t>
            </w:r>
          </w:p>
        </w:tc>
        <w:tc>
          <w:tcPr>
            <w:tcW w:w="26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Strong</w:t>
            </w:r>
          </w:p>
        </w:tc>
        <w:tc>
          <w:tcPr>
            <w:tcW w:w="496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Include (check leakage)</w:t>
            </w:r>
          </w:p>
        </w:tc>
      </w:tr>
      <w:tr w:rsidR="008C3B6C">
        <w:tblPrEx>
          <w:tblCellMar>
            <w:top w:w="0" w:type="dxa"/>
            <w:bottom w:w="0" w:type="dxa"/>
          </w:tblCellMar>
        </w:tblPrEx>
        <w:tc>
          <w:tcPr>
            <w:tcW w:w="14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&gt; 0.50</w:t>
            </w:r>
          </w:p>
        </w:tc>
        <w:tc>
          <w:tcPr>
            <w:tcW w:w="26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Suspicious</w:t>
            </w:r>
          </w:p>
        </w:tc>
        <w:tc>
          <w:tcPr>
            <w:tcW w:w="49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Audit for leakage/lookahead</w:t>
            </w:r>
          </w:p>
        </w:tc>
      </w:tr>
    </w:tbl>
    <w:p w:rsidR="008C3B6C" w:rsidRDefault="008C3B6C">
      <w:pPr>
        <w:spacing w:after="120"/>
      </w:pPr>
    </w:p>
    <w:p w:rsidR="008C3B6C" w:rsidRDefault="005C586C">
      <w:pPr>
        <w:pStyle w:val="Heading2"/>
        <w:spacing w:before="280" w:after="160"/>
      </w:pPr>
      <w:bookmarkStart w:id="12" w:name="_Toc235175933"/>
      <w:r>
        <w:rPr>
          <w:rFonts w:ascii="Calibri" w:eastAsia="Calibri" w:hAnsi="Calibri" w:cs="Calibri"/>
          <w:b/>
          <w:bCs/>
          <w:color w:val="44546A"/>
        </w:rPr>
        <w:lastRenderedPageBreak/>
        <w:t>5.4 Selection &amp; hygiene</w:t>
      </w:r>
      <w:bookmarkEnd w:id="12"/>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Selection funnel: IV screen → correlation pruning (|ρ| &gt; 0.85 keep the more stable) → model-based importance (gain / SHAP) → stability check (PSI across time slices) → final 150–400 features per model.</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Population Stability Index monitors drift: PSI = Σ (Ac</w:t>
      </w:r>
      <w:r>
        <w:rPr>
          <w:rFonts w:ascii="Calibri" w:eastAsia="Calibri" w:hAnsi="Calibri" w:cs="Calibri"/>
          <w:color w:val="2B2B2B"/>
          <w:sz w:val="21"/>
          <w:szCs w:val="21"/>
        </w:rPr>
        <w:t>tual% − Expected%) × ln(Actual%/Expected%); PSI &gt; 0.25 on a feature or score triggers investigation.</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Missing values are information: a null bank-balance feature (no consent given) is encoded explicitly, never silently imputed to the mean.</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Leakage controls:</w:t>
      </w:r>
      <w:r>
        <w:rPr>
          <w:rFonts w:ascii="Calibri" w:eastAsia="Calibri" w:hAnsi="Calibri" w:cs="Calibri"/>
          <w:color w:val="2B2B2B"/>
          <w:sz w:val="21"/>
          <w:szCs w:val="21"/>
        </w:rPr>
        <w:t xml:space="preserve"> features computed strictly from data available at decision time; time-travel joins forbidden by the feature store's point-in-time correctness engine.</w:t>
      </w:r>
    </w:p>
    <w:p w:rsidR="008C3B6C" w:rsidRDefault="005C586C">
      <w:r>
        <w:br w:type="page"/>
      </w:r>
    </w:p>
    <w:p w:rsidR="008C3B6C" w:rsidRDefault="005C586C">
      <w:pPr>
        <w:pStyle w:val="Heading1"/>
        <w:spacing w:before="360" w:after="200"/>
      </w:pPr>
      <w:bookmarkStart w:id="13" w:name="_Toc235175934"/>
      <w:r>
        <w:rPr>
          <w:rFonts w:ascii="Calibri" w:eastAsia="Calibri" w:hAnsi="Calibri" w:cs="Calibri"/>
          <w:b/>
          <w:bCs/>
          <w:color w:val="1A2332"/>
        </w:rPr>
        <w:lastRenderedPageBreak/>
        <w:t>6. The AI Credit Scoring Model</w:t>
      </w:r>
      <w:bookmarkEnd w:id="13"/>
    </w:p>
    <w:p w:rsidR="008C3B6C" w:rsidRDefault="005C586C">
      <w:pPr>
        <w:spacing w:after="160" w:line="300" w:lineRule="auto"/>
      </w:pPr>
      <w:r>
        <w:rPr>
          <w:rFonts w:ascii="Calibri" w:eastAsia="Calibri" w:hAnsi="Calibri" w:cs="Calibri"/>
          <w:color w:val="2B2B2B"/>
          <w:sz w:val="21"/>
          <w:szCs w:val="21"/>
        </w:rPr>
        <w:t>The scoring core is a layered system: a hard fraud gate, twelve speciali</w:t>
      </w:r>
      <w:r>
        <w:rPr>
          <w:rFonts w:ascii="Calibri" w:eastAsia="Calibri" w:hAnsi="Calibri" w:cs="Calibri"/>
          <w:color w:val="2B2B2B"/>
          <w:sz w:val="21"/>
          <w:szCs w:val="21"/>
        </w:rPr>
        <w:t>st sub-scores, an ensemble PD model, and a calibrated final score on a 300–900 scale. Sub-scores exist for three reasons: interpretability (each answers one business question), modularity (a sub-score can be retrained without touching the rest), and gracef</w:t>
      </w:r>
      <w:r>
        <w:rPr>
          <w:rFonts w:ascii="Calibri" w:eastAsia="Calibri" w:hAnsi="Calibri" w:cs="Calibri"/>
          <w:color w:val="2B2B2B"/>
          <w:sz w:val="21"/>
          <w:szCs w:val="21"/>
        </w:rPr>
        <w:t>ul degradation (if a data family is absent, its sub-score abstains and the composite reweights).</w:t>
      </w:r>
    </w:p>
    <w:p w:rsidR="008C3B6C" w:rsidRDefault="005C586C">
      <w:pPr>
        <w:pStyle w:val="Heading2"/>
        <w:spacing w:before="280" w:after="160"/>
      </w:pPr>
      <w:bookmarkStart w:id="14" w:name="_Toc235175935"/>
      <w:r>
        <w:rPr>
          <w:rFonts w:ascii="Calibri" w:eastAsia="Calibri" w:hAnsi="Calibri" w:cs="Calibri"/>
          <w:b/>
          <w:bCs/>
          <w:color w:val="44546A"/>
        </w:rPr>
        <w:t>6.1 Scoring topology</w:t>
      </w:r>
      <w:bookmarkEnd w:id="14"/>
    </w:p>
    <w:p w:rsidR="008C3B6C" w:rsidRDefault="005C586C">
      <w:pPr>
        <w:shd w:val="clear" w:color="auto" w:fill="F5F7FA"/>
        <w:spacing w:after="40"/>
        <w:ind w:left="240"/>
      </w:pPr>
      <w:r>
        <w:rPr>
          <w:rFonts w:ascii="Consolas" w:eastAsia="Consolas" w:hAnsi="Consolas" w:cs="Consolas"/>
          <w:color w:val="1A2332"/>
          <w:sz w:val="17"/>
          <w:szCs w:val="17"/>
        </w:rPr>
        <w:t xml:space="preserve">            ┌──────────────────────────────────────────────┐</w:t>
      </w:r>
    </w:p>
    <w:p w:rsidR="008C3B6C" w:rsidRDefault="005C586C">
      <w:pPr>
        <w:shd w:val="clear" w:color="auto" w:fill="F5F7FA"/>
        <w:spacing w:after="40"/>
        <w:ind w:left="240"/>
      </w:pPr>
      <w:r>
        <w:rPr>
          <w:rFonts w:ascii="Consolas" w:eastAsia="Consolas" w:hAnsi="Consolas" w:cs="Consolas"/>
          <w:color w:val="1A2332"/>
          <w:sz w:val="17"/>
          <w:szCs w:val="17"/>
        </w:rPr>
        <w:t xml:space="preserve">            │  STAGE 0 · FRAUD GATE (hard stop)            │</w:t>
      </w:r>
    </w:p>
    <w:p w:rsidR="008C3B6C" w:rsidRDefault="005C586C">
      <w:pPr>
        <w:shd w:val="clear" w:color="auto" w:fill="F5F7FA"/>
        <w:spacing w:after="40"/>
        <w:ind w:left="240"/>
      </w:pPr>
      <w:r>
        <w:rPr>
          <w:rFonts w:ascii="Consolas" w:eastAsia="Consolas" w:hAnsi="Consolas" w:cs="Consolas"/>
          <w:color w:val="1A2332"/>
          <w:sz w:val="17"/>
          <w:szCs w:val="17"/>
        </w:rPr>
        <w:t xml:space="preserve">            │  Identity fraud · device fraud · velocity   │</w:t>
      </w:r>
    </w:p>
    <w:p w:rsidR="008C3B6C" w:rsidRDefault="005C586C">
      <w:pPr>
        <w:shd w:val="clear" w:color="auto" w:fill="F5F7FA"/>
        <w:spacing w:after="40"/>
        <w:ind w:left="240"/>
      </w:pPr>
      <w:r>
        <w:rPr>
          <w:rFonts w:ascii="Consolas" w:eastAsia="Consolas" w:hAnsi="Consolas" w:cs="Consolas"/>
          <w:color w:val="1A2332"/>
          <w:sz w:val="17"/>
          <w:szCs w:val="17"/>
        </w:rPr>
        <w:t xml:space="preserve">            │  fraud-ring graph · deepfake/liveness        │</w:t>
      </w:r>
    </w:p>
    <w:p w:rsidR="008C3B6C" w:rsidRDefault="005C586C">
      <w:pPr>
        <w:shd w:val="clear" w:color="auto" w:fill="F5F7FA"/>
        <w:spacing w:after="40"/>
        <w:ind w:left="240"/>
      </w:pPr>
      <w:r>
        <w:rPr>
          <w:rFonts w:ascii="Consolas" w:eastAsia="Consolas" w:hAnsi="Consolas" w:cs="Consolas"/>
          <w:color w:val="1A2332"/>
          <w:sz w:val="17"/>
          <w:szCs w:val="17"/>
        </w:rPr>
        <w:t xml:space="preserve">            └──────────────────┬───────────────────────────┘</w:t>
      </w:r>
    </w:p>
    <w:p w:rsidR="008C3B6C" w:rsidRDefault="005C586C">
      <w:pPr>
        <w:shd w:val="clear" w:color="auto" w:fill="F5F7FA"/>
        <w:spacing w:after="40"/>
        <w:ind w:left="240"/>
      </w:pPr>
      <w:r>
        <w:rPr>
          <w:rFonts w:ascii="Consolas" w:eastAsia="Consolas" w:hAnsi="Consolas" w:cs="Consolas"/>
          <w:color w:val="1A2332"/>
          <w:sz w:val="17"/>
          <w:szCs w:val="17"/>
        </w:rPr>
        <w:t xml:space="preserve">                               │ pass</w:t>
      </w:r>
    </w:p>
    <w:p w:rsidR="008C3B6C" w:rsidRDefault="005C586C">
      <w:pPr>
        <w:shd w:val="clear" w:color="auto" w:fill="F5F7FA"/>
        <w:spacing w:after="40"/>
        <w:ind w:left="240"/>
      </w:pPr>
      <w:r>
        <w:rPr>
          <w:rFonts w:ascii="Consolas" w:eastAsia="Consolas" w:hAnsi="Consolas" w:cs="Consolas"/>
          <w:color w:val="1A2332"/>
          <w:sz w:val="17"/>
          <w:szCs w:val="17"/>
        </w:rPr>
        <w:t xml:space="preserve">            ┌──────────────────▼────</w:t>
      </w:r>
      <w:r>
        <w:rPr>
          <w:rFonts w:ascii="Consolas" w:eastAsia="Consolas" w:hAnsi="Consolas" w:cs="Consolas"/>
          <w:color w:val="1A2332"/>
          <w:sz w:val="17"/>
          <w:szCs w:val="17"/>
        </w:rPr>
        <w:t>───────────────────────┐</w:t>
      </w:r>
    </w:p>
    <w:p w:rsidR="008C3B6C" w:rsidRDefault="005C586C">
      <w:pPr>
        <w:shd w:val="clear" w:color="auto" w:fill="F5F7FA"/>
        <w:spacing w:after="40"/>
        <w:ind w:left="240"/>
      </w:pPr>
      <w:r>
        <w:rPr>
          <w:rFonts w:ascii="Consolas" w:eastAsia="Consolas" w:hAnsi="Consolas" w:cs="Consolas"/>
          <w:color w:val="1A2332"/>
          <w:sz w:val="17"/>
          <w:szCs w:val="17"/>
        </w:rPr>
        <w:t xml:space="preserve">            │  STAGE 1 · TWELVE SUB-SCORES                 │</w:t>
      </w:r>
    </w:p>
    <w:p w:rsidR="008C3B6C" w:rsidRDefault="005C586C">
      <w:pPr>
        <w:shd w:val="clear" w:color="auto" w:fill="F5F7FA"/>
        <w:spacing w:after="40"/>
        <w:ind w:left="240"/>
      </w:pPr>
      <w:r>
        <w:rPr>
          <w:rFonts w:ascii="Consolas" w:eastAsia="Consolas" w:hAnsi="Consolas" w:cs="Consolas"/>
          <w:color w:val="1A2332"/>
          <w:sz w:val="17"/>
          <w:szCs w:val="17"/>
        </w:rPr>
        <w:t xml:space="preserve">            │  Identity/Trust · Fraud-risk · Income        │</w:t>
      </w:r>
    </w:p>
    <w:p w:rsidR="008C3B6C" w:rsidRDefault="005C586C">
      <w:pPr>
        <w:shd w:val="clear" w:color="auto" w:fill="F5F7FA"/>
        <w:spacing w:after="40"/>
        <w:ind w:left="240"/>
      </w:pPr>
      <w:r>
        <w:rPr>
          <w:rFonts w:ascii="Consolas" w:eastAsia="Consolas" w:hAnsi="Consolas" w:cs="Consolas"/>
          <w:color w:val="1A2332"/>
          <w:sz w:val="17"/>
          <w:szCs w:val="17"/>
        </w:rPr>
        <w:t xml:space="preserve">            │  Cash-flow · Affordability · Stability       │</w:t>
      </w:r>
    </w:p>
    <w:p w:rsidR="008C3B6C" w:rsidRDefault="005C586C">
      <w:pPr>
        <w:shd w:val="clear" w:color="auto" w:fill="F5F7FA"/>
        <w:spacing w:after="40"/>
        <w:ind w:left="240"/>
      </w:pPr>
      <w:r>
        <w:rPr>
          <w:rFonts w:ascii="Consolas" w:eastAsia="Consolas" w:hAnsi="Consolas" w:cs="Consolas"/>
          <w:color w:val="1A2332"/>
          <w:sz w:val="17"/>
          <w:szCs w:val="17"/>
        </w:rPr>
        <w:t xml:space="preserve">            │  Behavioral · Digital-footprint · </w:t>
      </w:r>
      <w:r>
        <w:rPr>
          <w:rFonts w:ascii="Consolas" w:eastAsia="Consolas" w:hAnsi="Consolas" w:cs="Consolas"/>
          <w:color w:val="1A2332"/>
          <w:sz w:val="17"/>
          <w:szCs w:val="17"/>
        </w:rPr>
        <w:t>Bureau     │</w:t>
      </w:r>
    </w:p>
    <w:p w:rsidR="008C3B6C" w:rsidRDefault="005C586C">
      <w:pPr>
        <w:shd w:val="clear" w:color="auto" w:fill="F5F7FA"/>
        <w:spacing w:after="40"/>
        <w:ind w:left="240"/>
      </w:pPr>
      <w:r>
        <w:rPr>
          <w:rFonts w:ascii="Consolas" w:eastAsia="Consolas" w:hAnsi="Consolas" w:cs="Consolas"/>
          <w:color w:val="1A2332"/>
          <w:sz w:val="17"/>
          <w:szCs w:val="17"/>
        </w:rPr>
        <w:t xml:space="preserve">            │  Relationship · Collection-risk · Compliance │</w:t>
      </w:r>
    </w:p>
    <w:p w:rsidR="008C3B6C" w:rsidRDefault="005C586C">
      <w:pPr>
        <w:shd w:val="clear" w:color="auto" w:fill="F5F7FA"/>
        <w:spacing w:after="40"/>
        <w:ind w:left="240"/>
      </w:pPr>
      <w:r>
        <w:rPr>
          <w:rFonts w:ascii="Consolas" w:eastAsia="Consolas" w:hAnsi="Consolas" w:cs="Consolas"/>
          <w:color w:val="1A2332"/>
          <w:sz w:val="17"/>
          <w:szCs w:val="17"/>
        </w:rPr>
        <w:t xml:space="preserve">            └──────────────────┬───────────────────────────┘</w:t>
      </w:r>
    </w:p>
    <w:p w:rsidR="008C3B6C" w:rsidRDefault="005C586C">
      <w:pPr>
        <w:shd w:val="clear" w:color="auto" w:fill="F5F7FA"/>
        <w:spacing w:after="40"/>
        <w:ind w:left="240"/>
      </w:pPr>
      <w:r>
        <w:rPr>
          <w:rFonts w:ascii="Consolas" w:eastAsia="Consolas" w:hAnsi="Consolas" w:cs="Consolas"/>
          <w:color w:val="1A2332"/>
          <w:sz w:val="17"/>
          <w:szCs w:val="17"/>
        </w:rPr>
        <w:t xml:space="preserve">                               │ 12 scores + 150–400 raw features</w:t>
      </w:r>
    </w:p>
    <w:p w:rsidR="008C3B6C" w:rsidRDefault="005C586C">
      <w:pPr>
        <w:shd w:val="clear" w:color="auto" w:fill="F5F7FA"/>
        <w:spacing w:after="40"/>
        <w:ind w:left="240"/>
      </w:pPr>
      <w:r>
        <w:rPr>
          <w:rFonts w:ascii="Consolas" w:eastAsia="Consolas" w:hAnsi="Consolas" w:cs="Consolas"/>
          <w:color w:val="1A2332"/>
          <w:sz w:val="17"/>
          <w:szCs w:val="17"/>
        </w:rPr>
        <w:t xml:space="preserve">            ┌──────────────────▼───────────────────────</w:t>
      </w:r>
      <w:r>
        <w:rPr>
          <w:rFonts w:ascii="Consolas" w:eastAsia="Consolas" w:hAnsi="Consolas" w:cs="Consolas"/>
          <w:color w:val="1A2332"/>
          <w:sz w:val="17"/>
          <w:szCs w:val="17"/>
        </w:rPr>
        <w:t>────┐</w:t>
      </w:r>
    </w:p>
    <w:p w:rsidR="008C3B6C" w:rsidRDefault="005C586C">
      <w:pPr>
        <w:shd w:val="clear" w:color="auto" w:fill="F5F7FA"/>
        <w:spacing w:after="40"/>
        <w:ind w:left="240"/>
      </w:pPr>
      <w:r>
        <w:rPr>
          <w:rFonts w:ascii="Consolas" w:eastAsia="Consolas" w:hAnsi="Consolas" w:cs="Consolas"/>
          <w:color w:val="1A2332"/>
          <w:sz w:val="17"/>
          <w:szCs w:val="17"/>
        </w:rPr>
        <w:t xml:space="preserve">            │  STAGE 2 · PD ENSEMBLE                       │</w:t>
      </w:r>
    </w:p>
    <w:p w:rsidR="008C3B6C" w:rsidRDefault="005C586C">
      <w:pPr>
        <w:shd w:val="clear" w:color="auto" w:fill="F5F7FA"/>
        <w:spacing w:after="40"/>
        <w:ind w:left="240"/>
      </w:pPr>
      <w:r>
        <w:rPr>
          <w:rFonts w:ascii="Consolas" w:eastAsia="Consolas" w:hAnsi="Consolas" w:cs="Consolas"/>
          <w:color w:val="1A2332"/>
          <w:sz w:val="17"/>
          <w:szCs w:val="17"/>
        </w:rPr>
        <w:t xml:space="preserve">            │  LightGBM + XGBoost + Logistic benchmark     │</w:t>
      </w:r>
    </w:p>
    <w:p w:rsidR="008C3B6C" w:rsidRDefault="005C586C">
      <w:pPr>
        <w:shd w:val="clear" w:color="auto" w:fill="F5F7FA"/>
        <w:spacing w:after="40"/>
        <w:ind w:left="240"/>
      </w:pPr>
      <w:r>
        <w:rPr>
          <w:rFonts w:ascii="Consolas" w:eastAsia="Consolas" w:hAnsi="Consolas" w:cs="Consolas"/>
          <w:color w:val="1A2332"/>
          <w:sz w:val="17"/>
          <w:szCs w:val="17"/>
        </w:rPr>
        <w:t xml:space="preserve">            │  → stacking meta-learner → calibration       │</w:t>
      </w:r>
    </w:p>
    <w:p w:rsidR="008C3B6C" w:rsidRDefault="005C586C">
      <w:pPr>
        <w:shd w:val="clear" w:color="auto" w:fill="F5F7FA"/>
        <w:spacing w:after="40"/>
        <w:ind w:left="240"/>
      </w:pPr>
      <w:r>
        <w:rPr>
          <w:rFonts w:ascii="Consolas" w:eastAsia="Consolas" w:hAnsi="Consolas" w:cs="Consolas"/>
          <w:color w:val="1A2332"/>
          <w:sz w:val="17"/>
          <w:szCs w:val="17"/>
        </w:rPr>
        <w:t xml:space="preserve">            └──────────────────┬───────────────────────────┘</w:t>
      </w:r>
    </w:p>
    <w:p w:rsidR="008C3B6C" w:rsidRDefault="005C586C">
      <w:pPr>
        <w:shd w:val="clear" w:color="auto" w:fill="F5F7FA"/>
        <w:spacing w:after="40"/>
        <w:ind w:left="240"/>
      </w:pPr>
      <w:r>
        <w:rPr>
          <w:rFonts w:ascii="Consolas" w:eastAsia="Consolas" w:hAnsi="Consolas" w:cs="Consolas"/>
          <w:color w:val="1A2332"/>
          <w:sz w:val="17"/>
          <w:szCs w:val="17"/>
        </w:rPr>
        <w:t xml:space="preserve">                               │ calibrated PD</w:t>
      </w:r>
    </w:p>
    <w:p w:rsidR="008C3B6C" w:rsidRDefault="005C586C">
      <w:pPr>
        <w:shd w:val="clear" w:color="auto" w:fill="F5F7FA"/>
        <w:spacing w:after="40"/>
        <w:ind w:left="240"/>
      </w:pPr>
      <w:r>
        <w:rPr>
          <w:rFonts w:ascii="Consolas" w:eastAsia="Consolas" w:hAnsi="Consolas" w:cs="Consolas"/>
          <w:color w:val="1A2332"/>
          <w:sz w:val="17"/>
          <w:szCs w:val="17"/>
        </w:rPr>
        <w:t xml:space="preserve">            ┌──────────────────▼───────────────────────────┐</w:t>
      </w:r>
    </w:p>
    <w:p w:rsidR="008C3B6C" w:rsidRDefault="005C586C">
      <w:pPr>
        <w:shd w:val="clear" w:color="auto" w:fill="F5F7FA"/>
        <w:spacing w:after="40"/>
        <w:ind w:left="240"/>
      </w:pPr>
      <w:r>
        <w:rPr>
          <w:rFonts w:ascii="Consolas" w:eastAsia="Consolas" w:hAnsi="Consolas" w:cs="Consolas"/>
          <w:color w:val="1A2332"/>
          <w:sz w:val="17"/>
          <w:szCs w:val="17"/>
        </w:rPr>
        <w:t xml:space="preserve">            │  STAGE 3 · SCORE SCALING &amp; GRADING           │</w:t>
      </w:r>
    </w:p>
    <w:p w:rsidR="008C3B6C" w:rsidRDefault="005C586C">
      <w:pPr>
        <w:shd w:val="clear" w:color="auto" w:fill="F5F7FA"/>
        <w:spacing w:after="40"/>
        <w:ind w:left="240"/>
      </w:pPr>
      <w:r>
        <w:rPr>
          <w:rFonts w:ascii="Consolas" w:eastAsia="Consolas" w:hAnsi="Consolas" w:cs="Consolas"/>
          <w:color w:val="1A2332"/>
          <w:sz w:val="17"/>
          <w:szCs w:val="17"/>
        </w:rPr>
        <w:t xml:space="preserve">            │  300–900 score · risk grades A–G             │</w:t>
      </w:r>
    </w:p>
    <w:p w:rsidR="008C3B6C" w:rsidRDefault="005C586C">
      <w:pPr>
        <w:shd w:val="clear" w:color="auto" w:fill="F5F7FA"/>
        <w:spacing w:after="200"/>
        <w:ind w:left="240"/>
      </w:pPr>
      <w:r>
        <w:rPr>
          <w:rFonts w:ascii="Consolas" w:eastAsia="Consolas" w:hAnsi="Consolas" w:cs="Consolas"/>
          <w:color w:val="1A2332"/>
          <w:sz w:val="17"/>
          <w:szCs w:val="17"/>
        </w:rPr>
        <w:t xml:space="preserve">            └─────────────</w:t>
      </w:r>
      <w:r>
        <w:rPr>
          <w:rFonts w:ascii="Consolas" w:eastAsia="Consolas" w:hAnsi="Consolas" w:cs="Consolas"/>
          <w:color w:val="1A2332"/>
          <w:sz w:val="17"/>
          <w:szCs w:val="17"/>
        </w:rPr>
        <w:t>─────────────────────────────────┘</w:t>
      </w:r>
    </w:p>
    <w:p w:rsidR="008C3B6C" w:rsidRDefault="005C586C">
      <w:pPr>
        <w:pStyle w:val="Heading2"/>
        <w:spacing w:before="280" w:after="160"/>
      </w:pPr>
      <w:bookmarkStart w:id="15" w:name="_Toc235175936"/>
      <w:r>
        <w:rPr>
          <w:rFonts w:ascii="Calibri" w:eastAsia="Calibri" w:hAnsi="Calibri" w:cs="Calibri"/>
          <w:b/>
          <w:bCs/>
          <w:color w:val="44546A"/>
        </w:rPr>
        <w:t>6.2 The twelve sub-scores</w:t>
      </w:r>
      <w:bookmarkEnd w:id="15"/>
    </w:p>
    <w:tbl>
      <w:tblPr>
        <w:tblW w:w="9360" w:type="dxa"/>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CellMar>
          <w:left w:w="10" w:type="dxa"/>
          <w:right w:w="10" w:type="dxa"/>
        </w:tblCellMar>
        <w:tblLook w:val="04A0" w:firstRow="1" w:lastRow="0" w:firstColumn="1" w:lastColumn="0" w:noHBand="0" w:noVBand="1"/>
      </w:tblPr>
      <w:tblGrid>
        <w:gridCol w:w="1350"/>
        <w:gridCol w:w="2100"/>
        <w:gridCol w:w="2500"/>
        <w:gridCol w:w="2110"/>
        <w:gridCol w:w="1300"/>
      </w:tblGrid>
      <w:tr w:rsidR="008C3B6C">
        <w:tblPrEx>
          <w:tblCellMar>
            <w:top w:w="0" w:type="dxa"/>
            <w:bottom w:w="0" w:type="dxa"/>
          </w:tblCellMar>
        </w:tblPrEx>
        <w:trPr>
          <w:tblHeader/>
        </w:trPr>
        <w:tc>
          <w:tcPr>
            <w:tcW w:w="135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Sub-score</w:t>
            </w:r>
          </w:p>
        </w:tc>
        <w:tc>
          <w:tcPr>
            <w:tcW w:w="210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Question it answers</w:t>
            </w:r>
          </w:p>
        </w:tc>
        <w:tc>
          <w:tcPr>
            <w:tcW w:w="250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Primary inputs</w:t>
            </w:r>
          </w:p>
        </w:tc>
        <w:tc>
          <w:tcPr>
            <w:tcW w:w="211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Model</w:t>
            </w:r>
          </w:p>
        </w:tc>
        <w:tc>
          <w:tcPr>
            <w:tcW w:w="130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Weight*</w:t>
            </w:r>
          </w:p>
        </w:tc>
      </w:tr>
      <w:tr w:rsidR="008C3B6C">
        <w:tblPrEx>
          <w:tblCellMar>
            <w:top w:w="0" w:type="dxa"/>
            <w:bottom w:w="0" w:type="dxa"/>
          </w:tblCellMar>
        </w:tblPrEx>
        <w:tc>
          <w:tcPr>
            <w:tcW w:w="13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Identity / Trust</w:t>
            </w:r>
          </w:p>
        </w:tc>
        <w:tc>
          <w:tcPr>
            <w:tcW w:w="21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Is this a real, verified person?</w:t>
            </w:r>
          </w:p>
        </w:tc>
        <w:tc>
          <w:tcPr>
            <w:tcW w:w="25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KYC family, identity-coherence features</w:t>
            </w:r>
          </w:p>
        </w:tc>
        <w:tc>
          <w:tcPr>
            <w:tcW w:w="211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Rules + gradient boosting</w:t>
            </w:r>
          </w:p>
        </w:tc>
        <w:tc>
          <w:tcPr>
            <w:tcW w:w="13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8%</w:t>
            </w:r>
          </w:p>
        </w:tc>
      </w:tr>
      <w:tr w:rsidR="008C3B6C">
        <w:tblPrEx>
          <w:tblCellMar>
            <w:top w:w="0" w:type="dxa"/>
            <w:bottom w:w="0" w:type="dxa"/>
          </w:tblCellMar>
        </w:tblPrEx>
        <w:tc>
          <w:tcPr>
            <w:tcW w:w="13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Fraud Risk</w:t>
            </w:r>
          </w:p>
        </w:tc>
        <w:tc>
          <w:tcPr>
            <w:tcW w:w="21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Is this application deceptive?</w:t>
            </w:r>
          </w:p>
        </w:tc>
        <w:tc>
          <w:tcPr>
            <w:tcW w:w="25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Device, behavioral biometrics, velocity, graph features</w:t>
            </w:r>
          </w:p>
        </w:tc>
        <w:tc>
          <w:tcPr>
            <w:tcW w:w="211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GBM + Isolation Forest + GNN</w:t>
            </w:r>
          </w:p>
        </w:tc>
        <w:tc>
          <w:tcPr>
            <w:tcW w:w="13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Gate + 7%</w:t>
            </w:r>
          </w:p>
        </w:tc>
      </w:tr>
      <w:tr w:rsidR="008C3B6C">
        <w:tblPrEx>
          <w:tblCellMar>
            <w:top w:w="0" w:type="dxa"/>
            <w:bottom w:w="0" w:type="dxa"/>
          </w:tblCellMar>
        </w:tblPrEx>
        <w:tc>
          <w:tcPr>
            <w:tcW w:w="13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Income</w:t>
            </w:r>
          </w:p>
        </w:tc>
        <w:tc>
          <w:tcPr>
            <w:tcW w:w="21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How much do they earn, really?</w:t>
            </w:r>
          </w:p>
        </w:tc>
        <w:tc>
          <w:tcPr>
            <w:tcW w:w="25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Bank/payroll/telecom/wallet signals</w:t>
            </w:r>
          </w:p>
        </w:tc>
        <w:tc>
          <w:tcPr>
            <w:tcW w:w="211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LightGBM regressor (quantile)</w:t>
            </w:r>
          </w:p>
        </w:tc>
        <w:tc>
          <w:tcPr>
            <w:tcW w:w="13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12%</w:t>
            </w:r>
          </w:p>
        </w:tc>
      </w:tr>
      <w:tr w:rsidR="008C3B6C">
        <w:tblPrEx>
          <w:tblCellMar>
            <w:top w:w="0" w:type="dxa"/>
            <w:bottom w:w="0" w:type="dxa"/>
          </w:tblCellMar>
        </w:tblPrEx>
        <w:tc>
          <w:tcPr>
            <w:tcW w:w="13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Cash Flow</w:t>
            </w:r>
          </w:p>
        </w:tc>
        <w:tc>
          <w:tcPr>
            <w:tcW w:w="21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Is money in &gt; money out, reliably?</w:t>
            </w:r>
          </w:p>
        </w:tc>
        <w:tc>
          <w:tcPr>
            <w:tcW w:w="25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Banking family: balances, trends, NSF</w:t>
            </w:r>
          </w:p>
        </w:tc>
        <w:tc>
          <w:tcPr>
            <w:tcW w:w="211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GBM on cash-flow features</w:t>
            </w:r>
          </w:p>
        </w:tc>
        <w:tc>
          <w:tcPr>
            <w:tcW w:w="13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15%</w:t>
            </w:r>
          </w:p>
        </w:tc>
      </w:tr>
      <w:tr w:rsidR="008C3B6C">
        <w:tblPrEx>
          <w:tblCellMar>
            <w:top w:w="0" w:type="dxa"/>
            <w:bottom w:w="0" w:type="dxa"/>
          </w:tblCellMar>
        </w:tblPrEx>
        <w:tc>
          <w:tcPr>
            <w:tcW w:w="13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Affordability</w:t>
            </w:r>
          </w:p>
        </w:tc>
        <w:tc>
          <w:tcPr>
            <w:tcW w:w="21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Can they carry the proposed EMI?</w:t>
            </w:r>
          </w:p>
        </w:tc>
        <w:tc>
          <w:tcPr>
            <w:tcW w:w="25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FOIR, DSR, disposable income, buffers</w:t>
            </w:r>
          </w:p>
        </w:tc>
        <w:tc>
          <w:tcPr>
            <w:tcW w:w="211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Deterministic formulas + GBM</w:t>
            </w:r>
          </w:p>
        </w:tc>
        <w:tc>
          <w:tcPr>
            <w:tcW w:w="13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15%</w:t>
            </w:r>
          </w:p>
        </w:tc>
      </w:tr>
      <w:tr w:rsidR="008C3B6C">
        <w:tblPrEx>
          <w:tblCellMar>
            <w:top w:w="0" w:type="dxa"/>
            <w:bottom w:w="0" w:type="dxa"/>
          </w:tblCellMar>
        </w:tblPrEx>
        <w:tc>
          <w:tcPr>
            <w:tcW w:w="13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Stability</w:t>
            </w:r>
          </w:p>
        </w:tc>
        <w:tc>
          <w:tcPr>
            <w:tcW w:w="21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How anchored is their life?</w:t>
            </w:r>
          </w:p>
        </w:tc>
        <w:tc>
          <w:tcPr>
            <w:tcW w:w="25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Residential/job tenure, SIM tenure, geo consistency</w:t>
            </w:r>
          </w:p>
        </w:tc>
        <w:tc>
          <w:tcPr>
            <w:tcW w:w="211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GBM</w:t>
            </w:r>
          </w:p>
        </w:tc>
        <w:tc>
          <w:tcPr>
            <w:tcW w:w="13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8%</w:t>
            </w:r>
          </w:p>
        </w:tc>
      </w:tr>
      <w:tr w:rsidR="008C3B6C">
        <w:tblPrEx>
          <w:tblCellMar>
            <w:top w:w="0" w:type="dxa"/>
            <w:bottom w:w="0" w:type="dxa"/>
          </w:tblCellMar>
        </w:tblPrEx>
        <w:tc>
          <w:tcPr>
            <w:tcW w:w="13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Behavioral</w:t>
            </w:r>
          </w:p>
        </w:tc>
        <w:tc>
          <w:tcPr>
            <w:tcW w:w="21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Do they act like a good payer?</w:t>
            </w:r>
          </w:p>
        </w:tc>
        <w:tc>
          <w:tcPr>
            <w:tcW w:w="25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App telemetry, biometrics, engagement</w:t>
            </w:r>
          </w:p>
        </w:tc>
        <w:tc>
          <w:tcPr>
            <w:tcW w:w="211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GBM + sequence model (GRU)</w:t>
            </w:r>
          </w:p>
        </w:tc>
        <w:tc>
          <w:tcPr>
            <w:tcW w:w="13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7%</w:t>
            </w:r>
          </w:p>
        </w:tc>
      </w:tr>
      <w:tr w:rsidR="008C3B6C">
        <w:tblPrEx>
          <w:tblCellMar>
            <w:top w:w="0" w:type="dxa"/>
            <w:bottom w:w="0" w:type="dxa"/>
          </w:tblCellMar>
        </w:tblPrEx>
        <w:tc>
          <w:tcPr>
            <w:tcW w:w="13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lastRenderedPageBreak/>
              <w:t>Digital Footprint</w:t>
            </w:r>
          </w:p>
        </w:tc>
        <w:tc>
          <w:tcPr>
            <w:tcW w:w="21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Is their digital identity mature?</w:t>
            </w:r>
          </w:p>
        </w:tc>
        <w:tc>
          <w:tcPr>
            <w:tcW w:w="25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Email/phone age, registration breadth</w:t>
            </w:r>
          </w:p>
        </w:tc>
        <w:tc>
          <w:tcPr>
            <w:tcW w:w="211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GBM</w:t>
            </w:r>
          </w:p>
        </w:tc>
        <w:tc>
          <w:tcPr>
            <w:tcW w:w="13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4%</w:t>
            </w:r>
          </w:p>
        </w:tc>
      </w:tr>
      <w:tr w:rsidR="008C3B6C">
        <w:tblPrEx>
          <w:tblCellMar>
            <w:top w:w="0" w:type="dxa"/>
            <w:bottom w:w="0" w:type="dxa"/>
          </w:tblCellMar>
        </w:tblPrEx>
        <w:tc>
          <w:tcPr>
            <w:tcW w:w="13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Bureau</w:t>
            </w:r>
          </w:p>
        </w:tc>
        <w:tc>
          <w:tcPr>
            <w:tcW w:w="21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What does formal history say?</w:t>
            </w:r>
          </w:p>
        </w:tc>
        <w:tc>
          <w:tcPr>
            <w:tcW w:w="25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Bureau tradelines &amp; score</w:t>
            </w:r>
          </w:p>
        </w:tc>
        <w:tc>
          <w:tcPr>
            <w:tcW w:w="211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WoE scorecard + GBM</w:t>
            </w:r>
          </w:p>
        </w:tc>
        <w:tc>
          <w:tcPr>
            <w:tcW w:w="13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12% (0 if thin-file)</w:t>
            </w:r>
          </w:p>
        </w:tc>
      </w:tr>
      <w:tr w:rsidR="008C3B6C">
        <w:tblPrEx>
          <w:tblCellMar>
            <w:top w:w="0" w:type="dxa"/>
            <w:bottom w:w="0" w:type="dxa"/>
          </w:tblCellMar>
        </w:tblPrEx>
        <w:tc>
          <w:tcPr>
            <w:tcW w:w="13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Relationship</w:t>
            </w:r>
          </w:p>
        </w:tc>
        <w:tc>
          <w:tcPr>
            <w:tcW w:w="21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How have they treated us?</w:t>
            </w:r>
          </w:p>
        </w:tc>
        <w:tc>
          <w:tcPr>
            <w:tcW w:w="25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Internal ledger &amp; repayment history</w:t>
            </w:r>
          </w:p>
        </w:tc>
        <w:tc>
          <w:tcPr>
            <w:tcW w:w="211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GBM + survival model</w:t>
            </w:r>
          </w:p>
        </w:tc>
        <w:tc>
          <w:tcPr>
            <w:tcW w:w="13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0→25% as history accrues</w:t>
            </w:r>
          </w:p>
        </w:tc>
      </w:tr>
      <w:tr w:rsidR="008C3B6C">
        <w:tblPrEx>
          <w:tblCellMar>
            <w:top w:w="0" w:type="dxa"/>
            <w:bottom w:w="0" w:type="dxa"/>
          </w:tblCellMar>
        </w:tblPrEx>
        <w:tc>
          <w:tcPr>
            <w:tcW w:w="13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Collection Risk</w:t>
            </w:r>
          </w:p>
        </w:tc>
        <w:tc>
          <w:tcPr>
            <w:tcW w:w="21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If they slip, will they recover?</w:t>
            </w:r>
          </w:p>
        </w:tc>
        <w:tc>
          <w:tcPr>
            <w:tcW w:w="25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Roll-rate history, contactability, engagement</w:t>
            </w:r>
          </w:p>
        </w:tc>
        <w:tc>
          <w:tcPr>
            <w:tcW w:w="211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Markov roll-rate + GBM</w:t>
            </w:r>
          </w:p>
        </w:tc>
        <w:tc>
          <w:tcPr>
            <w:tcW w:w="13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5%</w:t>
            </w:r>
          </w:p>
        </w:tc>
      </w:tr>
      <w:tr w:rsidR="008C3B6C">
        <w:tblPrEx>
          <w:tblCellMar>
            <w:top w:w="0" w:type="dxa"/>
            <w:bottom w:w="0" w:type="dxa"/>
          </w:tblCellMar>
        </w:tblPrEx>
        <w:tc>
          <w:tcPr>
            <w:tcW w:w="13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Compliance (optional)</w:t>
            </w:r>
          </w:p>
        </w:tc>
        <w:tc>
          <w:tcPr>
            <w:tcW w:w="21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Islamic-finance / ESG constraints</w:t>
            </w:r>
          </w:p>
        </w:tc>
        <w:tc>
          <w:tcPr>
            <w:tcW w:w="25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Product &amp; purpose flags, screening</w:t>
            </w:r>
          </w:p>
        </w:tc>
        <w:tc>
          <w:tcPr>
            <w:tcW w:w="211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Deterministic rules</w:t>
            </w:r>
          </w:p>
        </w:tc>
        <w:tc>
          <w:tcPr>
            <w:tcW w:w="13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Gate</w:t>
            </w:r>
          </w:p>
        </w:tc>
      </w:tr>
    </w:tbl>
    <w:p w:rsidR="008C3B6C" w:rsidRDefault="008C3B6C">
      <w:pPr>
        <w:spacing w:after="80"/>
      </w:pPr>
    </w:p>
    <w:p w:rsidR="008C3B6C" w:rsidRDefault="005C586C">
      <w:pPr>
        <w:spacing w:after="160" w:line="300" w:lineRule="auto"/>
      </w:pPr>
      <w:r>
        <w:rPr>
          <w:rFonts w:ascii="Calibri" w:eastAsia="Calibri" w:hAnsi="Calibri" w:cs="Calibri"/>
          <w:i/>
          <w:iCs/>
          <w:color w:val="2B2B2B"/>
          <w:sz w:val="19"/>
          <w:szCs w:val="19"/>
        </w:rPr>
        <w:t>*Weights shown are the transparent scorecard blend for a new-to-book borrower with full data consent; the ML ensemble learns its own implicit weighting, and the composite reweights dynamically when a data family is absent (weights renormalized over availab</w:t>
      </w:r>
      <w:r>
        <w:rPr>
          <w:rFonts w:ascii="Calibri" w:eastAsia="Calibri" w:hAnsi="Calibri" w:cs="Calibri"/>
          <w:i/>
          <w:iCs/>
          <w:color w:val="2B2B2B"/>
          <w:sz w:val="19"/>
          <w:szCs w:val="19"/>
        </w:rPr>
        <w:t>le sub-scores, with a conservatism penalty applied for missing high-value families).</w:t>
      </w:r>
    </w:p>
    <w:p w:rsidR="008C3B6C" w:rsidRDefault="005C586C">
      <w:r>
        <w:br w:type="page"/>
      </w:r>
    </w:p>
    <w:p w:rsidR="008C3B6C" w:rsidRDefault="005C586C">
      <w:pPr>
        <w:pStyle w:val="Heading2"/>
        <w:spacing w:before="280" w:after="160"/>
      </w:pPr>
      <w:bookmarkStart w:id="16" w:name="_Toc235175937"/>
      <w:r>
        <w:rPr>
          <w:rFonts w:ascii="Calibri" w:eastAsia="Calibri" w:hAnsi="Calibri" w:cs="Calibri"/>
          <w:b/>
          <w:bCs/>
          <w:color w:val="44546A"/>
        </w:rPr>
        <w:lastRenderedPageBreak/>
        <w:t>6.3 Algorithm portfolio</w:t>
      </w:r>
      <w:bookmarkEnd w:id="16"/>
    </w:p>
    <w:p w:rsidR="008C3B6C" w:rsidRDefault="005C586C">
      <w:pPr>
        <w:spacing w:after="160" w:line="300" w:lineRule="auto"/>
      </w:pPr>
      <w:r>
        <w:rPr>
          <w:rFonts w:ascii="Calibri" w:eastAsia="Calibri" w:hAnsi="Calibri" w:cs="Calibri"/>
          <w:color w:val="2B2B2B"/>
          <w:sz w:val="21"/>
          <w:szCs w:val="21"/>
        </w:rPr>
        <w:t>No single algorithm wins across all tasks. The platform assigns each task the algorithm class with the best accuracy-explainability-latency trade-off, keeping logistic regression as the permanent regulatory benchmark.</w:t>
      </w:r>
    </w:p>
    <w:tbl>
      <w:tblPr>
        <w:tblW w:w="9360" w:type="dxa"/>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CellMar>
          <w:left w:w="10" w:type="dxa"/>
          <w:right w:w="10" w:type="dxa"/>
        </w:tblCellMar>
        <w:tblLook w:val="04A0" w:firstRow="1" w:lastRow="0" w:firstColumn="1" w:lastColumn="0" w:noHBand="0" w:noVBand="1"/>
      </w:tblPr>
      <w:tblGrid>
        <w:gridCol w:w="1650"/>
        <w:gridCol w:w="2200"/>
        <w:gridCol w:w="1650"/>
        <w:gridCol w:w="1300"/>
        <w:gridCol w:w="2560"/>
      </w:tblGrid>
      <w:tr w:rsidR="008C3B6C">
        <w:tblPrEx>
          <w:tblCellMar>
            <w:top w:w="0" w:type="dxa"/>
            <w:bottom w:w="0" w:type="dxa"/>
          </w:tblCellMar>
        </w:tblPrEx>
        <w:trPr>
          <w:tblHeader/>
        </w:trPr>
        <w:tc>
          <w:tcPr>
            <w:tcW w:w="165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Task</w:t>
            </w:r>
          </w:p>
        </w:tc>
        <w:tc>
          <w:tcPr>
            <w:tcW w:w="220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Algorithm</w:t>
            </w:r>
          </w:p>
        </w:tc>
        <w:tc>
          <w:tcPr>
            <w:tcW w:w="165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Loss / objective</w:t>
            </w:r>
          </w:p>
        </w:tc>
        <w:tc>
          <w:tcPr>
            <w:tcW w:w="130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Key me</w:t>
            </w:r>
            <w:r>
              <w:rPr>
                <w:rFonts w:ascii="Calibri" w:eastAsia="Calibri" w:hAnsi="Calibri" w:cs="Calibri"/>
                <w:b/>
                <w:bCs/>
                <w:color w:val="FFFFFF"/>
                <w:sz w:val="18"/>
                <w:szCs w:val="18"/>
              </w:rPr>
              <w:t>trics</w:t>
            </w:r>
          </w:p>
        </w:tc>
        <w:tc>
          <w:tcPr>
            <w:tcW w:w="256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Why this one</w:t>
            </w:r>
          </w:p>
        </w:tc>
      </w:tr>
      <w:tr w:rsidR="008C3B6C">
        <w:tblPrEx>
          <w:tblCellMar>
            <w:top w:w="0" w:type="dxa"/>
            <w:bottom w:w="0" w:type="dxa"/>
          </w:tblCellMar>
        </w:tblPrEx>
        <w:tc>
          <w:tcPr>
            <w:tcW w:w="16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PD (main credit risk)</w:t>
            </w:r>
          </w:p>
        </w:tc>
        <w:tc>
          <w:tcPr>
            <w:tcW w:w="22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LightGBM + XGBoost, stacked with logistic meta-learner</w:t>
            </w:r>
          </w:p>
        </w:tc>
        <w:tc>
          <w:tcPr>
            <w:tcW w:w="16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Binary log-loss, monotonic constraints on key ratios</w:t>
            </w:r>
          </w:p>
        </w:tc>
        <w:tc>
          <w:tcPr>
            <w:tcW w:w="13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AUC-ROC, Gini, KS, Brier</w:t>
            </w:r>
          </w:p>
        </w:tc>
        <w:tc>
          <w:tcPr>
            <w:tcW w:w="25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State of the art on tabular credit data; fast; SHAP-native</w:t>
            </w:r>
          </w:p>
        </w:tc>
      </w:tr>
      <w:tr w:rsidR="008C3B6C">
        <w:tblPrEx>
          <w:tblCellMar>
            <w:top w:w="0" w:type="dxa"/>
            <w:bottom w:w="0" w:type="dxa"/>
          </w:tblCellMar>
        </w:tblPrEx>
        <w:tc>
          <w:tcPr>
            <w:tcW w:w="16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Regulatory benchmark</w:t>
            </w:r>
          </w:p>
        </w:tc>
        <w:tc>
          <w:tcPr>
            <w:tcW w:w="22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Logistic regression on WoE features</w:t>
            </w:r>
          </w:p>
        </w:tc>
        <w:tc>
          <w:tcPr>
            <w:tcW w:w="16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Log-loss + L2</w:t>
            </w:r>
          </w:p>
        </w:tc>
        <w:tc>
          <w:tcPr>
            <w:tcW w:w="13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Gini, calibration</w:t>
            </w:r>
          </w:p>
        </w:tc>
        <w:tc>
          <w:tcPr>
            <w:tcW w:w="256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Fully auditable coefficients; the standard examiners trust</w:t>
            </w:r>
          </w:p>
        </w:tc>
      </w:tr>
      <w:tr w:rsidR="008C3B6C">
        <w:tblPrEx>
          <w:tblCellMar>
            <w:top w:w="0" w:type="dxa"/>
            <w:bottom w:w="0" w:type="dxa"/>
          </w:tblCellMar>
        </w:tblPrEx>
        <w:tc>
          <w:tcPr>
            <w:tcW w:w="16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Income prediction</w:t>
            </w:r>
          </w:p>
        </w:tc>
        <w:tc>
          <w:tcPr>
            <w:tcW w:w="22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LightGBM quantile regressor (P10/P50/P90)</w:t>
            </w:r>
          </w:p>
        </w:tc>
        <w:tc>
          <w:tcPr>
            <w:tcW w:w="16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Pinball loss</w:t>
            </w:r>
          </w:p>
        </w:tc>
        <w:tc>
          <w:tcPr>
            <w:tcW w:w="13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MAPE, quantile coverage</w:t>
            </w:r>
          </w:p>
        </w:tc>
        <w:tc>
          <w:tcPr>
            <w:tcW w:w="25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Uncertainty-aware income bands, not point guesses</w:t>
            </w:r>
          </w:p>
        </w:tc>
      </w:tr>
      <w:tr w:rsidR="008C3B6C">
        <w:tblPrEx>
          <w:tblCellMar>
            <w:top w:w="0" w:type="dxa"/>
            <w:bottom w:w="0" w:type="dxa"/>
          </w:tblCellMar>
        </w:tblPrEx>
        <w:tc>
          <w:tcPr>
            <w:tcW w:w="16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Cash-flow forecast</w:t>
            </w:r>
          </w:p>
        </w:tc>
        <w:tc>
          <w:tcPr>
            <w:tcW w:w="22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LSTM / temporal CNN on transaction sequences</w:t>
            </w:r>
          </w:p>
        </w:tc>
        <w:tc>
          <w:tcPr>
            <w:tcW w:w="16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MSE / quantile</w:t>
            </w:r>
          </w:p>
        </w:tc>
        <w:tc>
          <w:tcPr>
            <w:tcW w:w="13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MAPE by horizon</w:t>
            </w:r>
          </w:p>
        </w:tc>
        <w:tc>
          <w:tcPr>
            <w:tcW w:w="256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Captures pay-cycle seasonality for EMI-date optimization</w:t>
            </w:r>
          </w:p>
        </w:tc>
      </w:tr>
      <w:tr w:rsidR="008C3B6C">
        <w:tblPrEx>
          <w:tblCellMar>
            <w:top w:w="0" w:type="dxa"/>
            <w:bottom w:w="0" w:type="dxa"/>
          </w:tblCellMar>
        </w:tblPrEx>
        <w:tc>
          <w:tcPr>
            <w:tcW w:w="16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Fraud (point)</w:t>
            </w:r>
          </w:p>
        </w:tc>
        <w:tc>
          <w:tcPr>
            <w:tcW w:w="22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GBM + Isolation Forest + autoencoder</w:t>
            </w:r>
          </w:p>
        </w:tc>
        <w:tc>
          <w:tcPr>
            <w:tcW w:w="16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Log-loss / reconstruction error</w:t>
            </w:r>
          </w:p>
        </w:tc>
        <w:tc>
          <w:tcPr>
            <w:tcW w:w="13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Precision@k, alert rate</w:t>
            </w:r>
          </w:p>
        </w:tc>
        <w:tc>
          <w:tcPr>
            <w:tcW w:w="25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Supervised catches known patterns; unsupervised catches novel ones</w:t>
            </w:r>
          </w:p>
        </w:tc>
      </w:tr>
      <w:tr w:rsidR="008C3B6C">
        <w:tblPrEx>
          <w:tblCellMar>
            <w:top w:w="0" w:type="dxa"/>
            <w:bottom w:w="0" w:type="dxa"/>
          </w:tblCellMar>
        </w:tblPrEx>
        <w:tc>
          <w:tcPr>
            <w:tcW w:w="16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Fraud (rings)</w:t>
            </w:r>
          </w:p>
        </w:tc>
        <w:tc>
          <w:tcPr>
            <w:tcW w:w="22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Graph neural network / community detection over shared device-ID-address-bank edges</w:t>
            </w:r>
          </w:p>
        </w:tc>
        <w:tc>
          <w:tcPr>
            <w:tcW w:w="16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Link-prediction loss</w:t>
            </w:r>
          </w:p>
        </w:tc>
        <w:tc>
          <w:tcPr>
            <w:tcW w:w="13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Ring recall, FP rate</w:t>
            </w:r>
          </w:p>
        </w:tc>
        <w:tc>
          <w:tcPr>
            <w:tcW w:w="256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Organized fraud is relational; only graphs see it</w:t>
            </w:r>
          </w:p>
        </w:tc>
      </w:tr>
      <w:tr w:rsidR="008C3B6C">
        <w:tblPrEx>
          <w:tblCellMar>
            <w:top w:w="0" w:type="dxa"/>
            <w:bottom w:w="0" w:type="dxa"/>
          </w:tblCellMar>
        </w:tblPrEx>
        <w:tc>
          <w:tcPr>
            <w:tcW w:w="16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Deepfake / liveness</w:t>
            </w:r>
          </w:p>
        </w:tc>
        <w:tc>
          <w:tcPr>
            <w:tcW w:w="22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Vendor CNN + challenge-response</w:t>
            </w:r>
          </w:p>
        </w:tc>
        <w:tc>
          <w:tcPr>
            <w:tcW w:w="16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w:t>
            </w:r>
          </w:p>
        </w:tc>
        <w:tc>
          <w:tcPr>
            <w:tcW w:w="13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APCER/BPCER</w:t>
            </w:r>
          </w:p>
        </w:tc>
        <w:tc>
          <w:tcPr>
            <w:tcW w:w="25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Specialist vision problem; buy, don't build</w:t>
            </w:r>
          </w:p>
        </w:tc>
      </w:tr>
      <w:tr w:rsidR="008C3B6C">
        <w:tblPrEx>
          <w:tblCellMar>
            <w:top w:w="0" w:type="dxa"/>
            <w:bottom w:w="0" w:type="dxa"/>
          </w:tblCellMar>
        </w:tblPrEx>
        <w:tc>
          <w:tcPr>
            <w:tcW w:w="16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Behavioral sequence</w:t>
            </w:r>
          </w:p>
        </w:tc>
        <w:tc>
          <w:tcPr>
            <w:tcW w:w="22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GRU over in-app event streams</w:t>
            </w:r>
          </w:p>
        </w:tc>
        <w:tc>
          <w:tcPr>
            <w:tcW w:w="16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Log-loss</w:t>
            </w:r>
          </w:p>
        </w:tc>
        <w:tc>
          <w:tcPr>
            <w:tcW w:w="13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AUC uplift over GBM</w:t>
            </w:r>
          </w:p>
        </w:tc>
        <w:tc>
          <w:tcPr>
            <w:tcW w:w="256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Order of actions carries signal aggregates lose</w:t>
            </w:r>
          </w:p>
        </w:tc>
      </w:tr>
      <w:tr w:rsidR="008C3B6C">
        <w:tblPrEx>
          <w:tblCellMar>
            <w:top w:w="0" w:type="dxa"/>
            <w:bottom w:w="0" w:type="dxa"/>
          </w:tblCellMar>
        </w:tblPrEx>
        <w:tc>
          <w:tcPr>
            <w:tcW w:w="16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Survival / lifetime PD</w:t>
            </w:r>
          </w:p>
        </w:tc>
        <w:tc>
          <w:tcPr>
            <w:tcW w:w="22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Cox proportional hazards / gradient-boosted survival</w:t>
            </w:r>
          </w:p>
        </w:tc>
        <w:tc>
          <w:tcPr>
            <w:tcW w:w="16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Partial likelihood</w:t>
            </w:r>
          </w:p>
        </w:tc>
        <w:tc>
          <w:tcPr>
            <w:tcW w:w="13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C-index</w:t>
            </w:r>
          </w:p>
        </w:tc>
        <w:tc>
          <w:tcPr>
            <w:tcW w:w="25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When default happens matters for pricing and IFRS 9 staging</w:t>
            </w:r>
          </w:p>
        </w:tc>
      </w:tr>
      <w:tr w:rsidR="008C3B6C">
        <w:tblPrEx>
          <w:tblCellMar>
            <w:top w:w="0" w:type="dxa"/>
            <w:bottom w:w="0" w:type="dxa"/>
          </w:tblCellMar>
        </w:tblPrEx>
        <w:tc>
          <w:tcPr>
            <w:tcW w:w="16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Collections roll-rate</w:t>
            </w:r>
          </w:p>
        </w:tc>
        <w:tc>
          <w:tcPr>
            <w:tcW w:w="22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Markov chain (bucket transitions) + GBM</w:t>
            </w:r>
          </w:p>
        </w:tc>
        <w:tc>
          <w:tcPr>
            <w:tcW w:w="16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Transition likelihood</w:t>
            </w:r>
          </w:p>
        </w:tc>
        <w:tc>
          <w:tcPr>
            <w:tcW w:w="13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Roll-rate accuracy</w:t>
            </w:r>
          </w:p>
        </w:tc>
        <w:tc>
          <w:tcPr>
            <w:tcW w:w="256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Industry-standard delinquency mechanics</w:t>
            </w:r>
          </w:p>
        </w:tc>
      </w:tr>
      <w:tr w:rsidR="008C3B6C">
        <w:tblPrEx>
          <w:tblCellMar>
            <w:top w:w="0" w:type="dxa"/>
            <w:bottom w:w="0" w:type="dxa"/>
          </w:tblCellMar>
        </w:tblPrEx>
        <w:tc>
          <w:tcPr>
            <w:tcW w:w="16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Limit strategy (mature phase)</w:t>
            </w:r>
          </w:p>
        </w:tc>
        <w:tc>
          <w:tcPr>
            <w:tcW w:w="22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Constrained reinforcement learning / contextual bandits</w:t>
            </w:r>
          </w:p>
        </w:tc>
        <w:tc>
          <w:tcPr>
            <w:tcW w:w="16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Profit reward with risk &amp; fairness constraints</w:t>
            </w:r>
          </w:p>
        </w:tc>
        <w:tc>
          <w:tcPr>
            <w:tcW w:w="13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Profit per limit unit, loss rate</w:t>
            </w:r>
          </w:p>
        </w:tc>
        <w:tc>
          <w:tcPr>
            <w:tcW w:w="25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Learns limit-increase policy from portfolio outcomes</w:t>
            </w:r>
          </w:p>
        </w:tc>
      </w:tr>
      <w:tr w:rsidR="008C3B6C">
        <w:tblPrEx>
          <w:tblCellMar>
            <w:top w:w="0" w:type="dxa"/>
            <w:bottom w:w="0" w:type="dxa"/>
          </w:tblCellMar>
        </w:tblPrEx>
        <w:tc>
          <w:tcPr>
            <w:tcW w:w="16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Segmentation</w:t>
            </w:r>
          </w:p>
        </w:tc>
        <w:tc>
          <w:tcPr>
            <w:tcW w:w="22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K-Means / HDBSCAN on behavior embeddings</w:t>
            </w:r>
          </w:p>
        </w:tc>
        <w:tc>
          <w:tcPr>
            <w:tcW w:w="16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Inertia / density</w:t>
            </w:r>
          </w:p>
        </w:tc>
        <w:tc>
          <w:tcPr>
            <w:tcW w:w="13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Silhouette</w:t>
            </w:r>
          </w:p>
        </w:tc>
        <w:tc>
          <w:tcPr>
            <w:tcW w:w="256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Risk-tier communication and challenger targeting</w:t>
            </w:r>
          </w:p>
        </w:tc>
      </w:tr>
      <w:tr w:rsidR="008C3B6C">
        <w:tblPrEx>
          <w:tblCellMar>
            <w:top w:w="0" w:type="dxa"/>
            <w:bottom w:w="0" w:type="dxa"/>
          </w:tblCellMar>
        </w:tblPrEx>
        <w:tc>
          <w:tcPr>
            <w:tcW w:w="16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Document intelligence</w:t>
            </w:r>
          </w:p>
        </w:tc>
        <w:tc>
          <w:tcPr>
            <w:tcW w:w="22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OCR + layout transformer</w:t>
            </w:r>
          </w:p>
        </w:tc>
        <w:tc>
          <w:tcPr>
            <w:tcW w:w="16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w:t>
            </w:r>
          </w:p>
        </w:tc>
        <w:tc>
          <w:tcPr>
            <w:tcW w:w="13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Field-level F1</w:t>
            </w:r>
          </w:p>
        </w:tc>
        <w:tc>
          <w:tcPr>
            <w:tcW w:w="25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Statement/payslip parsing when APIs are unavailable</w:t>
            </w:r>
          </w:p>
        </w:tc>
      </w:tr>
    </w:tbl>
    <w:p w:rsidR="008C3B6C" w:rsidRDefault="008C3B6C">
      <w:pPr>
        <w:spacing w:after="120"/>
      </w:pPr>
    </w:p>
    <w:p w:rsidR="008C3B6C" w:rsidRDefault="005C586C">
      <w:pPr>
        <w:pStyle w:val="Heading2"/>
        <w:spacing w:before="280" w:after="160"/>
      </w:pPr>
      <w:bookmarkStart w:id="17" w:name="_Toc235175938"/>
      <w:r>
        <w:rPr>
          <w:rFonts w:ascii="Calibri" w:eastAsia="Calibri" w:hAnsi="Calibri" w:cs="Calibri"/>
          <w:b/>
          <w:bCs/>
          <w:color w:val="44546A"/>
        </w:rPr>
        <w:t>6.4 The mathematics, end to end</w:t>
      </w:r>
      <w:bookmarkEnd w:id="17"/>
    </w:p>
    <w:p w:rsidR="008C3B6C" w:rsidRDefault="005C586C">
      <w:pPr>
        <w:pStyle w:val="Heading3"/>
        <w:spacing w:before="220" w:after="120"/>
      </w:pPr>
      <w:r>
        <w:rPr>
          <w:rFonts w:ascii="Calibri" w:eastAsia="Calibri" w:hAnsi="Calibri" w:cs="Calibri"/>
          <w:b/>
          <w:bCs/>
          <w:color w:val="2E5BFF"/>
          <w:sz w:val="22"/>
          <w:szCs w:val="22"/>
        </w:rPr>
        <w:t>6.4.1 Base learners and stacking</w:t>
      </w:r>
    </w:p>
    <w:p w:rsidR="008C3B6C" w:rsidRDefault="005C586C">
      <w:pPr>
        <w:spacing w:after="160" w:line="300" w:lineRule="auto"/>
      </w:pPr>
      <w:r>
        <w:rPr>
          <w:rFonts w:ascii="Calibri" w:eastAsia="Calibri" w:hAnsi="Calibri" w:cs="Calibri"/>
          <w:color w:val="2B2B2B"/>
          <w:sz w:val="21"/>
          <w:szCs w:val="21"/>
        </w:rPr>
        <w:t>Gradient boosting builds an additive model of decision trees:</w:t>
      </w:r>
    </w:p>
    <w:p w:rsidR="008C3B6C" w:rsidRDefault="005C586C">
      <w:pPr>
        <w:shd w:val="clear" w:color="auto" w:fill="F5F7FA"/>
        <w:spacing w:after="40"/>
        <w:ind w:left="240"/>
      </w:pPr>
      <w:r>
        <w:rPr>
          <w:rFonts w:ascii="Consolas" w:eastAsia="Consolas" w:hAnsi="Consolas" w:cs="Consolas"/>
          <w:color w:val="1A2332"/>
          <w:sz w:val="17"/>
          <w:szCs w:val="17"/>
        </w:rPr>
        <w:t>F_M(x) = Σ_{m=1..M} ν · h_m(x)        ν = learning rate, h_m = tree fit to residual gradient</w:t>
      </w:r>
    </w:p>
    <w:p w:rsidR="008C3B6C" w:rsidRDefault="005C586C">
      <w:pPr>
        <w:shd w:val="clear" w:color="auto" w:fill="F5F7FA"/>
        <w:spacing w:after="120"/>
        <w:ind w:left="240"/>
      </w:pPr>
      <w:r>
        <w:rPr>
          <w:rFonts w:ascii="Consolas" w:eastAsia="Consolas" w:hAnsi="Consolas" w:cs="Consolas"/>
          <w:color w:val="1A2332"/>
          <w:sz w:val="17"/>
          <w:szCs w:val="17"/>
        </w:rPr>
        <w:t>PD_raw(x) = σ( F_M(x) ) = 1 / (1 + e^{−F_M(x)})</w:t>
      </w:r>
    </w:p>
    <w:p w:rsidR="008C3B6C" w:rsidRDefault="005C586C">
      <w:pPr>
        <w:spacing w:after="160" w:line="300" w:lineRule="auto"/>
      </w:pPr>
      <w:r>
        <w:rPr>
          <w:rFonts w:ascii="Calibri" w:eastAsia="Calibri" w:hAnsi="Calibri" w:cs="Calibri"/>
          <w:color w:val="2B2B2B"/>
          <w:sz w:val="21"/>
          <w:szCs w:val="21"/>
        </w:rPr>
        <w:lastRenderedPageBreak/>
        <w:t>Monotonic constraints are imposed where economics demand them (e.g., PD non-increasing in income, non-decreasing in FOIR and DPD) — this improves both robustness and explainability. The stacking layer combines base learners with out-of-fold predictions:</w:t>
      </w:r>
    </w:p>
    <w:p w:rsidR="008C3B6C" w:rsidRDefault="005C586C">
      <w:pPr>
        <w:shd w:val="clear" w:color="auto" w:fill="F5F7FA"/>
        <w:spacing w:after="40"/>
        <w:ind w:left="240"/>
      </w:pPr>
      <w:r>
        <w:rPr>
          <w:rFonts w:ascii="Consolas" w:eastAsia="Consolas" w:hAnsi="Consolas" w:cs="Consolas"/>
          <w:color w:val="1A2332"/>
          <w:sz w:val="17"/>
          <w:szCs w:val="17"/>
        </w:rPr>
        <w:t>z(</w:t>
      </w:r>
      <w:r>
        <w:rPr>
          <w:rFonts w:ascii="Consolas" w:eastAsia="Consolas" w:hAnsi="Consolas" w:cs="Consolas"/>
          <w:color w:val="1A2332"/>
          <w:sz w:val="17"/>
          <w:szCs w:val="17"/>
        </w:rPr>
        <w:t>x) = [ PD_lgbm(x), PD_xgb(x), PD_logit(x), sub-scores... ]</w:t>
      </w:r>
    </w:p>
    <w:p w:rsidR="008C3B6C" w:rsidRDefault="005C586C">
      <w:pPr>
        <w:shd w:val="clear" w:color="auto" w:fill="F5F7FA"/>
        <w:spacing w:after="120"/>
        <w:ind w:left="240"/>
      </w:pPr>
      <w:r>
        <w:rPr>
          <w:rFonts w:ascii="Consolas" w:eastAsia="Consolas" w:hAnsi="Consolas" w:cs="Consolas"/>
          <w:color w:val="1A2332"/>
          <w:sz w:val="17"/>
          <w:szCs w:val="17"/>
        </w:rPr>
        <w:t>PD_ens(x) = σ( w·z(x) + b )            w fitted by logistic meta-learner on OOF predictions</w:t>
      </w:r>
    </w:p>
    <w:p w:rsidR="008C3B6C" w:rsidRDefault="005C586C">
      <w:pPr>
        <w:pStyle w:val="Heading3"/>
        <w:spacing w:before="220" w:after="120"/>
      </w:pPr>
      <w:r>
        <w:rPr>
          <w:rFonts w:ascii="Calibri" w:eastAsia="Calibri" w:hAnsi="Calibri" w:cs="Calibri"/>
          <w:b/>
          <w:bCs/>
          <w:color w:val="2E5BFF"/>
          <w:sz w:val="22"/>
          <w:szCs w:val="22"/>
        </w:rPr>
        <w:t>6.4.2 Calibration</w:t>
      </w:r>
    </w:p>
    <w:p w:rsidR="008C3B6C" w:rsidRDefault="005C586C">
      <w:pPr>
        <w:spacing w:after="160" w:line="300" w:lineRule="auto"/>
      </w:pPr>
      <w:r>
        <w:rPr>
          <w:rFonts w:ascii="Calibri" w:eastAsia="Calibri" w:hAnsi="Calibri" w:cs="Calibri"/>
          <w:color w:val="2B2B2B"/>
          <w:sz w:val="21"/>
          <w:szCs w:val="21"/>
        </w:rPr>
        <w:t xml:space="preserve">Raw model outputs rank well but are rarely true probabilities. Isotonic regression (or </w:t>
      </w:r>
      <w:r>
        <w:rPr>
          <w:rFonts w:ascii="Calibri" w:eastAsia="Calibri" w:hAnsi="Calibri" w:cs="Calibri"/>
          <w:color w:val="2B2B2B"/>
          <w:sz w:val="21"/>
          <w:szCs w:val="21"/>
        </w:rPr>
        <w:t>Platt scaling on small samples) maps ranked outputs to observed default frequencies, validated per segment:</w:t>
      </w:r>
    </w:p>
    <w:p w:rsidR="008C3B6C" w:rsidRDefault="005C586C">
      <w:pPr>
        <w:shd w:val="clear" w:color="auto" w:fill="F5F7FA"/>
        <w:spacing w:after="40"/>
        <w:ind w:left="240"/>
      </w:pPr>
      <w:r>
        <w:rPr>
          <w:rFonts w:ascii="Consolas" w:eastAsia="Consolas" w:hAnsi="Consolas" w:cs="Consolas"/>
          <w:color w:val="1A2332"/>
          <w:sz w:val="17"/>
          <w:szCs w:val="17"/>
        </w:rPr>
        <w:t>PD_cal = IsotonicFit( PD_ens → observed default rate by score decile )</w:t>
      </w:r>
    </w:p>
    <w:p w:rsidR="008C3B6C" w:rsidRDefault="005C586C">
      <w:pPr>
        <w:shd w:val="clear" w:color="auto" w:fill="F5F7FA"/>
        <w:spacing w:after="120"/>
        <w:ind w:left="240"/>
      </w:pPr>
      <w:r>
        <w:rPr>
          <w:rFonts w:ascii="Consolas" w:eastAsia="Consolas" w:hAnsi="Consolas" w:cs="Consolas"/>
          <w:color w:val="1A2332"/>
          <w:sz w:val="17"/>
          <w:szCs w:val="17"/>
        </w:rPr>
        <w:t>Quality: Brier score = (1/N) Σ (PD_i − y_i)² ; Hosmer–Lemeshow by decile</w:t>
      </w:r>
    </w:p>
    <w:p w:rsidR="008C3B6C" w:rsidRDefault="005C586C">
      <w:pPr>
        <w:pStyle w:val="Heading3"/>
        <w:spacing w:before="220" w:after="120"/>
      </w:pPr>
      <w:r>
        <w:rPr>
          <w:rFonts w:ascii="Calibri" w:eastAsia="Calibri" w:hAnsi="Calibri" w:cs="Calibri"/>
          <w:b/>
          <w:bCs/>
          <w:color w:val="2E5BFF"/>
          <w:sz w:val="22"/>
          <w:szCs w:val="22"/>
        </w:rPr>
        <w:t>6.4.</w:t>
      </w:r>
      <w:r>
        <w:rPr>
          <w:rFonts w:ascii="Calibri" w:eastAsia="Calibri" w:hAnsi="Calibri" w:cs="Calibri"/>
          <w:b/>
          <w:bCs/>
          <w:color w:val="2E5BFF"/>
          <w:sz w:val="22"/>
          <w:szCs w:val="22"/>
        </w:rPr>
        <w:t>3 Score scaling (Points to Double the Odds)</w:t>
      </w:r>
    </w:p>
    <w:p w:rsidR="008C3B6C" w:rsidRDefault="005C586C">
      <w:pPr>
        <w:spacing w:after="160" w:line="300" w:lineRule="auto"/>
      </w:pPr>
      <w:r>
        <w:rPr>
          <w:rFonts w:ascii="Calibri" w:eastAsia="Calibri" w:hAnsi="Calibri" w:cs="Calibri"/>
          <w:color w:val="2B2B2B"/>
          <w:sz w:val="21"/>
          <w:szCs w:val="21"/>
        </w:rPr>
        <w:t>The calibrated PD is converted to the familiar 300–900 score with the standard PDO formulation:</w:t>
      </w:r>
    </w:p>
    <w:p w:rsidR="008C3B6C" w:rsidRDefault="005C586C">
      <w:pPr>
        <w:shd w:val="clear" w:color="auto" w:fill="F5F7FA"/>
        <w:spacing w:after="40"/>
        <w:ind w:left="240"/>
      </w:pPr>
      <w:r>
        <w:rPr>
          <w:rFonts w:ascii="Consolas" w:eastAsia="Consolas" w:hAnsi="Consolas" w:cs="Consolas"/>
          <w:color w:val="1A2332"/>
          <w:sz w:val="17"/>
          <w:szCs w:val="17"/>
        </w:rPr>
        <w:t>Odds = (1 − PD_cal) / PD_cal</w:t>
      </w:r>
    </w:p>
    <w:p w:rsidR="008C3B6C" w:rsidRDefault="005C586C">
      <w:pPr>
        <w:shd w:val="clear" w:color="auto" w:fill="F5F7FA"/>
        <w:spacing w:after="40"/>
        <w:ind w:left="240"/>
      </w:pPr>
      <w:r>
        <w:rPr>
          <w:rFonts w:ascii="Consolas" w:eastAsia="Consolas" w:hAnsi="Consolas" w:cs="Consolas"/>
          <w:color w:val="1A2332"/>
          <w:sz w:val="17"/>
          <w:szCs w:val="17"/>
        </w:rPr>
        <w:t>Score = Offset + Factor · ln(Odds)</w:t>
      </w:r>
    </w:p>
    <w:p w:rsidR="008C3B6C" w:rsidRDefault="005C586C">
      <w:pPr>
        <w:shd w:val="clear" w:color="auto" w:fill="F5F7FA"/>
        <w:spacing w:after="40"/>
        <w:ind w:left="240"/>
      </w:pPr>
      <w:r>
        <w:rPr>
          <w:rFonts w:ascii="Consolas" w:eastAsia="Consolas" w:hAnsi="Consolas" w:cs="Consolas"/>
          <w:color w:val="1A2332"/>
          <w:sz w:val="17"/>
          <w:szCs w:val="17"/>
        </w:rPr>
        <w:t>Factor = PDO / ln(2)</w:t>
      </w:r>
    </w:p>
    <w:p w:rsidR="008C3B6C" w:rsidRDefault="005C586C">
      <w:pPr>
        <w:shd w:val="clear" w:color="auto" w:fill="F5F7FA"/>
        <w:spacing w:after="40"/>
        <w:ind w:left="240"/>
      </w:pPr>
      <w:r>
        <w:rPr>
          <w:rFonts w:ascii="Consolas" w:eastAsia="Consolas" w:hAnsi="Consolas" w:cs="Consolas"/>
          <w:color w:val="1A2332"/>
          <w:sz w:val="17"/>
          <w:szCs w:val="17"/>
        </w:rPr>
        <w:t>Offset = BaseScore − Factor · l</w:t>
      </w:r>
      <w:r>
        <w:rPr>
          <w:rFonts w:ascii="Consolas" w:eastAsia="Consolas" w:hAnsi="Consolas" w:cs="Consolas"/>
          <w:color w:val="1A2332"/>
          <w:sz w:val="17"/>
          <w:szCs w:val="17"/>
        </w:rPr>
        <w:t>n(BaseOdds)</w:t>
      </w:r>
    </w:p>
    <w:p w:rsidR="008C3B6C" w:rsidRDefault="008C3B6C">
      <w:pPr>
        <w:shd w:val="clear" w:color="auto" w:fill="F5F7FA"/>
        <w:spacing w:after="40"/>
        <w:ind w:left="240"/>
      </w:pPr>
    </w:p>
    <w:p w:rsidR="008C3B6C" w:rsidRDefault="005C586C">
      <w:pPr>
        <w:shd w:val="clear" w:color="auto" w:fill="F5F7FA"/>
        <w:spacing w:after="40"/>
        <w:ind w:left="240"/>
      </w:pPr>
      <w:r>
        <w:rPr>
          <w:rFonts w:ascii="Consolas" w:eastAsia="Consolas" w:hAnsi="Consolas" w:cs="Consolas"/>
          <w:color w:val="1A2332"/>
          <w:sz w:val="17"/>
          <w:szCs w:val="17"/>
        </w:rPr>
        <w:t>Chosen anchors:  BaseScore = 660 at BaseOdds = 15:1, PDO = 40</w:t>
      </w:r>
    </w:p>
    <w:p w:rsidR="008C3B6C" w:rsidRDefault="005C586C">
      <w:pPr>
        <w:shd w:val="clear" w:color="auto" w:fill="F5F7FA"/>
        <w:spacing w:after="40"/>
        <w:ind w:left="240"/>
      </w:pPr>
      <w:r>
        <w:rPr>
          <w:rFonts w:ascii="Consolas" w:eastAsia="Consolas" w:hAnsi="Consolas" w:cs="Consolas"/>
          <w:color w:val="1A2332"/>
          <w:sz w:val="17"/>
          <w:szCs w:val="17"/>
        </w:rPr>
        <w:t>→ Factor = 40/ln2 = 57.71   Offset = 660 − 57.71·ln(15) = 503.7</w:t>
      </w:r>
    </w:p>
    <w:p w:rsidR="008C3B6C" w:rsidRDefault="005C586C">
      <w:pPr>
        <w:shd w:val="clear" w:color="auto" w:fill="F5F7FA"/>
        <w:spacing w:after="120"/>
        <w:ind w:left="240"/>
      </w:pPr>
      <w:r>
        <w:rPr>
          <w:rFonts w:ascii="Consolas" w:eastAsia="Consolas" w:hAnsi="Consolas" w:cs="Consolas"/>
          <w:color w:val="1A2332"/>
          <w:sz w:val="17"/>
          <w:szCs w:val="17"/>
        </w:rPr>
        <w:t>Example: PD = 3%  → Odds = 32.3 → Score = 503.7 + 57.71·ln(32.3) ≈ 704</w:t>
      </w:r>
    </w:p>
    <w:p w:rsidR="008C3B6C" w:rsidRDefault="005C586C">
      <w:pPr>
        <w:pStyle w:val="Heading3"/>
        <w:spacing w:before="220" w:after="120"/>
      </w:pPr>
      <w:r>
        <w:rPr>
          <w:rFonts w:ascii="Calibri" w:eastAsia="Calibri" w:hAnsi="Calibri" w:cs="Calibri"/>
          <w:b/>
          <w:bCs/>
          <w:color w:val="2E5BFF"/>
          <w:sz w:val="22"/>
          <w:szCs w:val="22"/>
        </w:rPr>
        <w:t>6.4.4 Expected loss and IFRS 9</w:t>
      </w:r>
    </w:p>
    <w:p w:rsidR="008C3B6C" w:rsidRDefault="005C586C">
      <w:pPr>
        <w:shd w:val="clear" w:color="auto" w:fill="F5F7FA"/>
        <w:spacing w:after="40"/>
        <w:ind w:left="240"/>
      </w:pPr>
      <w:r>
        <w:rPr>
          <w:rFonts w:ascii="Consolas" w:eastAsia="Consolas" w:hAnsi="Consolas" w:cs="Consolas"/>
          <w:color w:val="1A2332"/>
          <w:sz w:val="17"/>
          <w:szCs w:val="17"/>
        </w:rPr>
        <w:t xml:space="preserve">ECL = PD × LGD </w:t>
      </w:r>
      <w:r>
        <w:rPr>
          <w:rFonts w:ascii="Consolas" w:eastAsia="Consolas" w:hAnsi="Consolas" w:cs="Consolas"/>
          <w:color w:val="1A2332"/>
          <w:sz w:val="17"/>
          <w:szCs w:val="17"/>
        </w:rPr>
        <w:t>× EAD</w:t>
      </w:r>
    </w:p>
    <w:p w:rsidR="008C3B6C" w:rsidRDefault="005C586C">
      <w:pPr>
        <w:shd w:val="clear" w:color="auto" w:fill="F5F7FA"/>
        <w:spacing w:after="40"/>
        <w:ind w:left="240"/>
      </w:pPr>
      <w:r>
        <w:rPr>
          <w:rFonts w:ascii="Consolas" w:eastAsia="Consolas" w:hAnsi="Consolas" w:cs="Consolas"/>
          <w:color w:val="1A2332"/>
          <w:sz w:val="17"/>
          <w:szCs w:val="17"/>
        </w:rPr>
        <w:t>LGD = 1 − Recovery rate   (modeled per segment; nano loans typically 65–85% LGD, unsecured)</w:t>
      </w:r>
    </w:p>
    <w:p w:rsidR="008C3B6C" w:rsidRDefault="005C586C">
      <w:pPr>
        <w:shd w:val="clear" w:color="auto" w:fill="F5F7FA"/>
        <w:spacing w:after="40"/>
        <w:ind w:left="240"/>
      </w:pPr>
      <w:r>
        <w:rPr>
          <w:rFonts w:ascii="Consolas" w:eastAsia="Consolas" w:hAnsi="Consolas" w:cs="Consolas"/>
          <w:color w:val="1A2332"/>
          <w:sz w:val="17"/>
          <w:szCs w:val="17"/>
        </w:rPr>
        <w:t>EAD = Outstanding balance + CCF × Undrawn limit</w:t>
      </w:r>
    </w:p>
    <w:p w:rsidR="008C3B6C" w:rsidRDefault="005C586C">
      <w:pPr>
        <w:shd w:val="clear" w:color="auto" w:fill="F5F7FA"/>
        <w:spacing w:after="120"/>
        <w:ind w:left="240"/>
      </w:pPr>
      <w:r>
        <w:rPr>
          <w:rFonts w:ascii="Consolas" w:eastAsia="Consolas" w:hAnsi="Consolas" w:cs="Consolas"/>
          <w:color w:val="1A2332"/>
          <w:sz w:val="17"/>
          <w:szCs w:val="17"/>
        </w:rPr>
        <w:t>Lifetime ECL (Stage 2/3) = Σ_t  PD_t × LGD_t × EAD_t × discount_t</w:t>
      </w:r>
    </w:p>
    <w:p w:rsidR="008C3B6C" w:rsidRDefault="005C586C">
      <w:pPr>
        <w:pStyle w:val="Heading3"/>
        <w:spacing w:before="220" w:after="120"/>
      </w:pPr>
      <w:r>
        <w:rPr>
          <w:rFonts w:ascii="Calibri" w:eastAsia="Calibri" w:hAnsi="Calibri" w:cs="Calibri"/>
          <w:b/>
          <w:bCs/>
          <w:color w:val="2E5BFF"/>
          <w:sz w:val="22"/>
          <w:szCs w:val="22"/>
        </w:rPr>
        <w:t>6.4.5 Risk-based pricing</w:t>
      </w:r>
    </w:p>
    <w:p w:rsidR="008C3B6C" w:rsidRDefault="005C586C">
      <w:pPr>
        <w:spacing w:after="160" w:line="300" w:lineRule="auto"/>
      </w:pPr>
      <w:r>
        <w:rPr>
          <w:rFonts w:ascii="Calibri" w:eastAsia="Calibri" w:hAnsi="Calibri" w:cs="Calibri"/>
          <w:color w:val="2B2B2B"/>
          <w:sz w:val="21"/>
          <w:szCs w:val="21"/>
        </w:rPr>
        <w:t>Pricing builds up f</w:t>
      </w:r>
      <w:r>
        <w:rPr>
          <w:rFonts w:ascii="Calibri" w:eastAsia="Calibri" w:hAnsi="Calibri" w:cs="Calibri"/>
          <w:color w:val="2B2B2B"/>
          <w:sz w:val="21"/>
          <w:szCs w:val="21"/>
        </w:rPr>
        <w:t>rom cost components and is then bounded by regulation and market:</w:t>
      </w:r>
    </w:p>
    <w:p w:rsidR="008C3B6C" w:rsidRDefault="005C586C">
      <w:pPr>
        <w:shd w:val="clear" w:color="auto" w:fill="F5F7FA"/>
        <w:spacing w:after="40"/>
        <w:ind w:left="240"/>
      </w:pPr>
      <w:r>
        <w:rPr>
          <w:rFonts w:ascii="Consolas" w:eastAsia="Consolas" w:hAnsi="Consolas" w:cs="Consolas"/>
          <w:color w:val="1A2332"/>
          <w:sz w:val="17"/>
          <w:szCs w:val="17"/>
        </w:rPr>
        <w:t>APR = CoF + OpEx + ECL_rate + Capital charge + Target margin</w:t>
      </w:r>
    </w:p>
    <w:p w:rsidR="008C3B6C" w:rsidRDefault="005C586C">
      <w:pPr>
        <w:shd w:val="clear" w:color="auto" w:fill="F5F7FA"/>
        <w:spacing w:after="40"/>
        <w:ind w:left="240"/>
      </w:pPr>
      <w:r>
        <w:rPr>
          <w:rFonts w:ascii="Consolas" w:eastAsia="Consolas" w:hAnsi="Consolas" w:cs="Consolas"/>
          <w:color w:val="1A2332"/>
          <w:sz w:val="17"/>
          <w:szCs w:val="17"/>
        </w:rPr>
        <w:t xml:space="preserve">    = CoF + OpEx + (PD × LGD) + (K × Hurdle) + margin</w:t>
      </w:r>
    </w:p>
    <w:p w:rsidR="008C3B6C" w:rsidRDefault="005C586C">
      <w:pPr>
        <w:shd w:val="clear" w:color="auto" w:fill="F5F7FA"/>
        <w:spacing w:after="120"/>
        <w:ind w:left="240"/>
      </w:pPr>
      <w:r>
        <w:rPr>
          <w:rFonts w:ascii="Consolas" w:eastAsia="Consolas" w:hAnsi="Consolas" w:cs="Consolas"/>
          <w:color w:val="1A2332"/>
          <w:sz w:val="17"/>
          <w:szCs w:val="17"/>
        </w:rPr>
        <w:t>subject to:  APR ≤ regulatory cap;  EMI ≤ affordability ceiling</w:t>
      </w:r>
    </w:p>
    <w:p w:rsidR="008C3B6C" w:rsidRDefault="005C586C">
      <w:pPr>
        <w:pStyle w:val="Heading3"/>
        <w:spacing w:before="220" w:after="120"/>
      </w:pPr>
      <w:r>
        <w:rPr>
          <w:rFonts w:ascii="Calibri" w:eastAsia="Calibri" w:hAnsi="Calibri" w:cs="Calibri"/>
          <w:b/>
          <w:bCs/>
          <w:color w:val="2E5BFF"/>
          <w:sz w:val="22"/>
          <w:szCs w:val="22"/>
        </w:rPr>
        <w:t>6.4.6 Model evaluation gates</w:t>
      </w:r>
    </w:p>
    <w:tbl>
      <w:tblPr>
        <w:tblW w:w="8960" w:type="dxa"/>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CellMar>
          <w:left w:w="10" w:type="dxa"/>
          <w:right w:w="10" w:type="dxa"/>
        </w:tblCellMar>
        <w:tblLook w:val="04A0" w:firstRow="1" w:lastRow="0" w:firstColumn="1" w:lastColumn="0" w:noHBand="0" w:noVBand="1"/>
      </w:tblPr>
      <w:tblGrid>
        <w:gridCol w:w="1550"/>
        <w:gridCol w:w="4200"/>
        <w:gridCol w:w="3210"/>
      </w:tblGrid>
      <w:tr w:rsidR="008C3B6C">
        <w:tblPrEx>
          <w:tblCellMar>
            <w:top w:w="0" w:type="dxa"/>
            <w:bottom w:w="0" w:type="dxa"/>
          </w:tblCellMar>
        </w:tblPrEx>
        <w:trPr>
          <w:tblHeader/>
        </w:trPr>
        <w:tc>
          <w:tcPr>
            <w:tcW w:w="155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Metric</w:t>
            </w:r>
          </w:p>
        </w:tc>
        <w:tc>
          <w:tcPr>
            <w:tcW w:w="420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Formula / definition</w:t>
            </w:r>
          </w:p>
        </w:tc>
        <w:tc>
          <w:tcPr>
            <w:tcW w:w="321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Launch gate</w:t>
            </w:r>
          </w:p>
        </w:tc>
      </w:tr>
      <w:tr w:rsidR="008C3B6C">
        <w:tblPrEx>
          <w:tblCellMar>
            <w:top w:w="0" w:type="dxa"/>
            <w:bottom w:w="0" w:type="dxa"/>
          </w:tblCellMar>
        </w:tblPrEx>
        <w:tc>
          <w:tcPr>
            <w:tcW w:w="15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AUC-ROC</w:t>
            </w:r>
          </w:p>
        </w:tc>
        <w:tc>
          <w:tcPr>
            <w:tcW w:w="42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P(score(good) &gt; score(bad))</w:t>
            </w:r>
          </w:p>
        </w:tc>
        <w:tc>
          <w:tcPr>
            <w:tcW w:w="321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 0.72 new-to-book; ≥ 0.80 with bank data</w:t>
            </w:r>
          </w:p>
        </w:tc>
      </w:tr>
      <w:tr w:rsidR="008C3B6C">
        <w:tblPrEx>
          <w:tblCellMar>
            <w:top w:w="0" w:type="dxa"/>
            <w:bottom w:w="0" w:type="dxa"/>
          </w:tblCellMar>
        </w:tblPrEx>
        <w:tc>
          <w:tcPr>
            <w:tcW w:w="15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Gini</w:t>
            </w:r>
          </w:p>
        </w:tc>
        <w:tc>
          <w:tcPr>
            <w:tcW w:w="42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2·AUC − 1</w:t>
            </w:r>
          </w:p>
        </w:tc>
        <w:tc>
          <w:tcPr>
            <w:tcW w:w="321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 0.44 / ≥ 0.60</w:t>
            </w:r>
          </w:p>
        </w:tc>
      </w:tr>
      <w:tr w:rsidR="008C3B6C">
        <w:tblPrEx>
          <w:tblCellMar>
            <w:top w:w="0" w:type="dxa"/>
            <w:bottom w:w="0" w:type="dxa"/>
          </w:tblCellMar>
        </w:tblPrEx>
        <w:tc>
          <w:tcPr>
            <w:tcW w:w="15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KS</w:t>
            </w:r>
          </w:p>
        </w:tc>
        <w:tc>
          <w:tcPr>
            <w:tcW w:w="42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max |CDF_good − CDF_bad|</w:t>
            </w:r>
          </w:p>
        </w:tc>
        <w:tc>
          <w:tcPr>
            <w:tcW w:w="321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 0.30</w:t>
            </w:r>
          </w:p>
        </w:tc>
      </w:tr>
      <w:tr w:rsidR="008C3B6C">
        <w:tblPrEx>
          <w:tblCellMar>
            <w:top w:w="0" w:type="dxa"/>
            <w:bottom w:w="0" w:type="dxa"/>
          </w:tblCellMar>
        </w:tblPrEx>
        <w:tc>
          <w:tcPr>
            <w:tcW w:w="15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Brier</w:t>
            </w:r>
          </w:p>
        </w:tc>
        <w:tc>
          <w:tcPr>
            <w:tcW w:w="42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mean squared probability error</w:t>
            </w:r>
          </w:p>
        </w:tc>
        <w:tc>
          <w:tcPr>
            <w:tcW w:w="321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 0.9 × naive baseline</w:t>
            </w:r>
          </w:p>
        </w:tc>
      </w:tr>
      <w:tr w:rsidR="008C3B6C">
        <w:tblPrEx>
          <w:tblCellMar>
            <w:top w:w="0" w:type="dxa"/>
            <w:bottom w:w="0" w:type="dxa"/>
          </w:tblCellMar>
        </w:tblPrEx>
        <w:tc>
          <w:tcPr>
            <w:tcW w:w="15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PSI (score)</w:t>
            </w:r>
          </w:p>
        </w:tc>
        <w:tc>
          <w:tcPr>
            <w:tcW w:w="42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distribution drift vs. development sample</w:t>
            </w:r>
          </w:p>
        </w:tc>
        <w:tc>
          <w:tcPr>
            <w:tcW w:w="321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&lt; 0.10 green, 0.10–0.25 amber</w:t>
            </w:r>
          </w:p>
        </w:tc>
      </w:tr>
      <w:tr w:rsidR="008C3B6C">
        <w:tblPrEx>
          <w:tblCellMar>
            <w:top w:w="0" w:type="dxa"/>
            <w:bottom w:w="0" w:type="dxa"/>
          </w:tblCellMar>
        </w:tblPrEx>
        <w:tc>
          <w:tcPr>
            <w:tcW w:w="15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Disparate impact ratio</w:t>
            </w:r>
          </w:p>
        </w:tc>
        <w:tc>
          <w:tcPr>
            <w:tcW w:w="42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approval rate protected / reference group</w:t>
            </w:r>
          </w:p>
        </w:tc>
        <w:tc>
          <w:tcPr>
            <w:tcW w:w="321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 0.80 (four-fifths rule) + equalized-odds review</w:t>
            </w:r>
          </w:p>
        </w:tc>
      </w:tr>
    </w:tbl>
    <w:p w:rsidR="008C3B6C" w:rsidRDefault="005C586C">
      <w:r>
        <w:br w:type="page"/>
      </w:r>
    </w:p>
    <w:p w:rsidR="008C3B6C" w:rsidRDefault="005C586C">
      <w:pPr>
        <w:pStyle w:val="Heading1"/>
        <w:spacing w:before="360" w:after="200"/>
      </w:pPr>
      <w:bookmarkStart w:id="18" w:name="_Toc235175939"/>
      <w:r>
        <w:rPr>
          <w:rFonts w:ascii="Calibri" w:eastAsia="Calibri" w:hAnsi="Calibri" w:cs="Calibri"/>
          <w:b/>
          <w:bCs/>
          <w:color w:val="1A2332"/>
        </w:rPr>
        <w:lastRenderedPageBreak/>
        <w:t>7. Decision Engine</w:t>
      </w:r>
      <w:bookmarkEnd w:id="18"/>
    </w:p>
    <w:p w:rsidR="008C3B6C" w:rsidRDefault="005C586C">
      <w:pPr>
        <w:spacing w:after="160" w:line="300" w:lineRule="auto"/>
      </w:pPr>
      <w:r>
        <w:rPr>
          <w:rFonts w:ascii="Calibri" w:eastAsia="Calibri" w:hAnsi="Calibri" w:cs="Calibri"/>
          <w:color w:val="2B2B2B"/>
          <w:sz w:val="21"/>
          <w:szCs w:val="21"/>
        </w:rPr>
        <w:t>The decision engine is deliberately separated from the models: models estimate, policy decides. Risk teams change policy (cutoffs, limits, pricing grids) in a configuration UI without touching model code, with every change versioned and auditable.</w:t>
      </w:r>
    </w:p>
    <w:p w:rsidR="008C3B6C" w:rsidRDefault="005C586C">
      <w:pPr>
        <w:pStyle w:val="Heading2"/>
        <w:spacing w:before="280" w:after="160"/>
      </w:pPr>
      <w:bookmarkStart w:id="19" w:name="_Toc235175940"/>
      <w:r>
        <w:rPr>
          <w:rFonts w:ascii="Calibri" w:eastAsia="Calibri" w:hAnsi="Calibri" w:cs="Calibri"/>
          <w:b/>
          <w:bCs/>
          <w:color w:val="44546A"/>
        </w:rPr>
        <w:t>7.1 Deci</w:t>
      </w:r>
      <w:r>
        <w:rPr>
          <w:rFonts w:ascii="Calibri" w:eastAsia="Calibri" w:hAnsi="Calibri" w:cs="Calibri"/>
          <w:b/>
          <w:bCs/>
          <w:color w:val="44546A"/>
        </w:rPr>
        <w:t>sion waterfall</w:t>
      </w:r>
      <w:bookmarkEnd w:id="19"/>
    </w:p>
    <w:p w:rsidR="008C3B6C" w:rsidRDefault="005C586C">
      <w:pPr>
        <w:shd w:val="clear" w:color="auto" w:fill="F5F7FA"/>
        <w:spacing w:after="40"/>
        <w:ind w:left="240"/>
      </w:pPr>
      <w:r>
        <w:rPr>
          <w:rFonts w:ascii="Consolas" w:eastAsia="Consolas" w:hAnsi="Consolas" w:cs="Consolas"/>
          <w:color w:val="1A2332"/>
          <w:sz w:val="17"/>
          <w:szCs w:val="17"/>
        </w:rPr>
        <w:t xml:space="preserve">  1. HARD KNOCKOUTS      age &lt; 18 · KYC fail · sanctions hit · active default</w:t>
      </w:r>
    </w:p>
    <w:p w:rsidR="008C3B6C" w:rsidRDefault="005C586C">
      <w:pPr>
        <w:shd w:val="clear" w:color="auto" w:fill="F5F7FA"/>
        <w:spacing w:after="40"/>
        <w:ind w:left="240"/>
      </w:pPr>
      <w:r>
        <w:rPr>
          <w:rFonts w:ascii="Consolas" w:eastAsia="Consolas" w:hAnsi="Consolas" w:cs="Consolas"/>
          <w:color w:val="1A2332"/>
          <w:sz w:val="17"/>
          <w:szCs w:val="17"/>
        </w:rPr>
        <w:t xml:space="preserve">                         fraud score &gt; gate · duplicate live application</w:t>
      </w:r>
    </w:p>
    <w:p w:rsidR="008C3B6C" w:rsidRDefault="005C586C">
      <w:pPr>
        <w:shd w:val="clear" w:color="auto" w:fill="F5F7FA"/>
        <w:spacing w:after="40"/>
        <w:ind w:left="240"/>
      </w:pPr>
      <w:r>
        <w:rPr>
          <w:rFonts w:ascii="Consolas" w:eastAsia="Consolas" w:hAnsi="Consolas" w:cs="Consolas"/>
          <w:color w:val="1A2332"/>
          <w:sz w:val="17"/>
          <w:szCs w:val="17"/>
        </w:rPr>
        <w:t xml:space="preserve">  2. POLICY RULES        min income floor · max exposure per borrower</w:t>
      </w:r>
    </w:p>
    <w:p w:rsidR="008C3B6C" w:rsidRDefault="005C586C">
      <w:pPr>
        <w:shd w:val="clear" w:color="auto" w:fill="F5F7FA"/>
        <w:spacing w:after="40"/>
        <w:ind w:left="240"/>
      </w:pPr>
      <w:r>
        <w:rPr>
          <w:rFonts w:ascii="Consolas" w:eastAsia="Consolas" w:hAnsi="Consolas" w:cs="Consolas"/>
          <w:color w:val="1A2332"/>
          <w:sz w:val="17"/>
          <w:szCs w:val="17"/>
        </w:rPr>
        <w:t xml:space="preserve">                         FOIR ≤ 45–55% by grade · geography/product eligibility</w:t>
      </w:r>
    </w:p>
    <w:p w:rsidR="008C3B6C" w:rsidRDefault="005C586C">
      <w:pPr>
        <w:shd w:val="clear" w:color="auto" w:fill="F5F7FA"/>
        <w:spacing w:after="40"/>
        <w:ind w:left="240"/>
      </w:pPr>
      <w:r>
        <w:rPr>
          <w:rFonts w:ascii="Consolas" w:eastAsia="Consolas" w:hAnsi="Consolas" w:cs="Consolas"/>
          <w:color w:val="1A2332"/>
          <w:sz w:val="17"/>
          <w:szCs w:val="17"/>
        </w:rPr>
        <w:t xml:space="preserve">  3. SCORE DECISION      grade from calibrated score (matrix below)</w:t>
      </w:r>
    </w:p>
    <w:p w:rsidR="008C3B6C" w:rsidRDefault="005C586C">
      <w:pPr>
        <w:shd w:val="clear" w:color="auto" w:fill="F5F7FA"/>
        <w:spacing w:after="40"/>
        <w:ind w:left="240"/>
      </w:pPr>
      <w:r>
        <w:rPr>
          <w:rFonts w:ascii="Consolas" w:eastAsia="Consolas" w:hAnsi="Consolas" w:cs="Consolas"/>
          <w:color w:val="1A2332"/>
          <w:sz w:val="17"/>
          <w:szCs w:val="17"/>
        </w:rPr>
        <w:t xml:space="preserve">  4. LIMIT ENGINE        risk- and affordability-bounded limit</w:t>
      </w:r>
    </w:p>
    <w:p w:rsidR="008C3B6C" w:rsidRDefault="005C586C">
      <w:pPr>
        <w:shd w:val="clear" w:color="auto" w:fill="F5F7FA"/>
        <w:spacing w:after="40"/>
        <w:ind w:left="240"/>
      </w:pPr>
      <w:r>
        <w:rPr>
          <w:rFonts w:ascii="Consolas" w:eastAsia="Consolas" w:hAnsi="Consolas" w:cs="Consolas"/>
          <w:color w:val="1A2332"/>
          <w:sz w:val="17"/>
          <w:szCs w:val="17"/>
        </w:rPr>
        <w:t xml:space="preserve">  5. PRICING ENGINE      risk-based APR withi</w:t>
      </w:r>
      <w:r>
        <w:rPr>
          <w:rFonts w:ascii="Consolas" w:eastAsia="Consolas" w:hAnsi="Consolas" w:cs="Consolas"/>
          <w:color w:val="1A2332"/>
          <w:sz w:val="17"/>
          <w:szCs w:val="17"/>
        </w:rPr>
        <w:t>n caps</w:t>
      </w:r>
    </w:p>
    <w:p w:rsidR="008C3B6C" w:rsidRDefault="005C586C">
      <w:pPr>
        <w:shd w:val="clear" w:color="auto" w:fill="F5F7FA"/>
        <w:spacing w:after="40"/>
        <w:ind w:left="240"/>
      </w:pPr>
      <w:r>
        <w:rPr>
          <w:rFonts w:ascii="Consolas" w:eastAsia="Consolas" w:hAnsi="Consolas" w:cs="Consolas"/>
          <w:color w:val="1A2332"/>
          <w:sz w:val="17"/>
          <w:szCs w:val="17"/>
        </w:rPr>
        <w:t xml:space="preserve">  6. GRAY-ZONE ROUTING   borderline + high-value → manual review queue</w:t>
      </w:r>
    </w:p>
    <w:p w:rsidR="008C3B6C" w:rsidRDefault="005C586C">
      <w:pPr>
        <w:shd w:val="clear" w:color="auto" w:fill="F5F7FA"/>
        <w:spacing w:after="200"/>
        <w:ind w:left="240"/>
      </w:pPr>
      <w:r>
        <w:rPr>
          <w:rFonts w:ascii="Consolas" w:eastAsia="Consolas" w:hAnsi="Consolas" w:cs="Consolas"/>
          <w:color w:val="1A2332"/>
          <w:sz w:val="17"/>
          <w:szCs w:val="17"/>
        </w:rPr>
        <w:t xml:space="preserve">                         with SHAP explanation pre-attached for the analyst</w:t>
      </w:r>
    </w:p>
    <w:p w:rsidR="008C3B6C" w:rsidRDefault="005C586C">
      <w:pPr>
        <w:pStyle w:val="Heading2"/>
        <w:spacing w:before="280" w:after="160"/>
      </w:pPr>
      <w:bookmarkStart w:id="20" w:name="_Toc235175941"/>
      <w:r>
        <w:rPr>
          <w:rFonts w:ascii="Calibri" w:eastAsia="Calibri" w:hAnsi="Calibri" w:cs="Calibri"/>
          <w:b/>
          <w:bCs/>
          <w:color w:val="44546A"/>
        </w:rPr>
        <w:t>7.2 Decision matrix</w:t>
      </w:r>
      <w:bookmarkEnd w:id="20"/>
    </w:p>
    <w:tbl>
      <w:tblPr>
        <w:tblW w:w="8960" w:type="dxa"/>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CellMar>
          <w:left w:w="10" w:type="dxa"/>
          <w:right w:w="10" w:type="dxa"/>
        </w:tblCellMar>
        <w:tblLook w:val="04A0" w:firstRow="1" w:lastRow="0" w:firstColumn="1" w:lastColumn="0" w:noHBand="0" w:noVBand="1"/>
      </w:tblPr>
      <w:tblGrid>
        <w:gridCol w:w="1150"/>
        <w:gridCol w:w="700"/>
        <w:gridCol w:w="1400"/>
        <w:gridCol w:w="2050"/>
        <w:gridCol w:w="2260"/>
        <w:gridCol w:w="1400"/>
      </w:tblGrid>
      <w:tr w:rsidR="008C3B6C">
        <w:tblPrEx>
          <w:tblCellMar>
            <w:top w:w="0" w:type="dxa"/>
            <w:bottom w:w="0" w:type="dxa"/>
          </w:tblCellMar>
        </w:tblPrEx>
        <w:trPr>
          <w:tblHeader/>
        </w:trPr>
        <w:tc>
          <w:tcPr>
            <w:tcW w:w="115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Score</w:t>
            </w:r>
          </w:p>
        </w:tc>
        <w:tc>
          <w:tcPr>
            <w:tcW w:w="70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Grade</w:t>
            </w:r>
          </w:p>
        </w:tc>
        <w:tc>
          <w:tcPr>
            <w:tcW w:w="140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PD band (12m)</w:t>
            </w:r>
          </w:p>
        </w:tc>
        <w:tc>
          <w:tcPr>
            <w:tcW w:w="205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Decision</w:t>
            </w:r>
          </w:p>
        </w:tc>
        <w:tc>
          <w:tcPr>
            <w:tcW w:w="226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First-loan limit</w:t>
            </w:r>
          </w:p>
        </w:tc>
        <w:tc>
          <w:tcPr>
            <w:tcW w:w="140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Pricing tier</w:t>
            </w:r>
          </w:p>
        </w:tc>
      </w:tr>
      <w:tr w:rsidR="008C3B6C">
        <w:tblPrEx>
          <w:tblCellMar>
            <w:top w:w="0" w:type="dxa"/>
            <w:bottom w:w="0" w:type="dxa"/>
          </w:tblCellMar>
        </w:tblPrEx>
        <w:tc>
          <w:tcPr>
            <w:tcW w:w="11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780–900</w:t>
            </w:r>
          </w:p>
        </w:tc>
        <w:tc>
          <w:tcPr>
            <w:tcW w:w="7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A</w:t>
            </w:r>
          </w:p>
        </w:tc>
        <w:tc>
          <w:tcPr>
            <w:tcW w:w="14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&lt; 1.5%</w:t>
            </w:r>
          </w:p>
        </w:tc>
        <w:tc>
          <w:tcPr>
            <w:tcW w:w="20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Auto-approve</w:t>
            </w:r>
          </w:p>
        </w:tc>
        <w:tc>
          <w:tcPr>
            <w:tcW w:w="22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Up to 100% of cap</w:t>
            </w:r>
          </w:p>
        </w:tc>
        <w:tc>
          <w:tcPr>
            <w:tcW w:w="14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Best rate</w:t>
            </w:r>
          </w:p>
        </w:tc>
      </w:tr>
      <w:tr w:rsidR="008C3B6C">
        <w:tblPrEx>
          <w:tblCellMar>
            <w:top w:w="0" w:type="dxa"/>
            <w:bottom w:w="0" w:type="dxa"/>
          </w:tblCellMar>
        </w:tblPrEx>
        <w:tc>
          <w:tcPr>
            <w:tcW w:w="11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720–779</w:t>
            </w:r>
          </w:p>
        </w:tc>
        <w:tc>
          <w:tcPr>
            <w:tcW w:w="7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B</w:t>
            </w:r>
          </w:p>
        </w:tc>
        <w:tc>
          <w:tcPr>
            <w:tcW w:w="14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1.5–3%</w:t>
            </w:r>
          </w:p>
        </w:tc>
        <w:tc>
          <w:tcPr>
            <w:tcW w:w="20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Auto-approve</w:t>
            </w:r>
          </w:p>
        </w:tc>
        <w:tc>
          <w:tcPr>
            <w:tcW w:w="226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70% of cap</w:t>
            </w:r>
          </w:p>
        </w:tc>
        <w:tc>
          <w:tcPr>
            <w:tcW w:w="14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Standard −</w:t>
            </w:r>
          </w:p>
        </w:tc>
      </w:tr>
      <w:tr w:rsidR="008C3B6C">
        <w:tblPrEx>
          <w:tblCellMar>
            <w:top w:w="0" w:type="dxa"/>
            <w:bottom w:w="0" w:type="dxa"/>
          </w:tblCellMar>
        </w:tblPrEx>
        <w:tc>
          <w:tcPr>
            <w:tcW w:w="11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660–719</w:t>
            </w:r>
          </w:p>
        </w:tc>
        <w:tc>
          <w:tcPr>
            <w:tcW w:w="7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C</w:t>
            </w:r>
          </w:p>
        </w:tc>
        <w:tc>
          <w:tcPr>
            <w:tcW w:w="14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3–6%</w:t>
            </w:r>
          </w:p>
        </w:tc>
        <w:tc>
          <w:tcPr>
            <w:tcW w:w="20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Auto-approve</w:t>
            </w:r>
          </w:p>
        </w:tc>
        <w:tc>
          <w:tcPr>
            <w:tcW w:w="22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45% of cap</w:t>
            </w:r>
          </w:p>
        </w:tc>
        <w:tc>
          <w:tcPr>
            <w:tcW w:w="14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Standard</w:t>
            </w:r>
          </w:p>
        </w:tc>
      </w:tr>
      <w:tr w:rsidR="008C3B6C">
        <w:tblPrEx>
          <w:tblCellMar>
            <w:top w:w="0" w:type="dxa"/>
            <w:bottom w:w="0" w:type="dxa"/>
          </w:tblCellMar>
        </w:tblPrEx>
        <w:tc>
          <w:tcPr>
            <w:tcW w:w="11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600–659</w:t>
            </w:r>
          </w:p>
        </w:tc>
        <w:tc>
          <w:tcPr>
            <w:tcW w:w="7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D</w:t>
            </w:r>
          </w:p>
        </w:tc>
        <w:tc>
          <w:tcPr>
            <w:tcW w:w="14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6–10%</w:t>
            </w:r>
          </w:p>
        </w:tc>
        <w:tc>
          <w:tcPr>
            <w:tcW w:w="20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Approve, reduced</w:t>
            </w:r>
          </w:p>
        </w:tc>
        <w:tc>
          <w:tcPr>
            <w:tcW w:w="226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25% of cap</w:t>
            </w:r>
          </w:p>
        </w:tc>
        <w:tc>
          <w:tcPr>
            <w:tcW w:w="14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Standard +</w:t>
            </w:r>
          </w:p>
        </w:tc>
      </w:tr>
      <w:tr w:rsidR="008C3B6C">
        <w:tblPrEx>
          <w:tblCellMar>
            <w:top w:w="0" w:type="dxa"/>
            <w:bottom w:w="0" w:type="dxa"/>
          </w:tblCellMar>
        </w:tblPrEx>
        <w:tc>
          <w:tcPr>
            <w:tcW w:w="11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560–599</w:t>
            </w:r>
          </w:p>
        </w:tc>
        <w:tc>
          <w:tcPr>
            <w:tcW w:w="7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E</w:t>
            </w:r>
          </w:p>
        </w:tc>
        <w:tc>
          <w:tcPr>
            <w:tcW w:w="14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10–15%</w:t>
            </w:r>
          </w:p>
        </w:tc>
        <w:tc>
          <w:tcPr>
            <w:tcW w:w="20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Approve small / review</w:t>
            </w:r>
          </w:p>
        </w:tc>
        <w:tc>
          <w:tcPr>
            <w:tcW w:w="22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10% of cap (starter loan)</w:t>
            </w:r>
          </w:p>
        </w:tc>
        <w:tc>
          <w:tcPr>
            <w:tcW w:w="14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Highest tier</w:t>
            </w:r>
          </w:p>
        </w:tc>
      </w:tr>
      <w:tr w:rsidR="008C3B6C">
        <w:tblPrEx>
          <w:tblCellMar>
            <w:top w:w="0" w:type="dxa"/>
            <w:bottom w:w="0" w:type="dxa"/>
          </w:tblCellMar>
        </w:tblPrEx>
        <w:tc>
          <w:tcPr>
            <w:tcW w:w="11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520–559</w:t>
            </w:r>
          </w:p>
        </w:tc>
        <w:tc>
          <w:tcPr>
            <w:tcW w:w="7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F</w:t>
            </w:r>
          </w:p>
        </w:tc>
        <w:tc>
          <w:tcPr>
            <w:tcW w:w="14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15–22%</w:t>
            </w:r>
          </w:p>
        </w:tc>
        <w:tc>
          <w:tcPr>
            <w:tcW w:w="20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Manual review or decline</w:t>
            </w:r>
          </w:p>
        </w:tc>
        <w:tc>
          <w:tcPr>
            <w:tcW w:w="226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Starter only if mitigants</w:t>
            </w:r>
          </w:p>
        </w:tc>
        <w:tc>
          <w:tcPr>
            <w:tcW w:w="14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w:t>
            </w:r>
          </w:p>
        </w:tc>
      </w:tr>
      <w:tr w:rsidR="008C3B6C">
        <w:tblPrEx>
          <w:tblCellMar>
            <w:top w:w="0" w:type="dxa"/>
            <w:bottom w:w="0" w:type="dxa"/>
          </w:tblCellMar>
        </w:tblPrEx>
        <w:tc>
          <w:tcPr>
            <w:tcW w:w="11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&lt; 520</w:t>
            </w:r>
          </w:p>
        </w:tc>
        <w:tc>
          <w:tcPr>
            <w:tcW w:w="7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G</w:t>
            </w:r>
          </w:p>
        </w:tc>
        <w:tc>
          <w:tcPr>
            <w:tcW w:w="14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&gt; 22%</w:t>
            </w:r>
          </w:p>
        </w:tc>
        <w:tc>
          <w:tcPr>
            <w:tcW w:w="20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Decline with reasons + cure path</w:t>
            </w:r>
          </w:p>
        </w:tc>
        <w:tc>
          <w:tcPr>
            <w:tcW w:w="22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w:t>
            </w:r>
          </w:p>
        </w:tc>
        <w:tc>
          <w:tcPr>
            <w:tcW w:w="14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w:t>
            </w:r>
          </w:p>
        </w:tc>
      </w:tr>
    </w:tbl>
    <w:p w:rsidR="008C3B6C" w:rsidRDefault="008C3B6C">
      <w:pPr>
        <w:spacing w:after="120"/>
      </w:pPr>
    </w:p>
    <w:p w:rsidR="008C3B6C" w:rsidRDefault="005C586C">
      <w:pPr>
        <w:pStyle w:val="Heading2"/>
        <w:spacing w:before="280" w:after="160"/>
      </w:pPr>
      <w:bookmarkStart w:id="21" w:name="_Toc235175942"/>
      <w:r>
        <w:rPr>
          <w:rFonts w:ascii="Calibri" w:eastAsia="Calibri" w:hAnsi="Calibri" w:cs="Calibri"/>
          <w:b/>
          <w:bCs/>
          <w:color w:val="44546A"/>
        </w:rPr>
        <w:t>7.3 Limit assignment formula</w:t>
      </w:r>
      <w:bookmarkEnd w:id="21"/>
    </w:p>
    <w:p w:rsidR="008C3B6C" w:rsidRDefault="005C586C">
      <w:pPr>
        <w:shd w:val="clear" w:color="auto" w:fill="F5F7FA"/>
        <w:spacing w:after="40"/>
        <w:ind w:left="240"/>
      </w:pPr>
      <w:r>
        <w:rPr>
          <w:rFonts w:ascii="Consolas" w:eastAsia="Consolas" w:hAnsi="Consolas" w:cs="Consolas"/>
          <w:color w:val="1A2332"/>
          <w:sz w:val="17"/>
          <w:szCs w:val="17"/>
        </w:rPr>
        <w:t>Limit = min( AffordabilityLimit, RiskLimit, PolicyCap, ProgressionCap )</w:t>
      </w:r>
    </w:p>
    <w:p w:rsidR="008C3B6C" w:rsidRDefault="008C3B6C">
      <w:pPr>
        <w:shd w:val="clear" w:color="auto" w:fill="F5F7FA"/>
        <w:spacing w:after="40"/>
        <w:ind w:left="240"/>
      </w:pPr>
    </w:p>
    <w:p w:rsidR="008C3B6C" w:rsidRDefault="005C586C">
      <w:pPr>
        <w:shd w:val="clear" w:color="auto" w:fill="F5F7FA"/>
        <w:spacing w:after="40"/>
        <w:ind w:left="240"/>
      </w:pPr>
      <w:r>
        <w:rPr>
          <w:rFonts w:ascii="Consolas" w:eastAsia="Consolas" w:hAnsi="Consolas" w:cs="Consolas"/>
          <w:color w:val="1A2332"/>
          <w:sz w:val="17"/>
          <w:szCs w:val="17"/>
        </w:rPr>
        <w:t>AffordabilityLimit = (MaxEMI × tenor adj.)  where MaxEMI = FOIR_max × NetIncome − ExistingEMI</w:t>
      </w:r>
    </w:p>
    <w:p w:rsidR="008C3B6C" w:rsidRDefault="005C586C">
      <w:pPr>
        <w:shd w:val="clear" w:color="auto" w:fill="F5F7FA"/>
        <w:spacing w:after="40"/>
        <w:ind w:left="240"/>
      </w:pPr>
      <w:r>
        <w:rPr>
          <w:rFonts w:ascii="Consolas" w:eastAsia="Consolas" w:hAnsi="Consolas" w:cs="Consolas"/>
          <w:color w:val="1A2332"/>
          <w:sz w:val="17"/>
          <w:szCs w:val="17"/>
        </w:rPr>
        <w:t>RiskLimit          = k(grade) × PredictedMonthlyIncome     k: A=1.5 … E=0.25</w:t>
      </w:r>
    </w:p>
    <w:p w:rsidR="008C3B6C" w:rsidRDefault="005C586C">
      <w:pPr>
        <w:shd w:val="clear" w:color="auto" w:fill="F5F7FA"/>
        <w:spacing w:after="120"/>
        <w:ind w:left="240"/>
      </w:pPr>
      <w:r>
        <w:rPr>
          <w:rFonts w:ascii="Consolas" w:eastAsia="Consolas" w:hAnsi="Consolas" w:cs="Consolas"/>
          <w:color w:val="1A2332"/>
          <w:sz w:val="17"/>
          <w:szCs w:val="17"/>
        </w:rPr>
        <w:t>ProgressionCap     = f(loans repaid on time)  e.g. ×1.5 per clean cycle, capped</w:t>
      </w:r>
    </w:p>
    <w:p w:rsidR="008C3B6C" w:rsidRDefault="005C586C">
      <w:pPr>
        <w:spacing w:after="160" w:line="300" w:lineRule="auto"/>
      </w:pPr>
      <w:r>
        <w:rPr>
          <w:rFonts w:ascii="Calibri" w:eastAsia="Calibri" w:hAnsi="Calibri" w:cs="Calibri"/>
          <w:color w:val="2B2B2B"/>
          <w:sz w:val="21"/>
          <w:szCs w:val="21"/>
        </w:rPr>
        <w:t>The progression ladder is the core of nano-lending economics: small first loans price the information risk; each on-time repayment is the cheapest, most predictive data point t</w:t>
      </w:r>
      <w:r>
        <w:rPr>
          <w:rFonts w:ascii="Calibri" w:eastAsia="Calibri" w:hAnsi="Calibri" w:cs="Calibri"/>
          <w:color w:val="2B2B2B"/>
          <w:sz w:val="21"/>
          <w:szCs w:val="21"/>
        </w:rPr>
        <w:t>he system will ever acquire, unlocking larger limits and lower rates. The mature-phase reinforcement-learning limit policy optimizes exactly this ladder under loss and fairness constraints.</w:t>
      </w:r>
    </w:p>
    <w:p w:rsidR="008C3B6C" w:rsidRDefault="005C586C">
      <w:pPr>
        <w:pStyle w:val="Heading2"/>
        <w:spacing w:before="280" w:after="160"/>
      </w:pPr>
      <w:bookmarkStart w:id="22" w:name="_Toc235175943"/>
      <w:r>
        <w:rPr>
          <w:rFonts w:ascii="Calibri" w:eastAsia="Calibri" w:hAnsi="Calibri" w:cs="Calibri"/>
          <w:b/>
          <w:bCs/>
          <w:color w:val="44546A"/>
        </w:rPr>
        <w:t>7.4 Champion / challenger</w:t>
      </w:r>
      <w:bookmarkEnd w:id="22"/>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 xml:space="preserve">Every model and policy runs as champion </w:t>
      </w:r>
      <w:r>
        <w:rPr>
          <w:rFonts w:ascii="Calibri" w:eastAsia="Calibri" w:hAnsi="Calibri" w:cs="Calibri"/>
          <w:color w:val="2B2B2B"/>
          <w:sz w:val="21"/>
          <w:szCs w:val="21"/>
        </w:rPr>
        <w:t>with 5–10% of randomized traffic on challengers; promotion requires statistically significant uplift on approved-through-matured cohorts, not just development AUC.</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lastRenderedPageBreak/>
        <w:t>A small always-on exploration slice (1–2%) approves marginal declines at starter limits — th</w:t>
      </w:r>
      <w:r>
        <w:rPr>
          <w:rFonts w:ascii="Calibri" w:eastAsia="Calibri" w:hAnsi="Calibri" w:cs="Calibri"/>
          <w:color w:val="2B2B2B"/>
          <w:sz w:val="21"/>
          <w:szCs w:val="21"/>
        </w:rPr>
        <w:t>e only unbiased way to learn about the rejected population and correct reject-inference drift.</w:t>
      </w:r>
    </w:p>
    <w:p w:rsidR="008C3B6C" w:rsidRDefault="005C586C">
      <w:r>
        <w:br w:type="page"/>
      </w:r>
    </w:p>
    <w:p w:rsidR="008C3B6C" w:rsidRDefault="005C586C">
      <w:pPr>
        <w:pStyle w:val="Heading1"/>
        <w:spacing w:before="360" w:after="200"/>
      </w:pPr>
      <w:bookmarkStart w:id="23" w:name="_Toc235175944"/>
      <w:r>
        <w:rPr>
          <w:rFonts w:ascii="Calibri" w:eastAsia="Calibri" w:hAnsi="Calibri" w:cs="Calibri"/>
          <w:b/>
          <w:bCs/>
          <w:color w:val="1A2332"/>
        </w:rPr>
        <w:lastRenderedPageBreak/>
        <w:t>8. Explainability, Fairness &amp; Model Governance</w:t>
      </w:r>
      <w:bookmarkEnd w:id="23"/>
    </w:p>
    <w:p w:rsidR="008C3B6C" w:rsidRDefault="005C586C">
      <w:pPr>
        <w:pStyle w:val="Heading2"/>
        <w:spacing w:before="280" w:after="160"/>
      </w:pPr>
      <w:bookmarkStart w:id="24" w:name="_Toc235175945"/>
      <w:r>
        <w:rPr>
          <w:rFonts w:ascii="Calibri" w:eastAsia="Calibri" w:hAnsi="Calibri" w:cs="Calibri"/>
          <w:b/>
          <w:bCs/>
          <w:color w:val="44546A"/>
        </w:rPr>
        <w:t>8.1 Explainable AI layer</w:t>
      </w:r>
      <w:bookmarkEnd w:id="24"/>
    </w:p>
    <w:p w:rsidR="008C3B6C" w:rsidRDefault="005C586C">
      <w:pPr>
        <w:spacing w:after="160" w:line="300" w:lineRule="auto"/>
      </w:pPr>
      <w:r>
        <w:rPr>
          <w:rFonts w:ascii="Calibri" w:eastAsia="Calibri" w:hAnsi="Calibri" w:cs="Calibri"/>
          <w:color w:val="2B2B2B"/>
          <w:sz w:val="21"/>
          <w:szCs w:val="21"/>
        </w:rPr>
        <w:t>Every scored application produces SHAP values from the ensemble. SHAP decomposes each prediction into additive feature contributions:</w:t>
      </w:r>
    </w:p>
    <w:p w:rsidR="008C3B6C" w:rsidRDefault="005C586C">
      <w:pPr>
        <w:shd w:val="clear" w:color="auto" w:fill="F5F7FA"/>
        <w:spacing w:after="120"/>
        <w:ind w:left="240"/>
      </w:pPr>
      <w:r>
        <w:rPr>
          <w:rFonts w:ascii="Consolas" w:eastAsia="Consolas" w:hAnsi="Consolas" w:cs="Consolas"/>
          <w:color w:val="1A2332"/>
          <w:sz w:val="17"/>
          <w:szCs w:val="17"/>
        </w:rPr>
        <w:t>PD(x) = base value + Σ_j φ_j(x)      φ_j = Shapley contribution of feature j</w:t>
      </w:r>
    </w:p>
    <w:p w:rsidR="008C3B6C" w:rsidRDefault="005C586C">
      <w:pPr>
        <w:spacing w:after="160" w:line="300" w:lineRule="auto"/>
      </w:pPr>
      <w:r>
        <w:rPr>
          <w:rFonts w:ascii="Calibri" w:eastAsia="Calibri" w:hAnsi="Calibri" w:cs="Calibri"/>
          <w:color w:val="2B2B2B"/>
          <w:sz w:val="21"/>
          <w:szCs w:val="21"/>
        </w:rPr>
        <w:t>The top negative contributors are mapped thro</w:t>
      </w:r>
      <w:r>
        <w:rPr>
          <w:rFonts w:ascii="Calibri" w:eastAsia="Calibri" w:hAnsi="Calibri" w:cs="Calibri"/>
          <w:color w:val="2B2B2B"/>
          <w:sz w:val="21"/>
          <w:szCs w:val="21"/>
        </w:rPr>
        <w:t>ugh a curated dictionary to human-readable reason codes (e.g., “High ratio of existing obligations to income”, “Short history at current residence”, “Irregular income deposits over the last 90 days”). These serve four consumers: the adverse-action notice t</w:t>
      </w:r>
      <w:r>
        <w:rPr>
          <w:rFonts w:ascii="Calibri" w:eastAsia="Calibri" w:hAnsi="Calibri" w:cs="Calibri"/>
          <w:color w:val="2B2B2B"/>
          <w:sz w:val="21"/>
          <w:szCs w:val="21"/>
        </w:rPr>
        <w:t>o declined applicants, the manual-review analyst screen, the model-validation team, and the regulator. LIME is retained as a secondary cross-check for individual case investigations.</w:t>
      </w:r>
    </w:p>
    <w:p w:rsidR="008C3B6C" w:rsidRDefault="005C586C">
      <w:pPr>
        <w:pStyle w:val="Heading2"/>
        <w:spacing w:before="280" w:after="160"/>
      </w:pPr>
      <w:bookmarkStart w:id="25" w:name="_Toc235175946"/>
      <w:r>
        <w:rPr>
          <w:rFonts w:ascii="Calibri" w:eastAsia="Calibri" w:hAnsi="Calibri" w:cs="Calibri"/>
          <w:b/>
          <w:bCs/>
          <w:color w:val="44546A"/>
        </w:rPr>
        <w:t>8.2 Fairness engineering</w:t>
      </w:r>
      <w:bookmarkEnd w:id="25"/>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 xml:space="preserve">Protected attributes are excluded as inputs but </w:t>
      </w:r>
      <w:r>
        <w:rPr>
          <w:rFonts w:ascii="Calibri" w:eastAsia="Calibri" w:hAnsi="Calibri" w:cs="Calibri"/>
          <w:color w:val="2B2B2B"/>
          <w:sz w:val="21"/>
          <w:szCs w:val="21"/>
        </w:rPr>
        <w:t>retained in a segregated audit store for testing.</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 xml:space="preserve">Pre-launch and monthly: disparate-impact ratio (four-fifths rule), equalized odds gap, and calibration-within-groups across protected segments; proxy detection by training an adversary to predict protected </w:t>
      </w:r>
      <w:r>
        <w:rPr>
          <w:rFonts w:ascii="Calibri" w:eastAsia="Calibri" w:hAnsi="Calibri" w:cs="Calibri"/>
          <w:color w:val="2B2B2B"/>
          <w:sz w:val="21"/>
          <w:szCs w:val="21"/>
        </w:rPr>
        <w:t>attributes from model inputs.</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Geographic features are constrained (fraud use only, never as direct credit inputs) to prevent digital redlining — the documented failure mode of location-driven models.</w:t>
      </w:r>
    </w:p>
    <w:p w:rsidR="008C3B6C" w:rsidRDefault="005C586C">
      <w:pPr>
        <w:pStyle w:val="Heading2"/>
        <w:spacing w:before="280" w:after="160"/>
      </w:pPr>
      <w:bookmarkStart w:id="26" w:name="_Toc235175947"/>
      <w:r>
        <w:rPr>
          <w:rFonts w:ascii="Calibri" w:eastAsia="Calibri" w:hAnsi="Calibri" w:cs="Calibri"/>
          <w:b/>
          <w:bCs/>
          <w:color w:val="44546A"/>
        </w:rPr>
        <w:t>8.3 Governance</w:t>
      </w:r>
      <w:bookmarkEnd w:id="26"/>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Three-lines model: model development → in</w:t>
      </w:r>
      <w:r>
        <w:rPr>
          <w:rFonts w:ascii="Calibri" w:eastAsia="Calibri" w:hAnsi="Calibri" w:cs="Calibri"/>
          <w:color w:val="2B2B2B"/>
          <w:sz w:val="21"/>
          <w:szCs w:val="21"/>
        </w:rPr>
        <w:t>dependent validation → internal audit; documented per a Model Risk Management standard (SR 11-7 style).</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Full lineage: every decision stores model version, feature vector hash, policy version, SHAP vector — replayable for any historical decision.</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Monitoring</w:t>
      </w:r>
      <w:r>
        <w:rPr>
          <w:rFonts w:ascii="Calibri" w:eastAsia="Calibri" w:hAnsi="Calibri" w:cs="Calibri"/>
          <w:color w:val="2B2B2B"/>
          <w:sz w:val="21"/>
          <w:szCs w:val="21"/>
        </w:rPr>
        <w:t>: daily score-PSI, feature drift, alert rates; weekly vintage curves (FPD, 30+@3MOB, roll rates); automatic rollback triggers.</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Retraining cadence: quarterly scheduled, or triggered by PSI/performance breach; challengers must pass fairness gates before prom</w:t>
      </w:r>
      <w:r>
        <w:rPr>
          <w:rFonts w:ascii="Calibri" w:eastAsia="Calibri" w:hAnsi="Calibri" w:cs="Calibri"/>
          <w:color w:val="2B2B2B"/>
          <w:sz w:val="21"/>
          <w:szCs w:val="21"/>
        </w:rPr>
        <w:t>otion.</w:t>
      </w:r>
    </w:p>
    <w:p w:rsidR="008C3B6C" w:rsidRDefault="005C586C">
      <w:r>
        <w:br w:type="page"/>
      </w:r>
    </w:p>
    <w:p w:rsidR="008C3B6C" w:rsidRDefault="005C586C">
      <w:pPr>
        <w:pStyle w:val="Heading1"/>
        <w:spacing w:before="360" w:after="200"/>
      </w:pPr>
      <w:bookmarkStart w:id="27" w:name="_Toc235175948"/>
      <w:r>
        <w:rPr>
          <w:rFonts w:ascii="Calibri" w:eastAsia="Calibri" w:hAnsi="Calibri" w:cs="Calibri"/>
          <w:b/>
          <w:bCs/>
          <w:color w:val="1A2332"/>
        </w:rPr>
        <w:lastRenderedPageBreak/>
        <w:t>9. System Architecture</w:t>
      </w:r>
      <w:bookmarkEnd w:id="27"/>
    </w:p>
    <w:p w:rsidR="008C3B6C" w:rsidRDefault="005C586C">
      <w:pPr>
        <w:pStyle w:val="Heading2"/>
        <w:spacing w:before="280" w:after="160"/>
      </w:pPr>
      <w:bookmarkStart w:id="28" w:name="_Toc235175949"/>
      <w:r>
        <w:rPr>
          <w:rFonts w:ascii="Calibri" w:eastAsia="Calibri" w:hAnsi="Calibri" w:cs="Calibri"/>
          <w:b/>
          <w:bCs/>
          <w:color w:val="44546A"/>
        </w:rPr>
        <w:t>9.1 Logical architecture</w:t>
      </w:r>
      <w:bookmarkEnd w:id="28"/>
    </w:p>
    <w:p w:rsidR="008C3B6C" w:rsidRDefault="005C586C">
      <w:pPr>
        <w:shd w:val="clear" w:color="auto" w:fill="F5F7FA"/>
        <w:spacing w:after="40"/>
        <w:ind w:left="240"/>
      </w:pPr>
      <w:r>
        <w:rPr>
          <w:rFonts w:ascii="Consolas" w:eastAsia="Consolas" w:hAnsi="Consolas" w:cs="Consolas"/>
          <w:color w:val="1A2332"/>
          <w:sz w:val="17"/>
          <w:szCs w:val="17"/>
        </w:rPr>
        <w:t>┌─────────────────────────  CHANNELS  ─────────────────────────┐</w:t>
      </w:r>
    </w:p>
    <w:p w:rsidR="008C3B6C" w:rsidRDefault="005C586C">
      <w:pPr>
        <w:shd w:val="clear" w:color="auto" w:fill="F5F7FA"/>
        <w:spacing w:after="40"/>
        <w:ind w:left="240"/>
      </w:pPr>
      <w:r>
        <w:rPr>
          <w:rFonts w:ascii="Consolas" w:eastAsia="Consolas" w:hAnsi="Consolas" w:cs="Consolas"/>
          <w:color w:val="1A2332"/>
          <w:sz w:val="17"/>
          <w:szCs w:val="17"/>
        </w:rPr>
        <w:t>│  Mobile app (Android/iOS/Flutter) · Web · USSD (optional)    │</w:t>
      </w:r>
    </w:p>
    <w:p w:rsidR="008C3B6C" w:rsidRDefault="005C586C">
      <w:pPr>
        <w:shd w:val="clear" w:color="auto" w:fill="F5F7FA"/>
        <w:spacing w:after="40"/>
        <w:ind w:left="240"/>
      </w:pPr>
      <w:r>
        <w:rPr>
          <w:rFonts w:ascii="Consolas" w:eastAsia="Consolas" w:hAnsi="Consolas" w:cs="Consolas"/>
          <w:color w:val="1A2332"/>
          <w:sz w:val="17"/>
          <w:szCs w:val="17"/>
        </w:rPr>
        <w:t>│  Behavioral &amp; device SDK embedded                            │</w:t>
      </w:r>
    </w:p>
    <w:p w:rsidR="008C3B6C" w:rsidRDefault="005C586C">
      <w:pPr>
        <w:shd w:val="clear" w:color="auto" w:fill="F5F7FA"/>
        <w:spacing w:after="40"/>
        <w:ind w:left="240"/>
      </w:pPr>
      <w:r>
        <w:rPr>
          <w:rFonts w:ascii="Consolas" w:eastAsia="Consolas" w:hAnsi="Consolas" w:cs="Consolas"/>
          <w:color w:val="1A2332"/>
          <w:sz w:val="17"/>
          <w:szCs w:val="17"/>
        </w:rPr>
        <w:t>└───────────────────────────┬───────────────────────────────────┘</w:t>
      </w:r>
    </w:p>
    <w:p w:rsidR="008C3B6C" w:rsidRDefault="005C586C">
      <w:pPr>
        <w:shd w:val="clear" w:color="auto" w:fill="F5F7FA"/>
        <w:spacing w:after="40"/>
        <w:ind w:left="240"/>
      </w:pPr>
      <w:r>
        <w:rPr>
          <w:rFonts w:ascii="Consolas" w:eastAsia="Consolas" w:hAnsi="Consolas" w:cs="Consolas"/>
          <w:color w:val="1A2332"/>
          <w:sz w:val="17"/>
          <w:szCs w:val="17"/>
        </w:rPr>
        <w:t>┌───────────────────────────▼───────────────────────────────────┐</w:t>
      </w:r>
    </w:p>
    <w:p w:rsidR="008C3B6C" w:rsidRDefault="005C586C">
      <w:pPr>
        <w:shd w:val="clear" w:color="auto" w:fill="F5F7FA"/>
        <w:spacing w:after="40"/>
        <w:ind w:left="240"/>
      </w:pPr>
      <w:r>
        <w:rPr>
          <w:rFonts w:ascii="Consolas" w:eastAsia="Consolas" w:hAnsi="Consolas" w:cs="Consolas"/>
          <w:color w:val="1A2332"/>
          <w:sz w:val="17"/>
          <w:szCs w:val="17"/>
        </w:rPr>
        <w:t>│  API GATEWAY  ·  AuthN/Z (OAuth2/OIDC) · rate limiting · WAF  │</w:t>
      </w:r>
    </w:p>
    <w:p w:rsidR="008C3B6C" w:rsidRDefault="005C586C">
      <w:pPr>
        <w:shd w:val="clear" w:color="auto" w:fill="F5F7FA"/>
        <w:spacing w:after="40"/>
        <w:ind w:left="240"/>
      </w:pPr>
      <w:r>
        <w:rPr>
          <w:rFonts w:ascii="Consolas" w:eastAsia="Consolas" w:hAnsi="Consolas" w:cs="Consolas"/>
          <w:color w:val="1A2332"/>
          <w:sz w:val="17"/>
          <w:szCs w:val="17"/>
        </w:rPr>
        <w:t>└───────────────────────────┬─────────────────────────────</w:t>
      </w:r>
      <w:r>
        <w:rPr>
          <w:rFonts w:ascii="Consolas" w:eastAsia="Consolas" w:hAnsi="Consolas" w:cs="Consolas"/>
          <w:color w:val="1A2332"/>
          <w:sz w:val="17"/>
          <w:szCs w:val="17"/>
        </w:rPr>
        <w:t>──────┘</w:t>
      </w:r>
    </w:p>
    <w:p w:rsidR="008C3B6C" w:rsidRDefault="005C586C">
      <w:pPr>
        <w:shd w:val="clear" w:color="auto" w:fill="F5F7FA"/>
        <w:spacing w:after="40"/>
        <w:ind w:left="240"/>
      </w:pPr>
      <w:r>
        <w:rPr>
          <w:rFonts w:ascii="Consolas" w:eastAsia="Consolas" w:hAnsi="Consolas" w:cs="Consolas"/>
          <w:color w:val="1A2332"/>
          <w:sz w:val="17"/>
          <w:szCs w:val="17"/>
        </w:rPr>
        <w:t>┌───────────────────────────▼───────────────  MICROSERVICES  ──┐</w:t>
      </w:r>
    </w:p>
    <w:p w:rsidR="008C3B6C" w:rsidRDefault="005C586C">
      <w:pPr>
        <w:shd w:val="clear" w:color="auto" w:fill="F5F7FA"/>
        <w:spacing w:after="40"/>
        <w:ind w:left="240"/>
      </w:pPr>
      <w:r>
        <w:rPr>
          <w:rFonts w:ascii="Consolas" w:eastAsia="Consolas" w:hAnsi="Consolas" w:cs="Consolas"/>
          <w:color w:val="1A2332"/>
          <w:sz w:val="17"/>
          <w:szCs w:val="17"/>
        </w:rPr>
        <w:t>│ Onboarding  ·  KYC/Identity  ·  Consent Mgmt  ·  Data        │</w:t>
      </w:r>
    </w:p>
    <w:p w:rsidR="008C3B6C" w:rsidRDefault="005C586C">
      <w:pPr>
        <w:shd w:val="clear" w:color="auto" w:fill="F5F7FA"/>
        <w:spacing w:after="40"/>
        <w:ind w:left="240"/>
      </w:pPr>
      <w:r>
        <w:rPr>
          <w:rFonts w:ascii="Consolas" w:eastAsia="Consolas" w:hAnsi="Consolas" w:cs="Consolas"/>
          <w:color w:val="1A2332"/>
          <w:sz w:val="17"/>
          <w:szCs w:val="17"/>
        </w:rPr>
        <w:t>│ Aggregation (bank/telco/wallet/bureau/utility connectors)    │</w:t>
      </w:r>
    </w:p>
    <w:p w:rsidR="008C3B6C" w:rsidRDefault="005C586C">
      <w:pPr>
        <w:shd w:val="clear" w:color="auto" w:fill="F5F7FA"/>
        <w:spacing w:after="40"/>
        <w:ind w:left="240"/>
      </w:pPr>
      <w:r>
        <w:rPr>
          <w:rFonts w:ascii="Consolas" w:eastAsia="Consolas" w:hAnsi="Consolas" w:cs="Consolas"/>
          <w:color w:val="1A2332"/>
          <w:sz w:val="17"/>
          <w:szCs w:val="17"/>
        </w:rPr>
        <w:t>│ Feature Service · Scoring Service · Decision Engine</w:t>
      </w:r>
      <w:r>
        <w:rPr>
          <w:rFonts w:ascii="Consolas" w:eastAsia="Consolas" w:hAnsi="Consolas" w:cs="Consolas"/>
          <w:color w:val="1A2332"/>
          <w:sz w:val="17"/>
          <w:szCs w:val="17"/>
        </w:rPr>
        <w:t xml:space="preserve">          │</w:t>
      </w:r>
    </w:p>
    <w:p w:rsidR="008C3B6C" w:rsidRDefault="005C586C">
      <w:pPr>
        <w:shd w:val="clear" w:color="auto" w:fill="F5F7FA"/>
        <w:spacing w:after="40"/>
        <w:ind w:left="240"/>
      </w:pPr>
      <w:r>
        <w:rPr>
          <w:rFonts w:ascii="Consolas" w:eastAsia="Consolas" w:hAnsi="Consolas" w:cs="Consolas"/>
          <w:color w:val="1A2332"/>
          <w:sz w:val="17"/>
          <w:szCs w:val="17"/>
        </w:rPr>
        <w:t>│ Offer/Pricing · Loan Mgmt System · Disbursement/Payments     │</w:t>
      </w:r>
    </w:p>
    <w:p w:rsidR="008C3B6C" w:rsidRDefault="005C586C">
      <w:pPr>
        <w:shd w:val="clear" w:color="auto" w:fill="F5F7FA"/>
        <w:spacing w:after="40"/>
        <w:ind w:left="240"/>
      </w:pPr>
      <w:r>
        <w:rPr>
          <w:rFonts w:ascii="Consolas" w:eastAsia="Consolas" w:hAnsi="Consolas" w:cs="Consolas"/>
          <w:color w:val="1A2332"/>
          <w:sz w:val="17"/>
          <w:szCs w:val="17"/>
        </w:rPr>
        <w:t>│ Collections · Notifications · Customer 360 · Audit           │</w:t>
      </w:r>
    </w:p>
    <w:p w:rsidR="008C3B6C" w:rsidRDefault="005C586C">
      <w:pPr>
        <w:shd w:val="clear" w:color="auto" w:fill="F5F7FA"/>
        <w:spacing w:after="40"/>
        <w:ind w:left="240"/>
      </w:pPr>
      <w:r>
        <w:rPr>
          <w:rFonts w:ascii="Consolas" w:eastAsia="Consolas" w:hAnsi="Consolas" w:cs="Consolas"/>
          <w:color w:val="1A2332"/>
          <w:sz w:val="17"/>
          <w:szCs w:val="17"/>
        </w:rPr>
        <w:t>└───────────┬───────────────────────────────┬───────────────────┘</w:t>
      </w:r>
    </w:p>
    <w:p w:rsidR="008C3B6C" w:rsidRDefault="005C586C">
      <w:pPr>
        <w:shd w:val="clear" w:color="auto" w:fill="F5F7FA"/>
        <w:spacing w:after="40"/>
        <w:ind w:left="240"/>
      </w:pPr>
      <w:r>
        <w:rPr>
          <w:rFonts w:ascii="Consolas" w:eastAsia="Consolas" w:hAnsi="Consolas" w:cs="Consolas"/>
          <w:color w:val="1A2332"/>
          <w:sz w:val="17"/>
          <w:szCs w:val="17"/>
        </w:rPr>
        <w:t>┌───────────▼──────────────┐   ┌───────────▼────</w:t>
      </w:r>
      <w:r>
        <w:rPr>
          <w:rFonts w:ascii="Consolas" w:eastAsia="Consolas" w:hAnsi="Consolas" w:cs="Consolas"/>
          <w:color w:val="1A2332"/>
          <w:sz w:val="17"/>
          <w:szCs w:val="17"/>
        </w:rPr>
        <w:t>───────────────┐</w:t>
      </w:r>
    </w:p>
    <w:p w:rsidR="008C3B6C" w:rsidRDefault="005C586C">
      <w:pPr>
        <w:shd w:val="clear" w:color="auto" w:fill="F5F7FA"/>
        <w:spacing w:after="40"/>
        <w:ind w:left="240"/>
      </w:pPr>
      <w:r>
        <w:rPr>
          <w:rFonts w:ascii="Consolas" w:eastAsia="Consolas" w:hAnsi="Consolas" w:cs="Consolas"/>
          <w:color w:val="1A2332"/>
          <w:sz w:val="17"/>
          <w:szCs w:val="17"/>
        </w:rPr>
        <w:t>│  STREAMING BACKBONE      │   │  ML PLATFORM                  │</w:t>
      </w:r>
    </w:p>
    <w:p w:rsidR="008C3B6C" w:rsidRDefault="005C586C">
      <w:pPr>
        <w:shd w:val="clear" w:color="auto" w:fill="F5F7FA"/>
        <w:spacing w:after="40"/>
        <w:ind w:left="240"/>
      </w:pPr>
      <w:r>
        <w:rPr>
          <w:rFonts w:ascii="Consolas" w:eastAsia="Consolas" w:hAnsi="Consolas" w:cs="Consolas"/>
          <w:color w:val="1A2332"/>
          <w:sz w:val="17"/>
          <w:szCs w:val="17"/>
        </w:rPr>
        <w:t>│  Kafka event bus         │   │  Feature store (online Redis  │</w:t>
      </w:r>
    </w:p>
    <w:p w:rsidR="008C3B6C" w:rsidRDefault="005C586C">
      <w:pPr>
        <w:shd w:val="clear" w:color="auto" w:fill="F5F7FA"/>
        <w:spacing w:after="40"/>
        <w:ind w:left="240"/>
      </w:pPr>
      <w:r>
        <w:rPr>
          <w:rFonts w:ascii="Consolas" w:eastAsia="Consolas" w:hAnsi="Consolas" w:cs="Consolas"/>
          <w:color w:val="1A2332"/>
          <w:sz w:val="17"/>
          <w:szCs w:val="17"/>
        </w:rPr>
        <w:t>│  Flink/Spark streaming   │   │  + offline lakehouse)         │</w:t>
      </w:r>
    </w:p>
    <w:p w:rsidR="008C3B6C" w:rsidRDefault="005C586C">
      <w:pPr>
        <w:shd w:val="clear" w:color="auto" w:fill="F5F7FA"/>
        <w:spacing w:after="40"/>
        <w:ind w:left="240"/>
      </w:pPr>
      <w:r>
        <w:rPr>
          <w:rFonts w:ascii="Consolas" w:eastAsia="Consolas" w:hAnsi="Consolas" w:cs="Consolas"/>
          <w:color w:val="1A2332"/>
          <w:sz w:val="17"/>
          <w:szCs w:val="17"/>
        </w:rPr>
        <w:t>│  CDC from OLTP           │   │  Model regi</w:t>
      </w:r>
      <w:r>
        <w:rPr>
          <w:rFonts w:ascii="Consolas" w:eastAsia="Consolas" w:hAnsi="Consolas" w:cs="Consolas"/>
          <w:color w:val="1A2332"/>
          <w:sz w:val="17"/>
          <w:szCs w:val="17"/>
        </w:rPr>
        <w:t>stry (MLflow)      │</w:t>
      </w:r>
    </w:p>
    <w:p w:rsidR="008C3B6C" w:rsidRDefault="005C586C">
      <w:pPr>
        <w:shd w:val="clear" w:color="auto" w:fill="F5F7FA"/>
        <w:spacing w:after="40"/>
        <w:ind w:left="240"/>
      </w:pPr>
      <w:r>
        <w:rPr>
          <w:rFonts w:ascii="Consolas" w:eastAsia="Consolas" w:hAnsi="Consolas" w:cs="Consolas"/>
          <w:color w:val="1A2332"/>
          <w:sz w:val="17"/>
          <w:szCs w:val="17"/>
        </w:rPr>
        <w:t>│                          │   │  Serving (containerized,     │</w:t>
      </w:r>
    </w:p>
    <w:p w:rsidR="008C3B6C" w:rsidRDefault="005C586C">
      <w:pPr>
        <w:shd w:val="clear" w:color="auto" w:fill="F5F7FA"/>
        <w:spacing w:after="40"/>
        <w:ind w:left="240"/>
      </w:pPr>
      <w:r>
        <w:rPr>
          <w:rFonts w:ascii="Consolas" w:eastAsia="Consolas" w:hAnsi="Consolas" w:cs="Consolas"/>
          <w:color w:val="1A2332"/>
          <w:sz w:val="17"/>
          <w:szCs w:val="17"/>
        </w:rPr>
        <w:t>│                          │   │  ONNX/Triton) · Monitoring    │</w:t>
      </w:r>
    </w:p>
    <w:p w:rsidR="008C3B6C" w:rsidRDefault="005C586C">
      <w:pPr>
        <w:shd w:val="clear" w:color="auto" w:fill="F5F7FA"/>
        <w:spacing w:after="40"/>
        <w:ind w:left="240"/>
      </w:pPr>
      <w:r>
        <w:rPr>
          <w:rFonts w:ascii="Consolas" w:eastAsia="Consolas" w:hAnsi="Consolas" w:cs="Consolas"/>
          <w:color w:val="1A2332"/>
          <w:sz w:val="17"/>
          <w:szCs w:val="17"/>
        </w:rPr>
        <w:t>└───────────┬──────────────┘   └───────────┬───────────────────┘</w:t>
      </w:r>
    </w:p>
    <w:p w:rsidR="008C3B6C" w:rsidRDefault="005C586C">
      <w:pPr>
        <w:shd w:val="clear" w:color="auto" w:fill="F5F7FA"/>
        <w:spacing w:after="40"/>
        <w:ind w:left="240"/>
      </w:pPr>
      <w:r>
        <w:rPr>
          <w:rFonts w:ascii="Consolas" w:eastAsia="Consolas" w:hAnsi="Consolas" w:cs="Consolas"/>
          <w:color w:val="1A2332"/>
          <w:sz w:val="17"/>
          <w:szCs w:val="17"/>
        </w:rPr>
        <w:t>┌───────────▼───────────────────────────────▼───────────────────┐</w:t>
      </w:r>
    </w:p>
    <w:p w:rsidR="008C3B6C" w:rsidRDefault="005C586C">
      <w:pPr>
        <w:shd w:val="clear" w:color="auto" w:fill="F5F7FA"/>
        <w:spacing w:after="40"/>
        <w:ind w:left="240"/>
      </w:pPr>
      <w:r>
        <w:rPr>
          <w:rFonts w:ascii="Consolas" w:eastAsia="Consolas" w:hAnsi="Consolas" w:cs="Consolas"/>
          <w:color w:val="1A2332"/>
          <w:sz w:val="17"/>
          <w:szCs w:val="17"/>
        </w:rPr>
        <w:t>│  DATA LAYER: PostgreSQL (OLTP) · Data lakehouse (Delta/       │</w:t>
      </w:r>
    </w:p>
    <w:p w:rsidR="008C3B6C" w:rsidRDefault="005C586C">
      <w:pPr>
        <w:shd w:val="clear" w:color="auto" w:fill="F5F7FA"/>
        <w:spacing w:after="40"/>
        <w:ind w:left="240"/>
      </w:pPr>
      <w:r>
        <w:rPr>
          <w:rFonts w:ascii="Consolas" w:eastAsia="Consolas" w:hAnsi="Consolas" w:cs="Consolas"/>
          <w:color w:val="1A2332"/>
          <w:sz w:val="17"/>
          <w:szCs w:val="17"/>
        </w:rPr>
        <w:t>│  Iceberg) · Redis (online features/cache) · Graph DB (fraud) │</w:t>
      </w:r>
    </w:p>
    <w:p w:rsidR="008C3B6C" w:rsidRDefault="005C586C">
      <w:pPr>
        <w:shd w:val="clear" w:color="auto" w:fill="F5F7FA"/>
        <w:spacing w:after="40"/>
        <w:ind w:left="240"/>
      </w:pPr>
      <w:r>
        <w:rPr>
          <w:rFonts w:ascii="Consolas" w:eastAsia="Consolas" w:hAnsi="Consolas" w:cs="Consolas"/>
          <w:color w:val="1A2332"/>
          <w:sz w:val="17"/>
          <w:szCs w:val="17"/>
        </w:rPr>
        <w:t>│  Object storage (documents/models) · Vault (secrets/keys)</w:t>
      </w:r>
      <w:r>
        <w:rPr>
          <w:rFonts w:ascii="Consolas" w:eastAsia="Consolas" w:hAnsi="Consolas" w:cs="Consolas"/>
          <w:color w:val="1A2332"/>
          <w:sz w:val="17"/>
          <w:szCs w:val="17"/>
        </w:rPr>
        <w:t xml:space="preserve">    │</w:t>
      </w:r>
    </w:p>
    <w:p w:rsidR="008C3B6C" w:rsidRDefault="005C586C">
      <w:pPr>
        <w:shd w:val="clear" w:color="auto" w:fill="F5F7FA"/>
        <w:spacing w:after="200"/>
        <w:ind w:left="240"/>
      </w:pPr>
      <w:r>
        <w:rPr>
          <w:rFonts w:ascii="Consolas" w:eastAsia="Consolas" w:hAnsi="Consolas" w:cs="Consolas"/>
          <w:color w:val="1A2332"/>
          <w:sz w:val="17"/>
          <w:szCs w:val="17"/>
        </w:rPr>
        <w:t>└───────────────────────────────────────────────────────────────┘</w:t>
      </w:r>
    </w:p>
    <w:p w:rsidR="008C3B6C" w:rsidRDefault="005C586C">
      <w:pPr>
        <w:pStyle w:val="Heading2"/>
        <w:spacing w:before="280" w:after="160"/>
      </w:pPr>
      <w:bookmarkStart w:id="29" w:name="_Toc235175950"/>
      <w:r>
        <w:rPr>
          <w:rFonts w:ascii="Calibri" w:eastAsia="Calibri" w:hAnsi="Calibri" w:cs="Calibri"/>
          <w:b/>
          <w:bCs/>
          <w:color w:val="44546A"/>
        </w:rPr>
        <w:t>9.2 Component responsibilities</w:t>
      </w:r>
      <w:bookmarkEnd w:id="29"/>
    </w:p>
    <w:tbl>
      <w:tblPr>
        <w:tblW w:w="9360" w:type="dxa"/>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CellMar>
          <w:left w:w="10" w:type="dxa"/>
          <w:right w:w="10" w:type="dxa"/>
        </w:tblCellMar>
        <w:tblLook w:val="04A0" w:firstRow="1" w:lastRow="0" w:firstColumn="1" w:lastColumn="0" w:noHBand="0" w:noVBand="1"/>
      </w:tblPr>
      <w:tblGrid>
        <w:gridCol w:w="1750"/>
        <w:gridCol w:w="3450"/>
        <w:gridCol w:w="4160"/>
      </w:tblGrid>
      <w:tr w:rsidR="008C3B6C">
        <w:tblPrEx>
          <w:tblCellMar>
            <w:top w:w="0" w:type="dxa"/>
            <w:bottom w:w="0" w:type="dxa"/>
          </w:tblCellMar>
        </w:tblPrEx>
        <w:trPr>
          <w:tblHeader/>
        </w:trPr>
        <w:tc>
          <w:tcPr>
            <w:tcW w:w="175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Component</w:t>
            </w:r>
          </w:p>
        </w:tc>
        <w:tc>
          <w:tcPr>
            <w:tcW w:w="345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Responsibility</w:t>
            </w:r>
          </w:p>
        </w:tc>
        <w:tc>
          <w:tcPr>
            <w:tcW w:w="416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Key design choices</w:t>
            </w:r>
          </w:p>
        </w:tc>
      </w:tr>
      <w:tr w:rsidR="008C3B6C">
        <w:tblPrEx>
          <w:tblCellMar>
            <w:top w:w="0" w:type="dxa"/>
            <w:bottom w:w="0" w:type="dxa"/>
          </w:tblCellMar>
        </w:tblPrEx>
        <w:tc>
          <w:tcPr>
            <w:tcW w:w="17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Data Aggregation Engine</w:t>
            </w:r>
          </w:p>
        </w:tc>
        <w:tc>
          <w:tcPr>
            <w:tcW w:w="34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Connector per external family; normalizes to canonical event schema; retries, circuit breakers</w:t>
            </w:r>
          </w:p>
        </w:tc>
        <w:tc>
          <w:tcPr>
            <w:tcW w:w="41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Adapter pattern; each connector independently deployable; async with webhooks where providers allow</w:t>
            </w:r>
          </w:p>
        </w:tc>
      </w:tr>
      <w:tr w:rsidR="008C3B6C">
        <w:tblPrEx>
          <w:tblCellMar>
            <w:top w:w="0" w:type="dxa"/>
            <w:bottom w:w="0" w:type="dxa"/>
          </w:tblCellMar>
        </w:tblPrEx>
        <w:tc>
          <w:tcPr>
            <w:tcW w:w="17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Feature Store</w:t>
            </w:r>
          </w:p>
        </w:tc>
        <w:tc>
          <w:tcPr>
            <w:tcW w:w="34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Single source of truth for feature definitions; point-in-time-correct offline training sets; &lt;50 ms online reads</w:t>
            </w:r>
          </w:p>
        </w:tc>
        <w:tc>
          <w:tcPr>
            <w:tcW w:w="416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Feast-style dual store: offline lakehouse + online Redis; feature definitions as code, versioned</w:t>
            </w:r>
          </w:p>
        </w:tc>
      </w:tr>
      <w:tr w:rsidR="008C3B6C">
        <w:tblPrEx>
          <w:tblCellMar>
            <w:top w:w="0" w:type="dxa"/>
            <w:bottom w:w="0" w:type="dxa"/>
          </w:tblCellMar>
        </w:tblPrEx>
        <w:tc>
          <w:tcPr>
            <w:tcW w:w="17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Scoring Service</w:t>
            </w:r>
          </w:p>
        </w:tc>
        <w:tc>
          <w:tcPr>
            <w:tcW w:w="34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Stateless model serving; ensemble orchestration; SHAP computation</w:t>
            </w:r>
          </w:p>
        </w:tc>
        <w:tc>
          <w:tcPr>
            <w:tcW w:w="41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Models exported to ONNX; horizontal autoscaling; shadow-scoring path for challengers</w:t>
            </w:r>
          </w:p>
        </w:tc>
      </w:tr>
      <w:tr w:rsidR="008C3B6C">
        <w:tblPrEx>
          <w:tblCellMar>
            <w:top w:w="0" w:type="dxa"/>
            <w:bottom w:w="0" w:type="dxa"/>
          </w:tblCellMar>
        </w:tblPrEx>
        <w:tc>
          <w:tcPr>
            <w:tcW w:w="17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Decision Engine</w:t>
            </w:r>
          </w:p>
        </w:tc>
        <w:tc>
          <w:tcPr>
            <w:tcW w:w="34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Rules, cutoffs, limits, pricing as versioned configuration</w:t>
            </w:r>
          </w:p>
        </w:tc>
        <w:tc>
          <w:tcPr>
            <w:tcW w:w="416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Business-rules engine with UI (e.g., open-source DMN); every evaluation logged with rule-version stamp</w:t>
            </w:r>
          </w:p>
        </w:tc>
      </w:tr>
      <w:tr w:rsidR="008C3B6C">
        <w:tblPrEx>
          <w:tblCellMar>
            <w:top w:w="0" w:type="dxa"/>
            <w:bottom w:w="0" w:type="dxa"/>
          </w:tblCellMar>
        </w:tblPrEx>
        <w:tc>
          <w:tcPr>
            <w:tcW w:w="17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Fraud Graph Service</w:t>
            </w:r>
          </w:p>
        </w:tc>
        <w:tc>
          <w:tcPr>
            <w:tcW w:w="34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Maintains entity graph (device–ID–address–bank–IP edges); ring queries at decision time</w:t>
            </w:r>
          </w:p>
        </w:tc>
        <w:tc>
          <w:tcPr>
            <w:tcW w:w="41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Graph DB with precomputed community labels refreshed hourly; synchronous 1-hop checks, async deep analysis</w:t>
            </w:r>
          </w:p>
        </w:tc>
      </w:tr>
      <w:tr w:rsidR="008C3B6C">
        <w:tblPrEx>
          <w:tblCellMar>
            <w:top w:w="0" w:type="dxa"/>
            <w:bottom w:w="0" w:type="dxa"/>
          </w:tblCellMar>
        </w:tblPrEx>
        <w:tc>
          <w:tcPr>
            <w:tcW w:w="17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Loan Management</w:t>
            </w:r>
          </w:p>
        </w:tc>
        <w:tc>
          <w:tcPr>
            <w:tcW w:w="34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Ledger, schedules, accruals, delinquency buckets, restructuring</w:t>
            </w:r>
          </w:p>
        </w:tc>
        <w:tc>
          <w:tcPr>
            <w:tcW w:w="416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Double-entry ledger; event-sourced state changes; immutable audit trail</w:t>
            </w:r>
          </w:p>
        </w:tc>
      </w:tr>
      <w:tr w:rsidR="008C3B6C">
        <w:tblPrEx>
          <w:tblCellMar>
            <w:top w:w="0" w:type="dxa"/>
            <w:bottom w:w="0" w:type="dxa"/>
          </w:tblCellMar>
        </w:tblPrEx>
        <w:tc>
          <w:tcPr>
            <w:tcW w:w="17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lastRenderedPageBreak/>
              <w:t>Consent Manager</w:t>
            </w:r>
          </w:p>
        </w:tc>
        <w:tc>
          <w:tcPr>
            <w:tcW w:w="34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Records scope, timestamp, evidence of every consent; enforces purpose limitation at query time</w:t>
            </w:r>
          </w:p>
        </w:tc>
        <w:tc>
          <w:tcPr>
            <w:tcW w:w="41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Consent checked by the feature service itself, not by callers — privacy enforced at the data layer</w:t>
            </w:r>
          </w:p>
        </w:tc>
      </w:tr>
    </w:tbl>
    <w:p w:rsidR="008C3B6C" w:rsidRDefault="008C3B6C">
      <w:pPr>
        <w:spacing w:after="120"/>
      </w:pPr>
    </w:p>
    <w:p w:rsidR="008C3B6C" w:rsidRDefault="005C586C">
      <w:pPr>
        <w:pStyle w:val="Heading2"/>
        <w:spacing w:before="280" w:after="160"/>
      </w:pPr>
      <w:bookmarkStart w:id="30" w:name="_Toc235175951"/>
      <w:r>
        <w:rPr>
          <w:rFonts w:ascii="Calibri" w:eastAsia="Calibri" w:hAnsi="Calibri" w:cs="Calibri"/>
          <w:b/>
          <w:bCs/>
          <w:color w:val="44546A"/>
        </w:rPr>
        <w:t>9.3 Real-time decision data flow and latency budget</w:t>
      </w:r>
      <w:bookmarkEnd w:id="30"/>
    </w:p>
    <w:tbl>
      <w:tblPr>
        <w:tblW w:w="9360" w:type="dxa"/>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CellMar>
          <w:left w:w="10" w:type="dxa"/>
          <w:right w:w="10" w:type="dxa"/>
        </w:tblCellMar>
        <w:tblLook w:val="04A0" w:firstRow="1" w:lastRow="0" w:firstColumn="1" w:lastColumn="0" w:noHBand="0" w:noVBand="1"/>
      </w:tblPr>
      <w:tblGrid>
        <w:gridCol w:w="700"/>
        <w:gridCol w:w="6300"/>
        <w:gridCol w:w="2360"/>
      </w:tblGrid>
      <w:tr w:rsidR="008C3B6C">
        <w:tblPrEx>
          <w:tblCellMar>
            <w:top w:w="0" w:type="dxa"/>
            <w:bottom w:w="0" w:type="dxa"/>
          </w:tblCellMar>
        </w:tblPrEx>
        <w:trPr>
          <w:tblHeader/>
        </w:trPr>
        <w:tc>
          <w:tcPr>
            <w:tcW w:w="70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Step</w:t>
            </w:r>
          </w:p>
        </w:tc>
        <w:tc>
          <w:tcPr>
            <w:tcW w:w="630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Operation</w:t>
            </w:r>
          </w:p>
        </w:tc>
        <w:tc>
          <w:tcPr>
            <w:tcW w:w="236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Budget</w:t>
            </w:r>
          </w:p>
        </w:tc>
      </w:tr>
      <w:tr w:rsidR="008C3B6C">
        <w:tblPrEx>
          <w:tblCellMar>
            <w:top w:w="0" w:type="dxa"/>
            <w:bottom w:w="0" w:type="dxa"/>
          </w:tblCellMar>
        </w:tblPrEx>
        <w:tc>
          <w:tcPr>
            <w:tcW w:w="7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1</w:t>
            </w:r>
          </w:p>
        </w:tc>
        <w:tc>
          <w:tcPr>
            <w:tcW w:w="63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App submits application event → gateway → orchestrator</w:t>
            </w:r>
          </w:p>
        </w:tc>
        <w:tc>
          <w:tcPr>
            <w:tcW w:w="23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100 ms</w:t>
            </w:r>
          </w:p>
        </w:tc>
      </w:tr>
      <w:tr w:rsidR="008C3B6C">
        <w:tblPrEx>
          <w:tblCellMar>
            <w:top w:w="0" w:type="dxa"/>
            <w:bottom w:w="0" w:type="dxa"/>
          </w:tblCellMar>
        </w:tblPrEx>
        <w:tc>
          <w:tcPr>
            <w:tcW w:w="7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2</w:t>
            </w:r>
          </w:p>
        </w:tc>
        <w:tc>
          <w:tcPr>
            <w:tcW w:w="63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Parallel fan-out: KYC verification, device intelligence, velocity checks, bureau pull, telco lookup</w:t>
            </w:r>
          </w:p>
        </w:tc>
        <w:tc>
          <w:tcPr>
            <w:tcW w:w="236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1,500 ms (parallel)</w:t>
            </w:r>
          </w:p>
        </w:tc>
      </w:tr>
      <w:tr w:rsidR="008C3B6C">
        <w:tblPrEx>
          <w:tblCellMar>
            <w:top w:w="0" w:type="dxa"/>
            <w:bottom w:w="0" w:type="dxa"/>
          </w:tblCellMar>
        </w:tblPrEx>
        <w:tc>
          <w:tcPr>
            <w:tcW w:w="7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3</w:t>
            </w:r>
          </w:p>
        </w:tc>
        <w:tc>
          <w:tcPr>
            <w:tcW w:w="63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Feature service: online store reads + on-the-fly derived features</w:t>
            </w:r>
          </w:p>
        </w:tc>
        <w:tc>
          <w:tcPr>
            <w:tcW w:w="23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400 ms</w:t>
            </w:r>
          </w:p>
        </w:tc>
      </w:tr>
      <w:tr w:rsidR="008C3B6C">
        <w:tblPrEx>
          <w:tblCellMar>
            <w:top w:w="0" w:type="dxa"/>
            <w:bottom w:w="0" w:type="dxa"/>
          </w:tblCellMar>
        </w:tblPrEx>
        <w:tc>
          <w:tcPr>
            <w:tcW w:w="7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4</w:t>
            </w:r>
          </w:p>
        </w:tc>
        <w:tc>
          <w:tcPr>
            <w:tcW w:w="63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Fraud gate: point models + 1-hop graph query</w:t>
            </w:r>
          </w:p>
        </w:tc>
        <w:tc>
          <w:tcPr>
            <w:tcW w:w="236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400 ms</w:t>
            </w:r>
          </w:p>
        </w:tc>
      </w:tr>
      <w:tr w:rsidR="008C3B6C">
        <w:tblPrEx>
          <w:tblCellMar>
            <w:top w:w="0" w:type="dxa"/>
            <w:bottom w:w="0" w:type="dxa"/>
          </w:tblCellMar>
        </w:tblPrEx>
        <w:tc>
          <w:tcPr>
            <w:tcW w:w="7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5</w:t>
            </w:r>
          </w:p>
        </w:tc>
        <w:tc>
          <w:tcPr>
            <w:tcW w:w="63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Sub-scores + PD ensemble + calibration + SHAP (top-k approximation)</w:t>
            </w:r>
          </w:p>
        </w:tc>
        <w:tc>
          <w:tcPr>
            <w:tcW w:w="23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600 ms</w:t>
            </w:r>
          </w:p>
        </w:tc>
      </w:tr>
      <w:tr w:rsidR="008C3B6C">
        <w:tblPrEx>
          <w:tblCellMar>
            <w:top w:w="0" w:type="dxa"/>
            <w:bottom w:w="0" w:type="dxa"/>
          </w:tblCellMar>
        </w:tblPrEx>
        <w:tc>
          <w:tcPr>
            <w:tcW w:w="7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6</w:t>
            </w:r>
          </w:p>
        </w:tc>
        <w:tc>
          <w:tcPr>
            <w:tcW w:w="63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Decision engine: rules, limit, pricing</w:t>
            </w:r>
          </w:p>
        </w:tc>
        <w:tc>
          <w:tcPr>
            <w:tcW w:w="236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150 ms</w:t>
            </w:r>
          </w:p>
        </w:tc>
      </w:tr>
      <w:tr w:rsidR="008C3B6C">
        <w:tblPrEx>
          <w:tblCellMar>
            <w:top w:w="0" w:type="dxa"/>
            <w:bottom w:w="0" w:type="dxa"/>
          </w:tblCellMar>
        </w:tblPrEx>
        <w:tc>
          <w:tcPr>
            <w:tcW w:w="7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7</w:t>
            </w:r>
          </w:p>
        </w:tc>
        <w:tc>
          <w:tcPr>
            <w:tcW w:w="63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Offer rendering + contract generation + response</w:t>
            </w:r>
          </w:p>
        </w:tc>
        <w:tc>
          <w:tcPr>
            <w:tcW w:w="23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350 ms</w:t>
            </w:r>
          </w:p>
        </w:tc>
      </w:tr>
      <w:tr w:rsidR="008C3B6C">
        <w:tblPrEx>
          <w:tblCellMar>
            <w:top w:w="0" w:type="dxa"/>
            <w:bottom w:w="0" w:type="dxa"/>
          </w:tblCellMar>
        </w:tblPrEx>
        <w:tc>
          <w:tcPr>
            <w:tcW w:w="700" w:type="dxa"/>
            <w:shd w:val="clear" w:color="auto" w:fill="EEF1F6"/>
            <w:tcMar>
              <w:top w:w="60" w:type="dxa"/>
              <w:left w:w="100" w:type="dxa"/>
              <w:bottom w:w="60" w:type="dxa"/>
              <w:right w:w="100" w:type="dxa"/>
            </w:tcMar>
          </w:tcPr>
          <w:p w:rsidR="008C3B6C" w:rsidRDefault="008C3B6C"/>
        </w:tc>
        <w:tc>
          <w:tcPr>
            <w:tcW w:w="63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Total (p95 target)</w:t>
            </w:r>
          </w:p>
        </w:tc>
        <w:tc>
          <w:tcPr>
            <w:tcW w:w="236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 3.5 s; hard SLA 5 s</w:t>
            </w:r>
          </w:p>
        </w:tc>
      </w:tr>
    </w:tbl>
    <w:p w:rsidR="008C3B6C" w:rsidRDefault="008C3B6C">
      <w:pPr>
        <w:spacing w:after="80"/>
      </w:pPr>
    </w:p>
    <w:p w:rsidR="008C3B6C" w:rsidRDefault="005C586C">
      <w:pPr>
        <w:spacing w:after="160" w:line="300" w:lineRule="auto"/>
      </w:pPr>
      <w:r>
        <w:rPr>
          <w:rFonts w:ascii="Calibri" w:eastAsia="Calibri" w:hAnsi="Calibri" w:cs="Calibri"/>
          <w:color w:val="2B2B2B"/>
          <w:sz w:val="21"/>
          <w:szCs w:val="21"/>
        </w:rPr>
        <w:t>Slow sources (open-banking ingestion, statement OCR) run asynchronously: the applicant receives a provisional decision from fast data, and the limit upgrades in-app when slow data lands — the UX never blocks on the slowest connector.</w:t>
      </w:r>
    </w:p>
    <w:p w:rsidR="008C3B6C" w:rsidRDefault="005C586C">
      <w:pPr>
        <w:pStyle w:val="Heading2"/>
        <w:spacing w:before="280" w:after="160"/>
      </w:pPr>
      <w:bookmarkStart w:id="31" w:name="_Toc235175952"/>
      <w:r>
        <w:rPr>
          <w:rFonts w:ascii="Calibri" w:eastAsia="Calibri" w:hAnsi="Calibri" w:cs="Calibri"/>
          <w:b/>
          <w:bCs/>
          <w:color w:val="44546A"/>
        </w:rPr>
        <w:t>9.4 Technology stack (</w:t>
      </w:r>
      <w:r>
        <w:rPr>
          <w:rFonts w:ascii="Calibri" w:eastAsia="Calibri" w:hAnsi="Calibri" w:cs="Calibri"/>
          <w:b/>
          <w:bCs/>
          <w:color w:val="44546A"/>
        </w:rPr>
        <w:t>reference)</w:t>
      </w:r>
      <w:bookmarkEnd w:id="31"/>
    </w:p>
    <w:tbl>
      <w:tblPr>
        <w:tblW w:w="9360" w:type="dxa"/>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CellMar>
          <w:left w:w="10" w:type="dxa"/>
          <w:right w:w="10" w:type="dxa"/>
        </w:tblCellMar>
        <w:tblLook w:val="04A0" w:firstRow="1" w:lastRow="0" w:firstColumn="1" w:lastColumn="0" w:noHBand="0" w:noVBand="1"/>
      </w:tblPr>
      <w:tblGrid>
        <w:gridCol w:w="1400"/>
        <w:gridCol w:w="4200"/>
        <w:gridCol w:w="3760"/>
      </w:tblGrid>
      <w:tr w:rsidR="008C3B6C">
        <w:tblPrEx>
          <w:tblCellMar>
            <w:top w:w="0" w:type="dxa"/>
            <w:bottom w:w="0" w:type="dxa"/>
          </w:tblCellMar>
        </w:tblPrEx>
        <w:trPr>
          <w:tblHeader/>
        </w:trPr>
        <w:tc>
          <w:tcPr>
            <w:tcW w:w="140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Layer</w:t>
            </w:r>
          </w:p>
        </w:tc>
        <w:tc>
          <w:tcPr>
            <w:tcW w:w="420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Reference choice</w:t>
            </w:r>
          </w:p>
        </w:tc>
        <w:tc>
          <w:tcPr>
            <w:tcW w:w="376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Rationale</w:t>
            </w:r>
          </w:p>
        </w:tc>
      </w:tr>
      <w:tr w:rsidR="008C3B6C">
        <w:tblPrEx>
          <w:tblCellMar>
            <w:top w:w="0" w:type="dxa"/>
            <w:bottom w:w="0" w:type="dxa"/>
          </w:tblCellMar>
        </w:tblPrEx>
        <w:tc>
          <w:tcPr>
            <w:tcW w:w="14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Mobile</w:t>
            </w:r>
          </w:p>
        </w:tc>
        <w:tc>
          <w:tcPr>
            <w:tcW w:w="42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Flutter (single codebase) with native modules for biometrics/SDKs</w:t>
            </w:r>
          </w:p>
        </w:tc>
        <w:tc>
          <w:tcPr>
            <w:tcW w:w="37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Speed to market across Android/iOS; Android-first markets</w:t>
            </w:r>
          </w:p>
        </w:tc>
      </w:tr>
      <w:tr w:rsidR="008C3B6C">
        <w:tblPrEx>
          <w:tblCellMar>
            <w:top w:w="0" w:type="dxa"/>
            <w:bottom w:w="0" w:type="dxa"/>
          </w:tblCellMar>
        </w:tblPrEx>
        <w:tc>
          <w:tcPr>
            <w:tcW w:w="14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Backend services</w:t>
            </w:r>
          </w:p>
        </w:tc>
        <w:tc>
          <w:tcPr>
            <w:tcW w:w="42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Python (FastAPI) for ML-adjacent services; Java/Kotlin or Go for ledger &amp; payments</w:t>
            </w:r>
          </w:p>
        </w:tc>
        <w:tc>
          <w:tcPr>
            <w:tcW w:w="376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Python for model proximity; JVM/Go for transactional integrity and throughput</w:t>
            </w:r>
          </w:p>
        </w:tc>
      </w:tr>
      <w:tr w:rsidR="008C3B6C">
        <w:tblPrEx>
          <w:tblCellMar>
            <w:top w:w="0" w:type="dxa"/>
            <w:bottom w:w="0" w:type="dxa"/>
          </w:tblCellMar>
        </w:tblPrEx>
        <w:tc>
          <w:tcPr>
            <w:tcW w:w="14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ML</w:t>
            </w:r>
          </w:p>
        </w:tc>
        <w:tc>
          <w:tcPr>
            <w:tcW w:w="42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LightGBM/XGBoost, scikit-learn, PyTorch (sequence/GNN), SHAP, MLflow, ONNX</w:t>
            </w:r>
          </w:p>
        </w:tc>
        <w:tc>
          <w:tcPr>
            <w:tcW w:w="37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Industry-standard, portable, explainability-native</w:t>
            </w:r>
          </w:p>
        </w:tc>
      </w:tr>
      <w:tr w:rsidR="008C3B6C">
        <w:tblPrEx>
          <w:tblCellMar>
            <w:top w:w="0" w:type="dxa"/>
            <w:bottom w:w="0" w:type="dxa"/>
          </w:tblCellMar>
        </w:tblPrEx>
        <w:tc>
          <w:tcPr>
            <w:tcW w:w="14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Streaming</w:t>
            </w:r>
          </w:p>
        </w:tc>
        <w:tc>
          <w:tcPr>
            <w:tcW w:w="42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Kafka + Flink</w:t>
            </w:r>
          </w:p>
        </w:tc>
        <w:tc>
          <w:tcPr>
            <w:tcW w:w="376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Event backbone, exactly-once feature pipelines</w:t>
            </w:r>
          </w:p>
        </w:tc>
      </w:tr>
      <w:tr w:rsidR="008C3B6C">
        <w:tblPrEx>
          <w:tblCellMar>
            <w:top w:w="0" w:type="dxa"/>
            <w:bottom w:w="0" w:type="dxa"/>
          </w:tblCellMar>
        </w:tblPrEx>
        <w:tc>
          <w:tcPr>
            <w:tcW w:w="14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Data</w:t>
            </w:r>
          </w:p>
        </w:tc>
        <w:tc>
          <w:tcPr>
            <w:tcW w:w="42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PostgreSQL, Redis, Delta/Iceberg lakehouse, Neo4j/Neptune (graph), S3-compatible object store</w:t>
            </w:r>
          </w:p>
        </w:tc>
        <w:tc>
          <w:tcPr>
            <w:tcW w:w="37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Right store per access pattern</w:t>
            </w:r>
          </w:p>
        </w:tc>
      </w:tr>
      <w:tr w:rsidR="008C3B6C">
        <w:tblPrEx>
          <w:tblCellMar>
            <w:top w:w="0" w:type="dxa"/>
            <w:bottom w:w="0" w:type="dxa"/>
          </w:tblCellMar>
        </w:tblPrEx>
        <w:tc>
          <w:tcPr>
            <w:tcW w:w="14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Infra</w:t>
            </w:r>
          </w:p>
        </w:tc>
        <w:tc>
          <w:tcPr>
            <w:tcW w:w="42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Kubernetes on AWS/GCP/Azure or on-prem; Terraform; GitOps CD; multi-AZ</w:t>
            </w:r>
          </w:p>
        </w:tc>
        <w:tc>
          <w:tcPr>
            <w:tcW w:w="376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Portability across markets incl. data-residency constraints</w:t>
            </w:r>
          </w:p>
        </w:tc>
      </w:tr>
      <w:tr w:rsidR="008C3B6C">
        <w:tblPrEx>
          <w:tblCellMar>
            <w:top w:w="0" w:type="dxa"/>
            <w:bottom w:w="0" w:type="dxa"/>
          </w:tblCellMar>
        </w:tblPrEx>
        <w:tc>
          <w:tcPr>
            <w:tcW w:w="14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Security</w:t>
            </w:r>
          </w:p>
        </w:tc>
        <w:tc>
          <w:tcPr>
            <w:tcW w:w="42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Vault/KMS, mTLS service mesh, WAF, SIEM</w:t>
            </w:r>
          </w:p>
        </w:tc>
        <w:tc>
          <w:tcPr>
            <w:tcW w:w="37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Zero-trust posture</w:t>
            </w:r>
          </w:p>
        </w:tc>
      </w:tr>
    </w:tbl>
    <w:p w:rsidR="008C3B6C" w:rsidRDefault="005C586C">
      <w:r>
        <w:br w:type="page"/>
      </w:r>
    </w:p>
    <w:p w:rsidR="008C3B6C" w:rsidRDefault="005C586C">
      <w:pPr>
        <w:pStyle w:val="Heading1"/>
        <w:spacing w:before="360" w:after="200"/>
      </w:pPr>
      <w:bookmarkStart w:id="32" w:name="_Toc235175953"/>
      <w:r>
        <w:rPr>
          <w:rFonts w:ascii="Calibri" w:eastAsia="Calibri" w:hAnsi="Calibri" w:cs="Calibri"/>
          <w:b/>
          <w:bCs/>
          <w:color w:val="1A2332"/>
        </w:rPr>
        <w:lastRenderedPageBreak/>
        <w:t>10. Cold-Start Strategy: Lending Before You Have Data</w:t>
      </w:r>
      <w:bookmarkEnd w:id="32"/>
    </w:p>
    <w:p w:rsidR="008C3B6C" w:rsidRDefault="005C586C">
      <w:pPr>
        <w:spacing w:after="160" w:line="300" w:lineRule="auto"/>
      </w:pPr>
      <w:r>
        <w:rPr>
          <w:rFonts w:ascii="Calibri" w:eastAsia="Calibri" w:hAnsi="Calibri" w:cs="Calibri"/>
          <w:color w:val="2B2B2B"/>
          <w:sz w:val="21"/>
          <w:szCs w:val="21"/>
        </w:rPr>
        <w:t>ML default models need defaults to learn from. The platform therefore launches in three phases, each producing the training data for the next.</w:t>
      </w:r>
    </w:p>
    <w:tbl>
      <w:tblPr>
        <w:tblW w:w="9360" w:type="dxa"/>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CellMar>
          <w:left w:w="10" w:type="dxa"/>
          <w:right w:w="10" w:type="dxa"/>
        </w:tblCellMar>
        <w:tblLook w:val="04A0" w:firstRow="1" w:lastRow="0" w:firstColumn="1" w:lastColumn="0" w:noHBand="0" w:noVBand="1"/>
      </w:tblPr>
      <w:tblGrid>
        <w:gridCol w:w="1450"/>
        <w:gridCol w:w="800"/>
        <w:gridCol w:w="4550"/>
        <w:gridCol w:w="2560"/>
      </w:tblGrid>
      <w:tr w:rsidR="008C3B6C">
        <w:tblPrEx>
          <w:tblCellMar>
            <w:top w:w="0" w:type="dxa"/>
            <w:bottom w:w="0" w:type="dxa"/>
          </w:tblCellMar>
        </w:tblPrEx>
        <w:trPr>
          <w:tblHeader/>
        </w:trPr>
        <w:tc>
          <w:tcPr>
            <w:tcW w:w="145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Phase</w:t>
            </w:r>
          </w:p>
        </w:tc>
        <w:tc>
          <w:tcPr>
            <w:tcW w:w="80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Months</w:t>
            </w:r>
          </w:p>
        </w:tc>
        <w:tc>
          <w:tcPr>
            <w:tcW w:w="455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Scoring approach</w:t>
            </w:r>
          </w:p>
        </w:tc>
        <w:tc>
          <w:tcPr>
            <w:tcW w:w="256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Risk containment</w:t>
            </w:r>
          </w:p>
        </w:tc>
      </w:tr>
      <w:tr w:rsidR="008C3B6C">
        <w:tblPrEx>
          <w:tblCellMar>
            <w:top w:w="0" w:type="dxa"/>
            <w:bottom w:w="0" w:type="dxa"/>
          </w:tblCellMar>
        </w:tblPrEx>
        <w:tc>
          <w:tcPr>
            <w:tcW w:w="14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1. Expert scorecard</w:t>
            </w:r>
          </w:p>
        </w:tc>
        <w:tc>
          <w:tcPr>
            <w:tcW w:w="8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0–6</w:t>
            </w:r>
          </w:p>
        </w:tc>
        <w:tc>
          <w:tcPr>
            <w:tcW w:w="45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Points-based scorecard built from this document's sub-score weights, industry priors and any bureau data; fraud stack fully active from day one (fraud models transfer across lenders; credit models do not)</w:t>
            </w:r>
          </w:p>
        </w:tc>
        <w:tc>
          <w:tcPr>
            <w:tcW w:w="25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Small starter limits, short</w:t>
            </w:r>
            <w:r>
              <w:rPr>
                <w:rFonts w:ascii="Calibri" w:eastAsia="Calibri" w:hAnsi="Calibri" w:cs="Calibri"/>
                <w:color w:val="2B2B2B"/>
                <w:sz w:val="18"/>
                <w:szCs w:val="18"/>
              </w:rPr>
              <w:t xml:space="preserve"> tenors, tight FOIR caps, conservative cutoffs, capped daily disbursement volume</w:t>
            </w:r>
          </w:p>
        </w:tc>
      </w:tr>
      <w:tr w:rsidR="008C3B6C">
        <w:tblPrEx>
          <w:tblCellMar>
            <w:top w:w="0" w:type="dxa"/>
            <w:bottom w:w="0" w:type="dxa"/>
          </w:tblCellMar>
        </w:tblPrEx>
        <w:tc>
          <w:tcPr>
            <w:tcW w:w="14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2. Hybrid</w:t>
            </w:r>
          </w:p>
        </w:tc>
        <w:tc>
          <w:tcPr>
            <w:tcW w:w="8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6–18</w:t>
            </w:r>
          </w:p>
        </w:tc>
        <w:tc>
          <w:tcPr>
            <w:tcW w:w="455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First GBM models trained on accumulated repayment outcomes, blended with the scorecard (e.g., 40/60 → 70/30 as volume grows); reject-inference via the exploration slice</w:t>
            </w:r>
          </w:p>
        </w:tc>
        <w:tc>
          <w:tcPr>
            <w:tcW w:w="256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Champion/challenger from first retrain; vintage-curve monitoring gates volume expansion</w:t>
            </w:r>
          </w:p>
        </w:tc>
      </w:tr>
      <w:tr w:rsidR="008C3B6C">
        <w:tblPrEx>
          <w:tblCellMar>
            <w:top w:w="0" w:type="dxa"/>
            <w:bottom w:w="0" w:type="dxa"/>
          </w:tblCellMar>
        </w:tblPrEx>
        <w:tc>
          <w:tcPr>
            <w:tcW w:w="14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3. Full ML</w:t>
            </w:r>
          </w:p>
        </w:tc>
        <w:tc>
          <w:tcPr>
            <w:tcW w:w="8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18+</w:t>
            </w:r>
          </w:p>
        </w:tc>
        <w:tc>
          <w:tcPr>
            <w:tcW w:w="455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Full ensemble as specified in Section 6; scorecard retained as regulatory benchmark and fallback; RL limit policy introduced</w:t>
            </w:r>
          </w:p>
        </w:tc>
        <w:tc>
          <w:tcPr>
            <w:tcW w:w="25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Full governance framework; quarterly revalidation</w:t>
            </w:r>
          </w:p>
        </w:tc>
      </w:tr>
    </w:tbl>
    <w:p w:rsidR="008C3B6C" w:rsidRDefault="008C3B6C">
      <w:pPr>
        <w:spacing w:after="120"/>
      </w:pP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Data-acquisition economics: expect elevated first-loan losses in Phase 1 — treat them explicitly as data-acquisition cost with a budget, not as underwriting failure.</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Where a partner (bank, MFI, telco) has historical lending data, a transfer-learning bootst</w:t>
      </w:r>
      <w:r>
        <w:rPr>
          <w:rFonts w:ascii="Calibri" w:eastAsia="Calibri" w:hAnsi="Calibri" w:cs="Calibri"/>
          <w:color w:val="2B2B2B"/>
          <w:sz w:val="21"/>
          <w:szCs w:val="21"/>
        </w:rPr>
        <w:t>rap can compress Phase 1 substantially.</w:t>
      </w:r>
    </w:p>
    <w:p w:rsidR="008C3B6C" w:rsidRDefault="005C586C">
      <w:r>
        <w:br w:type="page"/>
      </w:r>
    </w:p>
    <w:p w:rsidR="008C3B6C" w:rsidRDefault="005C586C">
      <w:pPr>
        <w:pStyle w:val="Heading1"/>
        <w:spacing w:before="360" w:after="200"/>
      </w:pPr>
      <w:bookmarkStart w:id="33" w:name="_Toc235175954"/>
      <w:r>
        <w:rPr>
          <w:rFonts w:ascii="Calibri" w:eastAsia="Calibri" w:hAnsi="Calibri" w:cs="Calibri"/>
          <w:b/>
          <w:bCs/>
          <w:color w:val="1A2332"/>
        </w:rPr>
        <w:lastRenderedPageBreak/>
        <w:t>11. Security, Privacy &amp; Regulatory Compliance</w:t>
      </w:r>
      <w:bookmarkEnd w:id="33"/>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Encryption everywhere: TLS 1.3 in transit, AES-256 at rest, field-level encryption for PII and biometrics; biometric templates stored as irreversible vectors, never raw</w:t>
      </w:r>
      <w:r>
        <w:rPr>
          <w:rFonts w:ascii="Calibri" w:eastAsia="Calibri" w:hAnsi="Calibri" w:cs="Calibri"/>
          <w:color w:val="2B2B2B"/>
          <w:sz w:val="21"/>
          <w:szCs w:val="21"/>
        </w:rPr>
        <w:t xml:space="preserve"> images beyond regulatory retention.</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Zero-trust: mTLS between services, short-lived credentials, least-privilege IAM, full audit logging to immutable store.</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Privacy by design: purpose limitation enforced in the feature service; data-retention schedules per</w:t>
      </w:r>
      <w:r>
        <w:rPr>
          <w:rFonts w:ascii="Calibri" w:eastAsia="Calibri" w:hAnsi="Calibri" w:cs="Calibri"/>
          <w:color w:val="2B2B2B"/>
          <w:sz w:val="21"/>
          <w:szCs w:val="21"/>
        </w:rPr>
        <w:t xml:space="preserve"> family; right-to-erasure workflows; consent receipts stored as evidence; on-device processing preferred for SMS parsing.</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Regulatory mapping (adapt per market): licensing (NBFC/digital-lender regime), KYC/AML (CDD, sanctions, PEP, STR reporting), responsib</w:t>
      </w:r>
      <w:r>
        <w:rPr>
          <w:rFonts w:ascii="Calibri" w:eastAsia="Calibri" w:hAnsi="Calibri" w:cs="Calibri"/>
          <w:color w:val="2B2B2B"/>
          <w:sz w:val="21"/>
          <w:szCs w:val="21"/>
        </w:rPr>
        <w:t>le-lending and affordability rules, rate caps and disclosure standards, adverse-action/reason-code obligations, data-protection law (consent, localization/residency), model-risk-management expectations, and app-store digital-lending policies (Google Play r</w:t>
      </w:r>
      <w:r>
        <w:rPr>
          <w:rFonts w:ascii="Calibri" w:eastAsia="Calibri" w:hAnsi="Calibri" w:cs="Calibri"/>
          <w:color w:val="2B2B2B"/>
          <w:sz w:val="21"/>
          <w:szCs w:val="21"/>
        </w:rPr>
        <w:t>equires lender-license disclosure and prohibits contact-list access for lending apps).</w:t>
      </w:r>
    </w:p>
    <w:p w:rsidR="008C3B6C" w:rsidRDefault="005C586C">
      <w:pPr>
        <w:pStyle w:val="ListParagraph"/>
        <w:numPr>
          <w:ilvl w:val="0"/>
          <w:numId w:val="2"/>
        </w:numPr>
        <w:spacing w:after="80" w:line="280" w:lineRule="auto"/>
      </w:pPr>
      <w:r>
        <w:rPr>
          <w:rFonts w:ascii="Calibri" w:eastAsia="Calibri" w:hAnsi="Calibri" w:cs="Calibri"/>
          <w:color w:val="2B2B2B"/>
          <w:sz w:val="21"/>
          <w:szCs w:val="21"/>
        </w:rPr>
        <w:t>Collections conduct: contact-frequency limits, no third-party disclosure, hardship/restructuring paths — reputational failures in nano-lending have almost always been co</w:t>
      </w:r>
      <w:r>
        <w:rPr>
          <w:rFonts w:ascii="Calibri" w:eastAsia="Calibri" w:hAnsi="Calibri" w:cs="Calibri"/>
          <w:color w:val="2B2B2B"/>
          <w:sz w:val="21"/>
          <w:szCs w:val="21"/>
        </w:rPr>
        <w:t>llections failures, not scoring failures.</w:t>
      </w:r>
    </w:p>
    <w:p w:rsidR="008C3B6C" w:rsidRDefault="005C586C">
      <w:r>
        <w:br w:type="page"/>
      </w:r>
    </w:p>
    <w:p w:rsidR="008C3B6C" w:rsidRDefault="005C586C">
      <w:pPr>
        <w:pStyle w:val="Heading1"/>
        <w:spacing w:before="360" w:after="200"/>
      </w:pPr>
      <w:bookmarkStart w:id="34" w:name="_Toc235175955"/>
      <w:r>
        <w:rPr>
          <w:rFonts w:ascii="Calibri" w:eastAsia="Calibri" w:hAnsi="Calibri" w:cs="Calibri"/>
          <w:b/>
          <w:bCs/>
          <w:color w:val="1A2332"/>
        </w:rPr>
        <w:lastRenderedPageBreak/>
        <w:t>12. Implementation Roadmap</w:t>
      </w:r>
      <w:bookmarkEnd w:id="34"/>
    </w:p>
    <w:tbl>
      <w:tblPr>
        <w:tblW w:w="9360" w:type="dxa"/>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CellMar>
          <w:left w:w="10" w:type="dxa"/>
          <w:right w:w="10" w:type="dxa"/>
        </w:tblCellMar>
        <w:tblLook w:val="04A0" w:firstRow="1" w:lastRow="0" w:firstColumn="1" w:lastColumn="0" w:noHBand="0" w:noVBand="1"/>
      </w:tblPr>
      <w:tblGrid>
        <w:gridCol w:w="1500"/>
        <w:gridCol w:w="1300"/>
        <w:gridCol w:w="4600"/>
        <w:gridCol w:w="1960"/>
      </w:tblGrid>
      <w:tr w:rsidR="008C3B6C">
        <w:tblPrEx>
          <w:tblCellMar>
            <w:top w:w="0" w:type="dxa"/>
            <w:bottom w:w="0" w:type="dxa"/>
          </w:tblCellMar>
        </w:tblPrEx>
        <w:trPr>
          <w:tblHeader/>
        </w:trPr>
        <w:tc>
          <w:tcPr>
            <w:tcW w:w="150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Phase</w:t>
            </w:r>
          </w:p>
        </w:tc>
        <w:tc>
          <w:tcPr>
            <w:tcW w:w="130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Duration</w:t>
            </w:r>
          </w:p>
        </w:tc>
        <w:tc>
          <w:tcPr>
            <w:tcW w:w="460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Scope</w:t>
            </w:r>
          </w:p>
        </w:tc>
        <w:tc>
          <w:tcPr>
            <w:tcW w:w="1960" w:type="dxa"/>
            <w:shd w:val="clear" w:color="auto" w:fill="1A2332"/>
            <w:tcMar>
              <w:top w:w="60" w:type="dxa"/>
              <w:left w:w="100" w:type="dxa"/>
              <w:bottom w:w="60" w:type="dxa"/>
              <w:right w:w="100" w:type="dxa"/>
            </w:tcMar>
          </w:tcPr>
          <w:p w:rsidR="008C3B6C" w:rsidRDefault="005C586C">
            <w:r>
              <w:rPr>
                <w:rFonts w:ascii="Calibri" w:eastAsia="Calibri" w:hAnsi="Calibri" w:cs="Calibri"/>
                <w:b/>
                <w:bCs/>
                <w:color w:val="FFFFFF"/>
                <w:sz w:val="18"/>
                <w:szCs w:val="18"/>
              </w:rPr>
              <w:t>Exit criteria</w:t>
            </w:r>
          </w:p>
        </w:tc>
      </w:tr>
      <w:tr w:rsidR="008C3B6C">
        <w:tblPrEx>
          <w:tblCellMar>
            <w:top w:w="0" w:type="dxa"/>
            <w:bottom w:w="0" w:type="dxa"/>
          </w:tblCellMar>
        </w:tblPrEx>
        <w:tc>
          <w:tcPr>
            <w:tcW w:w="15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0. Foundation</w:t>
            </w:r>
          </w:p>
        </w:tc>
        <w:tc>
          <w:tcPr>
            <w:tcW w:w="13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8–10 wks</w:t>
            </w:r>
          </w:p>
        </w:tc>
        <w:tc>
          <w:tcPr>
            <w:tcW w:w="46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Cloud infra, CI/CD, API gateway, core data model, consent manager, security baseline</w:t>
            </w:r>
          </w:p>
        </w:tc>
        <w:tc>
          <w:tcPr>
            <w:tcW w:w="19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Pen-test pass; environments live</w:t>
            </w:r>
          </w:p>
        </w:tc>
      </w:tr>
      <w:tr w:rsidR="008C3B6C">
        <w:tblPrEx>
          <w:tblCellMar>
            <w:top w:w="0" w:type="dxa"/>
            <w:bottom w:w="0" w:type="dxa"/>
          </w:tblCellMar>
        </w:tblPrEx>
        <w:tc>
          <w:tcPr>
            <w:tcW w:w="15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1. MVP lending loop</w:t>
            </w:r>
          </w:p>
        </w:tc>
        <w:tc>
          <w:tcPr>
            <w:tcW w:w="13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12–14 wks</w:t>
            </w:r>
          </w:p>
        </w:tc>
        <w:tc>
          <w:tcPr>
            <w:tcW w:w="46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5-screen app, KYC integration, device+behavioral SDK, expert scorecard, decision engine v1, LMS core, disbursement &amp; repayment rails, collections basics</w:t>
            </w:r>
          </w:p>
        </w:tc>
        <w:tc>
          <w:tcPr>
            <w:tcW w:w="196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First loans disbursed &amp; repaid end-to-end in production pilot</w:t>
            </w:r>
          </w:p>
        </w:tc>
      </w:tr>
      <w:tr w:rsidR="008C3B6C">
        <w:tblPrEx>
          <w:tblCellMar>
            <w:top w:w="0" w:type="dxa"/>
            <w:bottom w:w="0" w:type="dxa"/>
          </w:tblCellMar>
        </w:tblPrEx>
        <w:tc>
          <w:tcPr>
            <w:tcW w:w="15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2. Data depth</w:t>
            </w:r>
          </w:p>
        </w:tc>
        <w:tc>
          <w:tcPr>
            <w:tcW w:w="13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10–12 wks</w:t>
            </w:r>
          </w:p>
        </w:tc>
        <w:tc>
          <w:tcPr>
            <w:tcW w:w="46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Open-banking/statement/telecom/utility connectors, feature store, income &amp; cash-flow models, live limit preview, fraud graph</w:t>
            </w:r>
          </w:p>
        </w:tc>
        <w:tc>
          <w:tcPr>
            <w:tcW w:w="19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Tier-1 consent conversion &gt; 40%; decision p95 &lt; 3.5 s</w:t>
            </w:r>
          </w:p>
        </w:tc>
      </w:tr>
      <w:tr w:rsidR="008C3B6C">
        <w:tblPrEx>
          <w:tblCellMar>
            <w:top w:w="0" w:type="dxa"/>
            <w:bottom w:w="0" w:type="dxa"/>
          </w:tblCellMar>
        </w:tblPrEx>
        <w:tc>
          <w:tcPr>
            <w:tcW w:w="15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3. ML decisioning</w:t>
            </w:r>
          </w:p>
        </w:tc>
        <w:tc>
          <w:tcPr>
            <w:tcW w:w="13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12+ wks (post 6 mo. data)</w:t>
            </w:r>
          </w:p>
        </w:tc>
        <w:tc>
          <w:tcPr>
            <w:tcW w:w="460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First GBM PD models, calibration, SHAP reason codes, champion/challenger, monitoring dashboards</w:t>
            </w:r>
          </w:p>
        </w:tc>
        <w:tc>
          <w:tcPr>
            <w:tcW w:w="1960" w:type="dxa"/>
            <w:shd w:val="clear" w:color="auto" w:fill="EEF1F6"/>
            <w:tcMar>
              <w:top w:w="60" w:type="dxa"/>
              <w:left w:w="100" w:type="dxa"/>
              <w:bottom w:w="60" w:type="dxa"/>
              <w:right w:w="100" w:type="dxa"/>
            </w:tcMar>
          </w:tcPr>
          <w:p w:rsidR="008C3B6C" w:rsidRDefault="005C586C">
            <w:r>
              <w:rPr>
                <w:rFonts w:ascii="Calibri" w:eastAsia="Calibri" w:hAnsi="Calibri" w:cs="Calibri"/>
                <w:color w:val="2B2B2B"/>
                <w:sz w:val="18"/>
                <w:szCs w:val="18"/>
              </w:rPr>
              <w:t>Challenger beats scorecard on matured cohorts; fairness gates pass</w:t>
            </w:r>
          </w:p>
        </w:tc>
      </w:tr>
      <w:tr w:rsidR="008C3B6C">
        <w:tblPrEx>
          <w:tblCellMar>
            <w:top w:w="0" w:type="dxa"/>
            <w:bottom w:w="0" w:type="dxa"/>
          </w:tblCellMar>
        </w:tblPrEx>
        <w:tc>
          <w:tcPr>
            <w:tcW w:w="15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4. Optimization</w:t>
            </w:r>
          </w:p>
        </w:tc>
        <w:tc>
          <w:tcPr>
            <w:tcW w:w="13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Ongoing</w:t>
            </w:r>
          </w:p>
        </w:tc>
        <w:tc>
          <w:tcPr>
            <w:tcW w:w="460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Survival models, RL limit policy, collections scoring, portfolio dashboards, IFRS 9 engine, new products (BNPL, SME)</w:t>
            </w:r>
          </w:p>
        </w:tc>
        <w:tc>
          <w:tcPr>
            <w:tcW w:w="1960" w:type="dxa"/>
            <w:shd w:val="clear" w:color="auto" w:fill="FFFFFF"/>
            <w:tcMar>
              <w:top w:w="60" w:type="dxa"/>
              <w:left w:w="100" w:type="dxa"/>
              <w:bottom w:w="60" w:type="dxa"/>
              <w:right w:w="100" w:type="dxa"/>
            </w:tcMar>
          </w:tcPr>
          <w:p w:rsidR="008C3B6C" w:rsidRDefault="005C586C">
            <w:r>
              <w:rPr>
                <w:rFonts w:ascii="Calibri" w:eastAsia="Calibri" w:hAnsi="Calibri" w:cs="Calibri"/>
                <w:color w:val="2B2B2B"/>
                <w:sz w:val="18"/>
                <w:szCs w:val="18"/>
              </w:rPr>
              <w:t>Unit economics targets; loss rate within appetite</w:t>
            </w:r>
          </w:p>
        </w:tc>
      </w:tr>
    </w:tbl>
    <w:p w:rsidR="008C3B6C" w:rsidRDefault="008C3B6C">
      <w:pPr>
        <w:spacing w:after="200"/>
      </w:pPr>
    </w:p>
    <w:p w:rsidR="008C3B6C" w:rsidRDefault="005C586C">
      <w:pPr>
        <w:pStyle w:val="Heading2"/>
        <w:spacing w:before="280" w:after="160"/>
      </w:pPr>
      <w:bookmarkStart w:id="35" w:name="_Toc235175956"/>
      <w:r>
        <w:rPr>
          <w:rFonts w:ascii="Calibri" w:eastAsia="Calibri" w:hAnsi="Calibri" w:cs="Calibri"/>
          <w:b/>
          <w:bCs/>
          <w:color w:val="44546A"/>
        </w:rPr>
        <w:t>Closing note</w:t>
      </w:r>
      <w:bookmarkEnd w:id="35"/>
    </w:p>
    <w:p w:rsidR="008C3B6C" w:rsidRDefault="005C586C">
      <w:pPr>
        <w:spacing w:after="160" w:line="300" w:lineRule="auto"/>
      </w:pPr>
      <w:r>
        <w:rPr>
          <w:rFonts w:ascii="Calibri" w:eastAsia="Calibri" w:hAnsi="Calibri" w:cs="Calibri"/>
          <w:color w:val="2B2B2B"/>
          <w:sz w:val="21"/>
          <w:szCs w:val="21"/>
        </w:rPr>
        <w:t>The competitive moat in digital lending is not any single model — algorithms are commodities. It is the compounding loop this architecture is built around: a frictionless journey wins applicants; consented data depth wins accuracy; accuracy wins pricing an</w:t>
      </w:r>
      <w:r>
        <w:rPr>
          <w:rFonts w:ascii="Calibri" w:eastAsia="Calibri" w:hAnsi="Calibri" w:cs="Calibri"/>
          <w:color w:val="2B2B2B"/>
          <w:sz w:val="21"/>
          <w:szCs w:val="21"/>
        </w:rPr>
        <w:t xml:space="preserve">d limits; good limits win repayment behavior; repayment behavior becomes proprietary training data no competitor can buy. Every design decision in this document exists to spin that loop faster while keeping it explainable, fair, and defensible in front of </w:t>
      </w:r>
      <w:r>
        <w:rPr>
          <w:rFonts w:ascii="Calibri" w:eastAsia="Calibri" w:hAnsi="Calibri" w:cs="Calibri"/>
          <w:color w:val="2B2B2B"/>
          <w:sz w:val="21"/>
          <w:szCs w:val="21"/>
        </w:rPr>
        <w:t>a regulator.</w:t>
      </w:r>
    </w:p>
    <w:sectPr w:rsidR="008C3B6C">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586C" w:rsidRDefault="005C586C">
      <w:r>
        <w:separator/>
      </w:r>
    </w:p>
  </w:endnote>
  <w:endnote w:type="continuationSeparator" w:id="0">
    <w:p w:rsidR="005C586C" w:rsidRDefault="005C5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3B6C" w:rsidRDefault="005C586C">
    <w:pPr>
      <w:jc w:val="center"/>
    </w:pPr>
    <w:r>
      <w:rPr>
        <w:rFonts w:ascii="Calibri" w:eastAsia="Calibri" w:hAnsi="Calibri" w:cs="Calibri"/>
        <w:color w:val="8A93A3"/>
        <w:sz w:val="15"/>
        <w:szCs w:val="15"/>
      </w:rPr>
      <w:t xml:space="preserve">Confidential  ·  Page </w:t>
    </w:r>
    <w:r>
      <w:rPr>
        <w:rFonts w:ascii="Calibri" w:eastAsia="Calibri" w:hAnsi="Calibri" w:cs="Calibri"/>
        <w:color w:val="8A93A3"/>
        <w:sz w:val="15"/>
        <w:szCs w:val="15"/>
      </w:rPr>
      <w:fldChar w:fldCharType="begin"/>
    </w:r>
    <w:r>
      <w:rPr>
        <w:rFonts w:ascii="Calibri" w:eastAsia="Calibri" w:hAnsi="Calibri" w:cs="Calibri"/>
        <w:color w:val="8A93A3"/>
        <w:sz w:val="15"/>
        <w:szCs w:val="15"/>
      </w:rPr>
      <w:instrText>PAGE</w:instrText>
    </w:r>
    <w:r w:rsidR="003E4BC4">
      <w:rPr>
        <w:rFonts w:ascii="Calibri" w:eastAsia="Calibri" w:hAnsi="Calibri" w:cs="Calibri"/>
        <w:color w:val="8A93A3"/>
        <w:sz w:val="15"/>
        <w:szCs w:val="15"/>
      </w:rPr>
      <w:fldChar w:fldCharType="separate"/>
    </w:r>
    <w:r w:rsidR="003E4BC4">
      <w:rPr>
        <w:rFonts w:ascii="Calibri" w:eastAsia="Calibri" w:hAnsi="Calibri" w:cs="Calibri"/>
        <w:noProof/>
        <w:color w:val="8A93A3"/>
        <w:sz w:val="15"/>
        <w:szCs w:val="15"/>
      </w:rPr>
      <w:t>2</w:t>
    </w:r>
    <w:r>
      <w:rPr>
        <w:rFonts w:ascii="Calibri" w:eastAsia="Calibri" w:hAnsi="Calibri" w:cs="Calibri"/>
        <w:color w:val="8A93A3"/>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586C" w:rsidRDefault="005C586C">
      <w:r>
        <w:separator/>
      </w:r>
    </w:p>
  </w:footnote>
  <w:footnote w:type="continuationSeparator" w:id="0">
    <w:p w:rsidR="005C586C" w:rsidRDefault="005C58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3B6C" w:rsidRDefault="005C586C">
    <w:pPr>
      <w:jc w:val="right"/>
    </w:pPr>
    <w:r>
      <w:rPr>
        <w:rFonts w:ascii="Calibri" w:eastAsia="Calibri" w:hAnsi="Calibri" w:cs="Calibri"/>
        <w:color w:val="8A93A3"/>
        <w:sz w:val="15"/>
        <w:szCs w:val="15"/>
      </w:rPr>
      <w:t>AI Credit Scoring &amp; Decisioning System —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72D1EB2"/>
    <w:multiLevelType w:val="hybridMultilevel"/>
    <w:tmpl w:val="75D02552"/>
    <w:lvl w:ilvl="0" w:tplc="081215A2">
      <w:start w:val="1"/>
      <w:numFmt w:val="bullet"/>
      <w:lvlText w:val="●"/>
      <w:lvlJc w:val="left"/>
      <w:pPr>
        <w:ind w:left="720" w:hanging="360"/>
      </w:pPr>
    </w:lvl>
    <w:lvl w:ilvl="1" w:tplc="506825C6">
      <w:start w:val="1"/>
      <w:numFmt w:val="bullet"/>
      <w:lvlText w:val="○"/>
      <w:lvlJc w:val="left"/>
      <w:pPr>
        <w:ind w:left="1440" w:hanging="360"/>
      </w:pPr>
    </w:lvl>
    <w:lvl w:ilvl="2" w:tplc="941207A0">
      <w:start w:val="1"/>
      <w:numFmt w:val="bullet"/>
      <w:lvlText w:val="■"/>
      <w:lvlJc w:val="left"/>
      <w:pPr>
        <w:ind w:left="2160" w:hanging="360"/>
      </w:pPr>
    </w:lvl>
    <w:lvl w:ilvl="3" w:tplc="F710CFC2">
      <w:start w:val="1"/>
      <w:numFmt w:val="bullet"/>
      <w:lvlText w:val="●"/>
      <w:lvlJc w:val="left"/>
      <w:pPr>
        <w:ind w:left="2880" w:hanging="360"/>
      </w:pPr>
    </w:lvl>
    <w:lvl w:ilvl="4" w:tplc="E4C4E04E">
      <w:start w:val="1"/>
      <w:numFmt w:val="bullet"/>
      <w:lvlText w:val="○"/>
      <w:lvlJc w:val="left"/>
      <w:pPr>
        <w:ind w:left="3600" w:hanging="360"/>
      </w:pPr>
    </w:lvl>
    <w:lvl w:ilvl="5" w:tplc="C3DA2FB4">
      <w:start w:val="1"/>
      <w:numFmt w:val="bullet"/>
      <w:lvlText w:val="■"/>
      <w:lvlJc w:val="left"/>
      <w:pPr>
        <w:ind w:left="4320" w:hanging="360"/>
      </w:pPr>
    </w:lvl>
    <w:lvl w:ilvl="6" w:tplc="6AB40590">
      <w:start w:val="1"/>
      <w:numFmt w:val="bullet"/>
      <w:lvlText w:val="●"/>
      <w:lvlJc w:val="left"/>
      <w:pPr>
        <w:ind w:left="5040" w:hanging="360"/>
      </w:pPr>
    </w:lvl>
    <w:lvl w:ilvl="7" w:tplc="A6D25632">
      <w:start w:val="1"/>
      <w:numFmt w:val="bullet"/>
      <w:lvlText w:val="●"/>
      <w:lvlJc w:val="left"/>
      <w:pPr>
        <w:ind w:left="5760" w:hanging="360"/>
      </w:pPr>
    </w:lvl>
    <w:lvl w:ilvl="8" w:tplc="19BC9DA6">
      <w:start w:val="1"/>
      <w:numFmt w:val="bullet"/>
      <w:lvlText w:val="●"/>
      <w:lvlJc w:val="left"/>
      <w:pPr>
        <w:ind w:left="6480" w:hanging="360"/>
      </w:pPr>
    </w:lvl>
  </w:abstractNum>
  <w:abstractNum w:abstractNumId="1" w15:restartNumberingAfterBreak="0">
    <w:nsid w:val="40925B65"/>
    <w:multiLevelType w:val="hybridMultilevel"/>
    <w:tmpl w:val="E66C5D40"/>
    <w:lvl w:ilvl="0" w:tplc="B360EDF2">
      <w:start w:val="1"/>
      <w:numFmt w:val="bullet"/>
      <w:lvlText w:val="•"/>
      <w:lvlJc w:val="left"/>
      <w:pPr>
        <w:ind w:left="360" w:hanging="200"/>
      </w:pPr>
    </w:lvl>
    <w:lvl w:ilvl="1" w:tplc="F5B0EA42">
      <w:start w:val="1"/>
      <w:numFmt w:val="bullet"/>
      <w:lvlText w:val="–"/>
      <w:lvlJc w:val="left"/>
      <w:pPr>
        <w:ind w:left="720" w:hanging="200"/>
      </w:pPr>
    </w:lvl>
    <w:lvl w:ilvl="2" w:tplc="9C34076C">
      <w:numFmt w:val="decimal"/>
      <w:lvlText w:val=""/>
      <w:lvlJc w:val="left"/>
    </w:lvl>
    <w:lvl w:ilvl="3" w:tplc="1722B0AE">
      <w:numFmt w:val="decimal"/>
      <w:lvlText w:val=""/>
      <w:lvlJc w:val="left"/>
    </w:lvl>
    <w:lvl w:ilvl="4" w:tplc="AEE04440">
      <w:numFmt w:val="decimal"/>
      <w:lvlText w:val=""/>
      <w:lvlJc w:val="left"/>
    </w:lvl>
    <w:lvl w:ilvl="5" w:tplc="9D98747A">
      <w:numFmt w:val="decimal"/>
      <w:lvlText w:val=""/>
      <w:lvlJc w:val="left"/>
    </w:lvl>
    <w:lvl w:ilvl="6" w:tplc="CB9814C0">
      <w:numFmt w:val="decimal"/>
      <w:lvlText w:val=""/>
      <w:lvlJc w:val="left"/>
    </w:lvl>
    <w:lvl w:ilvl="7" w:tplc="534844C6">
      <w:numFmt w:val="decimal"/>
      <w:lvlText w:val=""/>
      <w:lvlJc w:val="left"/>
    </w:lvl>
    <w:lvl w:ilvl="8" w:tplc="D15E837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3B6C"/>
    <w:rsid w:val="003E4BC4"/>
    <w:rsid w:val="005C586C"/>
    <w:rsid w:val="008C3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65DA12D-2D11-4C3E-8BBA-40CDCF4D2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E4BC4"/>
    <w:pPr>
      <w:spacing w:after="100"/>
    </w:pPr>
  </w:style>
  <w:style w:type="paragraph" w:styleId="TOC2">
    <w:name w:val="toc 2"/>
    <w:basedOn w:val="Normal"/>
    <w:next w:val="Normal"/>
    <w:autoRedefine/>
    <w:uiPriority w:val="39"/>
    <w:unhideWhenUsed/>
    <w:rsid w:val="003E4BC4"/>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21</Pages>
  <Words>6077</Words>
  <Characters>34645</Characters>
  <Application>Microsoft Office Word</Application>
  <DocSecurity>0</DocSecurity>
  <Lines>288</Lines>
  <Paragraphs>81</Paragraphs>
  <ScaleCrop>false</ScaleCrop>
  <Company/>
  <LinksUpToDate>false</LinksUpToDate>
  <CharactersWithSpaces>40641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Mubashar Hussain</cp:lastModifiedBy>
  <cp:revision>3</cp:revision>
  <dcterms:created xsi:type="dcterms:W3CDTF">2026-07-05T05:48:00Z</dcterms:created>
  <dcterms:modified xsi:type="dcterms:W3CDTF">2026-07-17T05:52:00Z</dcterms:modified>
</cp:coreProperties>
</file>