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F172A"/>
          <w:sz w:val="44"/>
        </w:rPr>
        <w:t>Enterprise Credit AI Engine &amp; Staged Decision Platform</w:t>
      </w:r>
    </w:p>
    <w:p>
      <w:pPr>
        <w:spacing w:after="400"/>
        <w:jc w:val="center"/>
      </w:pPr>
      <w:r>
        <w:rPr>
          <w:rFonts w:ascii="Arial" w:hAnsi="Arial"/>
          <w:i/>
          <w:color w:val="64748B"/>
          <w:sz w:val="24"/>
        </w:rPr>
        <w:t>Complete End-to-End Mathematical Architecture, IFRS 9 ECL, Multi-Model Stacking &amp; SHAP Specification</w:t>
      </w:r>
    </w:p>
    <w:p>
      <w:pPr>
        <w:pStyle w:val="Heading1"/>
        <w:spacing w:before="280" w:after="120"/>
      </w:pPr>
      <w:r>
        <w:t>1. Machine Learning Model Inventory &amp; Objectives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Task / Domain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Loss / Objective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Key Metric &amp; Rationale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PD (Main Credit Risk)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LightGBM + XGBoost + Logistic Stacking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Binary Log-Loss with Monotonic Constraints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AUC-ROC, Gini, KS, Brier. SOTA tabular performance; fast; native SHAP.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Regulatory Benchmark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Logistic Regression on WoE Features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Log-Loss + L2 Ridge Regularization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Gini, Hosmer-Lemeshow. Fully auditable monotonic coefficients for examiners.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Income Quantiles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LightGBM Quantile Regressor (P10/P50/P90)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Pinball (Asymmetric Quantile) Loss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MAPE, Quantile Coverage. Uncertainty-aware income bounds, not point guesses.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Cash-Flow Forecast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LSTM / Temporal CNN on Sequences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MSE / Quantile Loss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MAPE by horizon. Captures pay-cycle seasonality for EMI collection optimization.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Point Fraud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LightGBM + Isolation Forest + Autoencoder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Log-loss / Reconstruction Error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Precision@k, Alert Rate. Catches known fraud signatures &amp; novel anomalies.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Fraud Rings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Graph Neural Network (GNN) / Louvain Graph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Link-Prediction Loss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Ring Recall, FP Rate. Detects relational multi-identity syndicate attacks.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Deepfake / Liveness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Vendor Vision CNN + Challenge-Response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ISO/IEC 30107-3 Standards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APCER / BPCER. Specialized biometric verification.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Behavioral Telemetry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GRU over In-App Telemetry Streams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Log-Loss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AUC Uplift. Captures keystroke cadence and form hesitation signals.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Survival / Lifetime PD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Cox Proportional Hazards / Gradient Survival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Partial Likelihood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C-Index. Models default timing for IFRS 9 multi-year staging.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Collections Roll-Rate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Markov Chain (Transitions) + GBM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Transition Likelihood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Roll-rate accuracy. Standard delinquency bucket migration mechanics.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Limit Strategy (Mature)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Contextual Bandits / Reinforcement Learning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Profit Reward with Risk &amp; Fairness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Profit per limit unit, Loss rate. Learns optimal credit-line growth ladder.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Segmentation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K-Means / HDBSCAN on Embeddings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Inertia / Density (Silhouette)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Silhouette Score. Risk-tier communication &amp; challenger underwriting.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Document Intelligence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OCR + LayoutLMv3 Transformer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334155"/>
                <w:sz w:val="17"/>
              </w:rPr>
              <w:t>Sequence-to-Sequence Cross-Entropy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7"/>
              </w:rPr>
              <w:t>Field F1. Automated parsing of bank statements and salary slips.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2. End-to-End Mathematical Formulations</w:t>
      </w:r>
    </w:p>
    <w:p>
      <w:r>
        <w:rPr>
          <w:b/>
        </w:rPr>
        <w:t>2.1 Base Learners and Stacking:</w:t>
        <w:br/>
      </w:r>
      <w:r>
        <w:t>F_M(x) = sum(v * h_m(x)) where v is learning rate and h_m(x) is a regression tree fit to negative pseudo-gradients. Monotonic constraints are imposed (PD non-increasing in income, non-decreasing in FOIR and DPD). The stacking layer combines OOF predictions: z(x) = [PD_lgbm(x), PD_xgb(x), PD_logit(x), sub-scores...], and PD_ens(x) = sigma(w * z(x) + b).</w:t>
        <w:br/>
        <w:br/>
      </w:r>
      <w:r>
        <w:rPr>
          <w:b/>
        </w:rPr>
        <w:t>2.2 Probability Calibration:</w:t>
        <w:br/>
      </w:r>
      <w:r>
        <w:t>PD_cal = IsotonicFit(PD_ens -&gt; observed default frequency by score decile). Evaluated via Brier Score = (1/N) * sum((PD_i - y_i)^2) and Hosmer-Lemeshow goodness-of-fit test.</w:t>
        <w:br/>
        <w:br/>
      </w:r>
      <w:r>
        <w:rPr>
          <w:b/>
        </w:rPr>
        <w:t>2.3 Points to Double the Odds (PDO) Score Formulation:</w:t>
        <w:br/>
      </w:r>
      <w:r>
        <w:t>Odds = (1 - PD_cal) / PD_cal</w:t>
        <w:br/>
        <w:t>Score = Offset + Factor * ln(Odds)</w:t>
        <w:br/>
        <w:t>Factor = PDO / ln(2) = 40 / ln(2) = 57.7078</w:t>
        <w:br/>
        <w:t>Offset = BaseScore - Factor * ln(BaseOdds) = 660 - 57.7078 * ln(15) = 503.727</w:t>
        <w:br/>
        <w:t>Score = clip(503.73 + 57.71 * ln(Odds), 300, 900)</w:t>
        <w:br/>
        <w:br/>
      </w:r>
      <w:r>
        <w:rPr>
          <w:b/>
        </w:rPr>
        <w:t>2.4 Expected Credit Loss (ECL) &amp; IFRS 9:</w:t>
        <w:br/>
      </w:r>
      <w:r>
        <w:t>ECL = PD * LGD * EAD, where LGD = 1 - Recovery Rate (65-85% for unsecured nano-loans) and EAD = Outstanding Balance + CCF * Undrawn Limit. Lifetime ECL (Stage 2/3) = sum_t (PD_t * LGD_t * EAD_t) / (1 + EIR)^t.</w:t>
        <w:br/>
        <w:br/>
      </w:r>
      <w:r>
        <w:rPr>
          <w:b/>
        </w:rPr>
        <w:t>2.5 Risk-Based Pricing (APR):</w:t>
        <w:br/>
      </w:r>
      <w:r>
        <w:t>APR = CoF + OpEx + (PD * LGD) + (K * Hurdle) + Margin, subject to APR &lt;= Regulatory Cap (36%) and EMI &lt;= Affordability Ceiling.</w:t>
        <w:br/>
        <w:br/>
      </w:r>
      <w:r>
        <w:rPr>
          <w:b/>
        </w:rPr>
        <w:t>2.6 Multi-Bound Limit Assignment Engine:</w:t>
        <w:br/>
      </w:r>
      <w:r>
        <w:t>Limit = min(AffordabilityLimit, RiskLimit, PolicyCap, ProgressionCap)</w:t>
        <w:br/>
        <w:t>AffordabilityLimit = MaxEMI * tenor_adj</w:t>
        <w:br/>
        <w:t>RiskLimit = k(grade) * P50_Monthly_Income * 12 * 0.50 (k: A=1.5, B=1.2, C=0.8, D=0.5, E=0.25)</w:t>
        <w:br/>
        <w:t>ProgressionCap = BaseFirstLoan * 1.5^min(Clean_Repaid_Loans, 6)</w:t>
        <w:br/>
        <w:t>PolicyCap = PKR 2,000,000.</w:t>
        <w:br/>
      </w:r>
    </w:p>
    <w:p>
      <w:pPr>
        <w:pStyle w:val="Heading1"/>
        <w:spacing w:before="280" w:after="120"/>
      </w:pPr>
      <w:r>
        <w:t>3. Enterprise Decision Matrix &amp; Grade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Score Band</w:t>
            </w:r>
          </w:p>
        </w:tc>
        <w:tc>
          <w:tcPr>
            <w:tcW w:type="dxa" w:w="156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Grade</w:t>
            </w:r>
          </w:p>
        </w:tc>
        <w:tc>
          <w:tcPr>
            <w:tcW w:type="dxa" w:w="156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12M PD Band</w:t>
            </w:r>
          </w:p>
        </w:tc>
        <w:tc>
          <w:tcPr>
            <w:tcW w:type="dxa" w:w="156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56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First-Loan Limit</w:t>
            </w:r>
          </w:p>
        </w:tc>
        <w:tc>
          <w:tcPr>
            <w:tcW w:type="dxa" w:w="156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Pricing Tier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780 – 900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A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&lt; 1.5%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Auto-Approve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Up to 100% of Cap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Prime Rate (14–18% APR)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720 – 779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B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1.5 – 3.0%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Auto-Approve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70% of Cap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Standard Rate (18–22% APR)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660 – 719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C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3.0 – 6.0%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Auto-Approve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45% of Cap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Standard Rate (22–26% APR)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600 – 659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D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6.0 – 10.0%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Approve (Reduced)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25% of Cap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Standard Plus (26–30% APR)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560 – 599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10.0 – 15.0%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Approve Small / Review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10% of Cap (Starter Loan)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Highest Tier (30–34% APR)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520 – 559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F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15.0 – 22.0%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Manual Review / Decline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Starter Only with Mitigants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Special Tier (34–36% APR)</w:t>
            </w:r>
          </w:p>
        </w:tc>
      </w:tr>
      <w:tr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&lt; 520 / Stop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G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&gt; 22.0%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Decline with Reasons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r>
              <w:rPr>
                <w:color w:val="334155"/>
                <w:sz w:val="17"/>
              </w:rPr>
              <w:t>No Facility (PKR 0)</w:t>
            </w:r>
          </w:p>
        </w:tc>
        <w:tc>
          <w:tcPr>
            <w:tcW w:type="dxa" w:w="1560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color w:val="334155"/>
                <w:sz w:val="17"/>
              </w:rPr>
              <w:t>N/A (Decline)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