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1E3A8A"/>
          <w:sz w:val="48"/>
        </w:rPr>
        <w:t>AI CREDIT SCORING SYSTEM</w:t>
      </w:r>
    </w:p>
    <w:p>
      <w:pPr>
        <w:spacing w:after="400"/>
      </w:pPr>
      <w:r>
        <w:rPr>
          <w:rFonts w:ascii="Calibri" w:hAnsi="Calibri"/>
          <w:i/>
          <w:color w:val="64748B"/>
          <w:sz w:val="26"/>
        </w:rPr>
        <w:t>Comprehensive Mathematical &amp; Theoretical Underwriting Guide (P01 - P12, Ensemble &amp; 4-Bound Limits)</w:t>
      </w:r>
    </w:p>
    <w:p>
      <w:pPr>
        <w:spacing w:before="60" w:after="80" w:line="276" w:lineRule="auto"/>
      </w:pPr>
      <w:r>
        <w:rPr>
          <w:rFonts w:ascii="Calibri" w:hAnsi="Calibri"/>
          <w:color w:val="334155"/>
          <w:sz w:val="22"/>
        </w:rPr>
        <w:t>In theory, the P01 Identity &amp; Trust Pillar Score (0 - 100) measures synthetic identity risk, KYC integrity, and demographic coherence.</w:t>
      </w:r>
    </w:p>
    <w:p>
      <w:pPr>
        <w:spacing w:before="60" w:after="80" w:line="276" w:lineRule="auto"/>
      </w:pPr>
      <w:r>
        <w:rPr>
          <w:rFonts w:ascii="Calibri" w:hAnsi="Calibri"/>
          <w:color w:val="334155"/>
          <w:sz w:val="22"/>
        </w:rPr>
        <w:t>It answers one core question for the credit underwriter:</w:t>
      </w:r>
    </w:p>
    <w:p>
      <w:pPr>
        <w:spacing w:before="60" w:after="80" w:line="276" w:lineRule="auto"/>
      </w:pPr>
      <w:r>
        <w:rPr>
          <w:rFonts w:ascii="Calibri" w:hAnsi="Calibri"/>
          <w:color w:val="334155"/>
          <w:sz w:val="22"/>
        </w:rPr>
        <w:t>"Is this applicant an authentic, legally verifiable individual with consistent biographical records, or a synthetic identity / fraudulent profile?"</w:t>
      </w:r>
    </w:p>
    <w:p>
      <w:pPr>
        <w:keepNext/>
        <w:spacing w:before="320" w:after="80"/>
      </w:pPr>
      <w:r>
        <w:rPr>
          <w:rFonts w:ascii="Calibri" w:hAnsi="Calibri"/>
          <w:b/>
          <w:color w:val="1E3A8A"/>
          <w:sz w:val="30"/>
        </w:rPr>
        <w:t>1. Data Sources Feeding P01</w:t>
      </w:r>
    </w:p>
    <w:p>
      <w:pPr>
        <w:spacing w:before="60" w:after="80" w:line="276" w:lineRule="auto"/>
      </w:pPr>
      <w:r>
        <w:rPr>
          <w:rFonts w:ascii="Calibri" w:hAnsi="Calibri"/>
          <w:color w:val="334155"/>
          <w:sz w:val="22"/>
        </w:rPr>
        <w:t>As specified in the architecture, P01 ingests data from two primary data families:</w:t>
      </w:r>
    </w:p>
    <w:p>
      <w:pPr>
        <w:spacing w:before="60" w:after="80" w:line="276" w:lineRule="auto"/>
      </w:pPr>
      <w:r>
        <w:rPr>
          <w:rFonts w:ascii="Calibri" w:hAnsi="Calibri"/>
          <w:color w:val="334155"/>
          <w:sz w:val="22"/>
        </w:rPr>
        <w:t>Family F1: Identity &amp; KYC Data: Government identifier tokens (e.g., Pakistani CNIC), nationality, and biometric/document verification status.</w:t>
      </w:r>
    </w:p>
    <w:p>
      <w:pPr>
        <w:spacing w:before="60" w:after="80" w:line="276" w:lineRule="auto"/>
      </w:pPr>
      <w:r>
        <w:rPr>
          <w:rFonts w:ascii="Calibri" w:hAnsi="Calibri"/>
          <w:color w:val="334155"/>
          <w:sz w:val="22"/>
        </w:rPr>
        <w:t>Family F2: Demographics: Declared age, date of birth (DOB), gender, marital status, and educational attainment.</w:t>
      </w:r>
    </w:p>
    <w:p>
      <w:pPr>
        <w:keepNext/>
        <w:spacing w:before="320" w:after="80"/>
      </w:pPr>
      <w:r>
        <w:rPr>
          <w:rFonts w:ascii="Calibri" w:hAnsi="Calibri"/>
          <w:b/>
          <w:color w:val="1E3A8A"/>
          <w:sz w:val="30"/>
        </w:rPr>
        <w:t>2. The Theoretical Pillars of the Score</w:t>
      </w:r>
    </w:p>
    <w:p>
      <w:pPr>
        <w:spacing w:before="60" w:after="80" w:line="276" w:lineRule="auto"/>
      </w:pPr>
      <w:r>
        <w:rPr>
          <w:rFonts w:ascii="Calibri" w:hAnsi="Calibri"/>
          <w:color w:val="334155"/>
          <w:sz w:val="22"/>
        </w:rPr>
        <w:t>The calculation operates through a two-layer hybrid engine (Machine Learning Model + Deterministic Verification Rules):</w:t>
      </w:r>
    </w:p>
    <w:p>
      <w:pPr>
        <w:keepNext/>
        <w:spacing w:before="200" w:after="60"/>
      </w:pPr>
      <w:r>
        <w:rPr>
          <w:rFonts w:ascii="Calibri" w:hAnsi="Calibri"/>
          <w:b/>
          <w:color w:val="0F172A"/>
          <w:sz w:val="24"/>
        </w:rPr>
        <w:t>Layer A: Deterministic Identity Coherence (Cross-Field Verification)</w:t>
      </w:r>
    </w:p>
    <w:p>
      <w:pPr>
        <w:spacing w:before="60" w:after="80" w:line="276" w:lineRule="auto"/>
      </w:pPr>
      <w:r>
        <w:rPr>
          <w:rFonts w:ascii="Calibri" w:hAnsi="Calibri"/>
          <w:color w:val="334155"/>
          <w:sz w:val="22"/>
        </w:rPr>
        <w:t>The engine runs mathematical and temporal consistency checks across the applicant's declared data:</w:t>
      </w:r>
    </w:p>
    <w:p>
      <w:pPr>
        <w:spacing w:before="60" w:after="80" w:line="276" w:lineRule="auto"/>
      </w:pPr>
      <w:r>
        <w:rPr>
          <w:rFonts w:ascii="Calibri" w:hAnsi="Calibri"/>
          <w:color w:val="334155"/>
          <w:sz w:val="22"/>
        </w:rPr>
        <w:t>CNIC / National ID Structural Integrity:</w:t>
        <w:br/>
        <w:t>Checks that the government ID strictly satisfies the format (13 digits, correct province/district code prefix, and valid odd/even gender terminal digit). Valid structure grants positive trust points; malformed or missing IDs incur heavy penalties.</w:t>
      </w:r>
    </w:p>
    <w:p>
      <w:pPr>
        <w:spacing w:before="60" w:after="80" w:line="276" w:lineRule="auto"/>
      </w:pPr>
      <w:r>
        <w:rPr>
          <w:rFonts w:ascii="Calibri" w:hAnsi="Calibri"/>
          <w:color w:val="334155"/>
          <w:sz w:val="22"/>
        </w:rPr>
        <w:t>Temporal Cross-Validation (ΔAge Check):</w:t>
        <w:br/>
        <w:t>Compares the declared age against the calendar age derived from date_of_birth (Year_current - Year_DOB).</w:t>
        <w:br/>
        <w:t>Discrepancy = |Declared Age - Calculated Age| If Discrepancy ? 1 year, it confirms record coherence. Discrepancies &gt; 1 trigger suspicion of synthetic record fabrication.</w:t>
      </w:r>
    </w:p>
    <w:p>
      <w:pPr>
        <w:spacing w:before="60" w:after="80" w:line="276" w:lineRule="auto"/>
      </w:pPr>
      <w:r>
        <w:rPr>
          <w:rFonts w:ascii="Calibri" w:hAnsi="Calibri"/>
          <w:color w:val="334155"/>
          <w:sz w:val="22"/>
        </w:rPr>
        <w:t>Legal Age &amp; Working-Span Bracketing:</w:t>
        <w:br/>
        <w:t>Evaluates whether the applicant falls within the legally capable borrowing bracket:</w:t>
      </w:r>
    </w:p>
    <w:p>
      <w:pPr>
        <w:spacing w:before="60" w:after="80" w:line="276" w:lineRule="auto"/>
      </w:pPr>
      <w:r>
        <w:rPr>
          <w:rFonts w:ascii="Calibri" w:hAnsi="Calibri"/>
          <w:color w:val="334155"/>
          <w:sz w:val="22"/>
        </w:rPr>
        <w:t>Prime Working Age (18 - 70 years): Fully eligible (+10 pts).</w:t>
      </w:r>
    </w:p>
    <w:p>
      <w:pPr>
        <w:spacing w:before="60" w:after="80" w:line="276" w:lineRule="auto"/>
      </w:pPr>
      <w:r>
        <w:rPr>
          <w:rFonts w:ascii="Calibri" w:hAnsi="Calibri"/>
          <w:color w:val="334155"/>
          <w:sz w:val="22"/>
        </w:rPr>
        <w:t>Senior Tier (71 - 75 years): Eligible with mitigants (+5 pts).</w:t>
      </w:r>
    </w:p>
    <w:p>
      <w:pPr>
        <w:spacing w:before="60" w:after="80" w:line="276" w:lineRule="auto"/>
      </w:pPr>
      <w:r>
        <w:rPr>
          <w:rFonts w:ascii="Calibri" w:hAnsi="Calibri"/>
          <w:color w:val="334155"/>
          <w:sz w:val="22"/>
        </w:rPr>
        <w:t>Underage (&lt; 18) or Over-Age (&gt; 75): Severe deduction / knockout (-15 pts).</w:t>
      </w:r>
    </w:p>
    <w:p>
      <w:pPr>
        <w:spacing w:before="60" w:after="80" w:line="276" w:lineRule="auto"/>
      </w:pPr>
      <w:r>
        <w:rPr>
          <w:rFonts w:ascii="Calibri" w:hAnsi="Calibri"/>
          <w:color w:val="334155"/>
          <w:sz w:val="22"/>
        </w:rPr>
        <w:t>Jurisdictional Alignment:</w:t>
        <w:br/>
        <w:t>Confirms nationality and domestic residency match the lending jurisdiction (e.g., Pakistan), ensuring legal enforceability in default scenarios.</w:t>
      </w:r>
    </w:p>
    <w:p>
      <w:pPr>
        <w:keepNext/>
        <w:spacing w:before="200" w:after="60"/>
      </w:pPr>
      <w:r>
        <w:rPr>
          <w:rFonts w:ascii="Calibri" w:hAnsi="Calibri"/>
          <w:b/>
          <w:color w:val="0F172A"/>
          <w:sz w:val="24"/>
        </w:rPr>
        <w:t>Layer B: Supervised Machine Learning Trust Classifier</w:t>
      </w:r>
    </w:p>
    <w:p>
      <w:pPr>
        <w:spacing w:before="120" w:after="120"/>
        <w:ind w:left="432"/>
      </w:pPr>
      <w:r>
        <w:rPr>
          <w:rFonts w:ascii="Consolas" w:hAnsi="Consolas"/>
          <w:b/>
          <w:color w:val="0E7490"/>
          <w:sz w:val="21"/>
        </w:rPr>
        <w:t>In production, these features feed a specialized LightGBM Gradient-Boosted Classifier (lgb_pillar_identity_trust.joblib): P01 Score = P(Verified Authentic Identity mid x_KYC) ? 100</w:t>
      </w:r>
    </w:p>
    <w:p>
      <w:pPr>
        <w:spacing w:before="60" w:after="80" w:line="276" w:lineRule="auto"/>
      </w:pPr>
      <w:r>
        <w:rPr>
          <w:rFonts w:ascii="Calibri" w:hAnsi="Calibri"/>
          <w:color w:val="334155"/>
          <w:sz w:val="22"/>
        </w:rPr>
        <w:t>The model evaluates non-linear relationships among demographic features (age, gender, marital_status, education, stability_signals).</w:t>
      </w:r>
    </w:p>
    <w:p>
      <w:pPr>
        <w:spacing w:before="60" w:after="80" w:line="276" w:lineRule="auto"/>
      </w:pPr>
      <w:r>
        <w:rPr>
          <w:rFonts w:ascii="Calibri" w:hAnsi="Calibri"/>
          <w:color w:val="334155"/>
          <w:sz w:val="22"/>
        </w:rPr>
        <w:t>Higher demographic stability (e.g., higher education, mature career stage, established household) statistically correlates with lower identity-cycling fraud.</w:t>
      </w:r>
    </w:p>
    <w:p>
      <w:pPr>
        <w:keepNext/>
        <w:spacing w:before="320" w:after="80"/>
      </w:pPr>
      <w:r>
        <w:rPr>
          <w:rFonts w:ascii="Calibri" w:hAnsi="Calibri"/>
          <w:b/>
          <w:color w:val="1E3A8A"/>
          <w:sz w:val="30"/>
        </w:rPr>
        <w:t>3. Final Bounded Output (0 to 100)</w:t>
      </w:r>
    </w:p>
    <w:p>
      <w:pPr>
        <w:spacing w:before="60" w:after="80" w:line="276" w:lineRule="auto"/>
      </w:pPr>
      <w:r>
        <w:rPr>
          <w:rFonts w:ascii="Calibri" w:hAnsi="Calibri"/>
          <w:color w:val="334155"/>
          <w:sz w:val="22"/>
        </w:rPr>
        <w:t>The combined score is bounded strictly between 0.0 and 100.0:</w:t>
      </w:r>
    </w:p>
    <w:p>
      <w:pPr>
        <w:spacing w:before="60" w:after="80" w:line="276" w:lineRule="auto"/>
      </w:pPr>
      <w:r>
        <w:rPr>
          <w:rFonts w:ascii="Calibri" w:hAnsi="Calibri"/>
          <w:color w:val="334155"/>
          <w:sz w:val="22"/>
        </w:rPr>
        <w:t>90 - 100 (Exceptional Trust): Flawless CNIC, exact DOB match, mature age bracket, verified resident (e.g., #1 ranked customer CUST0008856 scored 99.5).</w:t>
      </w:r>
    </w:p>
    <w:p>
      <w:pPr>
        <w:spacing w:before="60" w:after="80" w:line="276" w:lineRule="auto"/>
      </w:pPr>
      <w:r>
        <w:rPr>
          <w:rFonts w:ascii="Calibri" w:hAnsi="Calibri"/>
          <w:color w:val="334155"/>
          <w:sz w:val="22"/>
        </w:rPr>
        <w:t>60 - 89 (Standard / Verified): Valid ID and eligible age, standard demographic profile.</w:t>
      </w:r>
    </w:p>
    <w:p>
      <w:pPr>
        <w:spacing w:before="60" w:after="80" w:line="276" w:lineRule="auto"/>
      </w:pPr>
      <w:r>
        <w:rPr>
          <w:rFonts w:ascii="Calibri" w:hAnsi="Calibri"/>
          <w:color w:val="334155"/>
          <w:sz w:val="22"/>
        </w:rPr>
        <w:t>40 - 59 (Unverified / Thin Identity): Missing secondary validation fields or minor age-declaration inconsistencies.</w:t>
      </w:r>
    </w:p>
    <w:p>
      <w:pPr>
        <w:spacing w:before="60" w:after="80" w:line="276" w:lineRule="auto"/>
      </w:pPr>
      <w:r>
        <w:rPr>
          <w:rFonts w:ascii="Calibri" w:hAnsi="Calibri"/>
          <w:color w:val="334155"/>
          <w:sz w:val="22"/>
        </w:rPr>
        <w:t>&lt; 40 (High Synthetic Risk): Invalid CNIC structure, conflicting birth dates, or severe identity anomalies.</w:t>
      </w:r>
    </w:p>
    <w:p>
      <w:pPr>
        <w:spacing w:before="60" w:after="80" w:line="276" w:lineRule="auto"/>
      </w:pPr>
      <w:r>
        <w:rPr>
          <w:rFonts w:ascii="Calibri" w:hAnsi="Calibri"/>
          <w:color w:val="334155"/>
          <w:sz w:val="22"/>
        </w:rPr>
        <w:t>In the ensemble, P01 carries an 8% weight into the Stacking Meta-Learner, functioning as the first foundational barrier before cash flow and repayment capacity are evaluated.</w:t>
      </w:r>
    </w:p>
    <w:p>
      <w:pPr>
        <w:spacing w:before="60" w:after="80" w:line="276" w:lineRule="auto"/>
      </w:pPr>
      <w:r>
        <w:rPr>
          <w:rFonts w:ascii="Calibri" w:hAnsi="Calibri"/>
          <w:color w:val="334155"/>
          <w:sz w:val="22"/>
        </w:rPr>
        <w:t>In theory, the P02 Fraud Risk Pillar Score (0 - 100) evaluates first-party fraud, identity theft, device spoofing, and organized syndicate attacks.</w:t>
      </w:r>
    </w:p>
    <w:p>
      <w:pPr>
        <w:spacing w:before="60" w:after="80" w:line="276" w:lineRule="auto"/>
      </w:pPr>
      <w:r>
        <w:rPr>
          <w:rFonts w:ascii="Calibri" w:hAnsi="Calibri"/>
          <w:color w:val="334155"/>
          <w:sz w:val="22"/>
        </w:rPr>
        <w:t>In our credit engine architecture, higher score = safer borrower (lower fraud risk):</w:t>
      </w:r>
    </w:p>
    <w:p>
      <w:pPr>
        <w:spacing w:before="60" w:after="80" w:line="276" w:lineRule="auto"/>
      </w:pPr>
      <w:r>
        <w:rPr>
          <w:rFonts w:ascii="Calibri" w:hAnsi="Calibri"/>
          <w:color w:val="334155"/>
          <w:sz w:val="22"/>
        </w:rPr>
        <w:t>Score 100: Completely clean digital footprint, legitimate hardware, natural human interaction.</w:t>
      </w:r>
    </w:p>
    <w:p>
      <w:pPr>
        <w:spacing w:before="60" w:after="80" w:line="276" w:lineRule="auto"/>
      </w:pPr>
      <w:r>
        <w:rPr>
          <w:rFonts w:ascii="Calibri" w:hAnsi="Calibri"/>
          <w:color w:val="334155"/>
          <w:sz w:val="22"/>
        </w:rPr>
        <w:t>Score 0: Confirmed bot/emulator, synthetic identity attack, or severe velocity abuse.</w:t>
      </w:r>
    </w:p>
    <w:p>
      <w:pPr>
        <w:keepNext/>
        <w:spacing w:before="320" w:after="80"/>
      </w:pPr>
      <w:r>
        <w:rPr>
          <w:rFonts w:ascii="Calibri" w:hAnsi="Calibri"/>
          <w:b/>
          <w:color w:val="1E3A8A"/>
          <w:sz w:val="30"/>
        </w:rPr>
        <w:t>1. Data Sources Feeding P02</w:t>
      </w:r>
    </w:p>
    <w:p>
      <w:pPr>
        <w:keepNext/>
        <w:spacing w:before="320" w:after="80"/>
      </w:pPr>
      <w:r>
        <w:rPr>
          <w:rFonts w:ascii="Calibri" w:hAnsi="Calibri"/>
          <w:b/>
          <w:color w:val="1E3A8A"/>
          <w:sz w:val="30"/>
        </w:rPr>
        <w:t>P02 combines 3 specialized data families from the digital application session:</w:t>
      </w:r>
    </w:p>
    <w:p>
      <w:pPr>
        <w:spacing w:before="60" w:after="80" w:line="276" w:lineRule="auto"/>
      </w:pPr>
      <w:r>
        <w:rPr>
          <w:rFonts w:ascii="Calibri" w:hAnsi="Calibri"/>
          <w:color w:val="334155"/>
          <w:sz w:val="22"/>
        </w:rPr>
        <w:t>Family F3 (Device Intelligence): Hardware fingerprints, OS integrity, root/jailbreak status, network routing.</w:t>
      </w:r>
    </w:p>
    <w:p>
      <w:pPr>
        <w:spacing w:before="60" w:after="80" w:line="276" w:lineRule="auto"/>
      </w:pPr>
      <w:r>
        <w:rPr>
          <w:rFonts w:ascii="Calibri" w:hAnsi="Calibri"/>
          <w:color w:val="334155"/>
          <w:sz w:val="22"/>
        </w:rPr>
        <w:t>Family F4 (Behavioral Biometrics): Keystroke cadence, clipboard paste anomalies, hesitation patterns.</w:t>
      </w:r>
    </w:p>
    <w:p>
      <w:pPr>
        <w:spacing w:before="60" w:after="80" w:line="276" w:lineRule="auto"/>
      </w:pPr>
      <w:r>
        <w:rPr>
          <w:rFonts w:ascii="Calibri" w:hAnsi="Calibri"/>
          <w:color w:val="334155"/>
          <w:sz w:val="22"/>
        </w:rPr>
        <w:t>Family F14 (Velocity &amp; Multi-Lender Activity): Cross-lender application bursts and IP clustering.</w:t>
      </w:r>
    </w:p>
    <w:p>
      <w:pPr>
        <w:keepNext/>
        <w:spacing w:before="320" w:after="80"/>
      </w:pPr>
      <w:r>
        <w:rPr>
          <w:rFonts w:ascii="Calibri" w:hAnsi="Calibri"/>
          <w:b/>
          <w:color w:val="1E3A8A"/>
          <w:sz w:val="30"/>
        </w:rPr>
        <w:t>2. The Two-Stage Fraud Architecture</w:t>
      </w:r>
    </w:p>
    <w:p>
      <w:pPr>
        <w:spacing w:before="60" w:after="80" w:line="276" w:lineRule="auto"/>
      </w:pPr>
      <w:r>
        <w:rPr>
          <w:rFonts w:ascii="Calibri" w:hAnsi="Calibri"/>
          <w:color w:val="334155"/>
          <w:sz w:val="22"/>
        </w:rPr>
        <w:t>mermaid</w:t>
      </w:r>
    </w:p>
    <w:p>
      <w:pPr>
        <w:spacing w:before="60" w:after="80" w:line="276" w:lineRule="auto"/>
      </w:pPr>
      <w:r>
        <w:rPr>
          <w:rFonts w:ascii="Calibri" w:hAnsi="Calibri"/>
          <w:color w:val="334155"/>
          <w:sz w:val="22"/>
        </w:rPr>
        <w:t>flowchart TD</w:t>
      </w:r>
    </w:p>
    <w:p>
      <w:pPr>
        <w:spacing w:before="60" w:after="80" w:line="276" w:lineRule="auto"/>
      </w:pPr>
      <w:r>
        <w:rPr>
          <w:rFonts w:ascii="Calibri" w:hAnsi="Calibri"/>
          <w:color w:val="334155"/>
          <w:sz w:val="22"/>
        </w:rPr>
        <w:t>A["Loan Application Telemetry"] --&gt; B"Stage 0: Binary Hard Gate"</w:t>
      </w:r>
    </w:p>
    <w:p>
      <w:pPr>
        <w:spacing w:before="60" w:after="80" w:line="276" w:lineRule="auto"/>
      </w:pPr>
      <w:r>
        <w:rPr>
          <w:rFonts w:ascii="Calibri" w:hAnsi="Calibri"/>
          <w:color w:val="334155"/>
          <w:sz w:val="22"/>
        </w:rPr>
        <w:t>B -- "Emulator Detected / AML Flag / Blacklisted" --&gt; C["HARD DECLINE (Score=300, Grade G)"]</w:t>
      </w:r>
    </w:p>
    <w:p>
      <w:pPr>
        <w:spacing w:before="60" w:after="80" w:line="276" w:lineRule="auto"/>
      </w:pPr>
      <w:r>
        <w:rPr>
          <w:rFonts w:ascii="Calibri" w:hAnsi="Calibri"/>
          <w:color w:val="334155"/>
          <w:sz w:val="22"/>
        </w:rPr>
        <w:t>B -- "Clean (Pass)" --&gt; D["Stage 1: Multi-Signal Fraud Scoring Engine"]</w:t>
      </w:r>
    </w:p>
    <w:p>
      <w:pPr>
        <w:spacing w:before="60" w:after="80" w:line="276" w:lineRule="auto"/>
      </w:pPr>
      <w:r>
        <w:rPr>
          <w:rFonts w:ascii="Calibri" w:hAnsi="Calibri"/>
          <w:color w:val="334155"/>
          <w:sz w:val="22"/>
        </w:rPr>
        <w:t>D --&gt; E["1. Device Integrity (Root, VPN, Proxy, Impossible Travel)"]</w:t>
      </w:r>
    </w:p>
    <w:p>
      <w:pPr>
        <w:spacing w:before="60" w:after="80" w:line="276" w:lineRule="auto"/>
      </w:pPr>
      <w:r>
        <w:rPr>
          <w:rFonts w:ascii="Calibri" w:hAnsi="Calibri"/>
          <w:color w:val="334155"/>
          <w:sz w:val="22"/>
        </w:rPr>
        <w:t>D --&gt; F["2. Behavioral Signals (Copy-Paste ID, Session Anomalies)"]</w:t>
      </w:r>
    </w:p>
    <w:p>
      <w:pPr>
        <w:spacing w:before="60" w:after="80" w:line="276" w:lineRule="auto"/>
      </w:pPr>
      <w:r>
        <w:rPr>
          <w:rFonts w:ascii="Calibri" w:hAnsi="Calibri"/>
          <w:color w:val="334155"/>
          <w:sz w:val="22"/>
        </w:rPr>
        <w:t>D --&gt; G["3. Velocity Signals (Same IP Bursts, Cross-Lender 30d)"]</w:t>
      </w:r>
    </w:p>
    <w:p>
      <w:pPr>
        <w:spacing w:before="60" w:after="80" w:line="276" w:lineRule="auto"/>
      </w:pPr>
      <w:r>
        <w:rPr>
          <w:rFonts w:ascii="Calibri" w:hAnsi="Calibri"/>
          <w:color w:val="334155"/>
          <w:sz w:val="22"/>
        </w:rPr>
        <w:t>E &amp; F &amp; G --&gt; H["LightGBM Fraud Model / Heuristics"]</w:t>
      </w:r>
    </w:p>
    <w:p>
      <w:pPr>
        <w:spacing w:before="120" w:after="120"/>
        <w:ind w:left="432"/>
      </w:pPr>
      <w:r>
        <w:rPr>
          <w:rFonts w:ascii="Consolas" w:hAnsi="Consolas"/>
          <w:b/>
          <w:color w:val="0E7490"/>
          <w:sz w:val="21"/>
        </w:rPr>
        <w:t>H --&gt; I["P02 Score = 100 - Total Fraud Penalty"]</w:t>
      </w:r>
    </w:p>
    <w:p>
      <w:pPr>
        <w:keepNext/>
        <w:spacing w:before="320" w:after="80"/>
      </w:pPr>
      <w:r>
        <w:rPr>
          <w:rFonts w:ascii="Calibri" w:hAnsi="Calibri"/>
          <w:b/>
          <w:color w:val="1E3A8A"/>
          <w:sz w:val="30"/>
        </w:rPr>
        <w:t>3. Key Risk Signal Breakdown</w:t>
      </w:r>
    </w:p>
    <w:p>
      <w:pPr>
        <w:spacing w:before="60" w:after="80" w:line="276" w:lineRule="auto"/>
      </w:pPr>
      <w:r>
        <w:rPr>
          <w:rFonts w:ascii="Calibri" w:hAnsi="Calibri"/>
          <w:color w:val="334155"/>
          <w:sz w:val="22"/>
        </w:rPr>
        <w:t>A. Hardware &amp; Network Integrity (Device Spoofing)</w:t>
      </w:r>
    </w:p>
    <w:p>
      <w:pPr>
        <w:spacing w:before="60" w:after="80" w:line="276" w:lineRule="auto"/>
      </w:pPr>
      <w:r>
        <w:rPr>
          <w:rFonts w:ascii="Calibri" w:hAnsi="Calibri"/>
          <w:color w:val="334155"/>
          <w:sz w:val="22"/>
        </w:rPr>
        <w:t>Emulator Detection (Hard Knockout): Professional fraud syndicates use virtual Android emulators (e.g., Bluestacks, Nox) on desktop servers to mass-submit applications. If an emulator environment is detected, it is an instant Stage 0 auto-decline.</w:t>
      </w:r>
    </w:p>
    <w:p>
      <w:pPr>
        <w:spacing w:before="60" w:after="80" w:line="276" w:lineRule="auto"/>
      </w:pPr>
      <w:r>
        <w:rPr>
          <w:rFonts w:ascii="Calibri" w:hAnsi="Calibri"/>
          <w:color w:val="334155"/>
          <w:sz w:val="22"/>
        </w:rPr>
        <w:t>Rooted / Jailbroken OS (+25 penalty): Rooted operating systems allow bad actors to bypass anti-tampering checks, fake geolocation, and inject fake camera feeds.</w:t>
      </w:r>
    </w:p>
    <w:p>
      <w:pPr>
        <w:spacing w:before="60" w:after="80" w:line="276" w:lineRule="auto"/>
      </w:pPr>
      <w:r>
        <w:rPr>
          <w:rFonts w:ascii="Calibri" w:hAnsi="Calibri"/>
          <w:color w:val="334155"/>
          <w:sz w:val="22"/>
        </w:rPr>
        <w:t>VPN / Proxy / Tor Routing (+8 to +10 penalty): Hiding legitimate residential ISP addresses indicates deliberate evasion.</w:t>
      </w:r>
    </w:p>
    <w:p>
      <w:pPr>
        <w:spacing w:before="60" w:after="80" w:line="276" w:lineRule="auto"/>
      </w:pPr>
      <w:r>
        <w:rPr>
          <w:rFonts w:ascii="Calibri" w:hAnsi="Calibri"/>
          <w:color w:val="334155"/>
          <w:sz w:val="22"/>
        </w:rPr>
        <w:t>Timezone vs. GPS Mismatch (+12 penalty): E.g., An IP address indicating London while device locale or GPS coordinates indicate Karachi.</w:t>
      </w:r>
    </w:p>
    <w:p>
      <w:pPr>
        <w:spacing w:before="60" w:after="80" w:line="276" w:lineRule="auto"/>
      </w:pPr>
      <w:r>
        <w:rPr>
          <w:rFonts w:ascii="Calibri" w:hAnsi="Calibri"/>
          <w:color w:val="334155"/>
          <w:sz w:val="22"/>
        </w:rPr>
        <w:t>Impossible Travel Velocity (+15 penalty): Successive logins across geographically distant locations within a time window that is physically impossible to travel.</w:t>
      </w:r>
    </w:p>
    <w:p>
      <w:pPr>
        <w:spacing w:before="60" w:after="80" w:line="276" w:lineRule="auto"/>
      </w:pPr>
      <w:r>
        <w:rPr>
          <w:rFonts w:ascii="Calibri" w:hAnsi="Calibri"/>
          <w:color w:val="334155"/>
          <w:sz w:val="22"/>
        </w:rPr>
        <w:t>B. Behavioral Biometrics (Human vs. Bot / Script)</w:t>
      </w:r>
    </w:p>
    <w:p>
      <w:pPr>
        <w:spacing w:before="60" w:after="80" w:line="276" w:lineRule="auto"/>
      </w:pPr>
      <w:r>
        <w:rPr>
          <w:rFonts w:ascii="Calibri" w:hAnsi="Calibri"/>
          <w:color w:val="334155"/>
          <w:sz w:val="22"/>
        </w:rPr>
        <w:t>Copy-Paste in CNIC / Name Fields (+8 penalty): Legitimate human applicants type their own name and national ID number by hand. Automated scripts and stolen identity brokers almost always paste victim details directly from spreadsheets.</w:t>
      </w:r>
    </w:p>
    <w:p>
      <w:pPr>
        <w:spacing w:before="60" w:after="80" w:line="276" w:lineRule="auto"/>
      </w:pPr>
      <w:r>
        <w:rPr>
          <w:rFonts w:ascii="Calibri" w:hAnsi="Calibri"/>
          <w:color w:val="334155"/>
          <w:sz w:val="22"/>
        </w:rPr>
        <w:t>Session Replay Anomaly &amp; Hesitation Scores (+10 to +15 penalty): Machine learning models measure millisecond pauses between form fields. Abnormal pauses suggest an attacker looking up credentials on a second screen.</w:t>
      </w:r>
    </w:p>
    <w:p>
      <w:pPr>
        <w:spacing w:before="60" w:after="80" w:line="276" w:lineRule="auto"/>
      </w:pPr>
      <w:r>
        <w:rPr>
          <w:rFonts w:ascii="Calibri" w:hAnsi="Calibri"/>
          <w:color w:val="334155"/>
          <w:sz w:val="22"/>
        </w:rPr>
        <w:t>C. Syndicate &amp; Velocity Attacks (Cross-Lender Bust-Out)</w:t>
      </w:r>
    </w:p>
    <w:p>
      <w:pPr>
        <w:spacing w:before="60" w:after="80" w:line="276" w:lineRule="auto"/>
      </w:pPr>
      <w:r>
        <w:rPr>
          <w:rFonts w:ascii="Calibri" w:hAnsi="Calibri"/>
          <w:color w:val="334155"/>
          <w:sz w:val="22"/>
        </w:rPr>
        <w:t>IP Clustering (app_applications_same_ip_24h): Multiple unique identities applying from the exact same residential IP address within 24 hours indicates a "credit ring" or loan shark farm.</w:t>
      </w:r>
    </w:p>
    <w:p>
      <w:pPr>
        <w:spacing w:before="60" w:after="80" w:line="276" w:lineRule="auto"/>
      </w:pPr>
      <w:r>
        <w:rPr>
          <w:rFonts w:ascii="Calibri" w:hAnsi="Calibri"/>
          <w:color w:val="334155"/>
          <w:sz w:val="22"/>
        </w:rPr>
        <w:t>Cross-Lender Velocity (app_cross_lender_velocity_30d): A borrower applying across 4+ fintechs/banks in 30 days is exhibiting "loan stacking" behavior (attempting to borrow from everyone simultaneously before defaults register on credit bureaus).</w:t>
      </w:r>
    </w:p>
    <w:p>
      <w:pPr>
        <w:keepNext/>
        <w:spacing w:before="320" w:after="80"/>
      </w:pPr>
      <w:r>
        <w:rPr>
          <w:rFonts w:ascii="Calibri" w:hAnsi="Calibri"/>
          <w:b/>
          <w:color w:val="1E3A8A"/>
          <w:sz w:val="30"/>
        </w:rPr>
        <w:t>4. Mathematical Score Formulation</w:t>
      </w:r>
    </w:p>
    <w:p>
      <w:pPr>
        <w:spacing w:before="60" w:after="80" w:line="276" w:lineRule="auto"/>
      </w:pPr>
      <w:r>
        <w:rPr>
          <w:rFonts w:ascii="Calibri" w:hAnsi="Calibri"/>
          <w:color w:val="334155"/>
          <w:sz w:val="22"/>
        </w:rPr>
        <w:t>In the primary AI engine, these signals are ingested by a specialized LightGBM Fraud Risk Model (lgb_pillar_fraud_risk.joblib):</w:t>
      </w:r>
    </w:p>
    <w:p>
      <w:pPr>
        <w:keepNext/>
        <w:spacing w:before="320" w:after="80"/>
      </w:pPr>
      <w:r>
        <w:rPr>
          <w:rFonts w:ascii="Calibri" w:hAnsi="Calibri"/>
          <w:b/>
          <w:color w:val="1E3A8A"/>
          <w:sz w:val="30"/>
        </w:rPr>
        <w:t>P02 Score = clip(100.0 - Predicted Fraud Risk(xdevice, xbehavior, x_velocity), ; 0, ; 100)</w:t>
      </w:r>
    </w:p>
    <w:p>
      <w:pPr>
        <w:spacing w:before="60" w:after="80" w:line="276" w:lineRule="auto"/>
      </w:pPr>
      <w:r>
        <w:rPr>
          <w:rFonts w:ascii="Calibri" w:hAnsi="Calibri"/>
          <w:color w:val="334155"/>
          <w:sz w:val="22"/>
        </w:rPr>
        <w:t>Score 85 - 100 (Ultra Low Fraud Risk): Authentic physical smartphone, residential ISP, natural typing cadence, single application (e.g., #1 Customer CUST0008856 scored 83.9).</w:t>
      </w:r>
    </w:p>
    <w:p>
      <w:pPr>
        <w:spacing w:before="60" w:after="80" w:line="276" w:lineRule="auto"/>
      </w:pPr>
      <w:r>
        <w:rPr>
          <w:rFonts w:ascii="Calibri" w:hAnsi="Calibri"/>
          <w:color w:val="334155"/>
          <w:sz w:val="22"/>
        </w:rPr>
        <w:t>50 - 84 (Moderate / Acceptable Risk): Occasional VPN usage or commercial office IP, but verified device identity.</w:t>
      </w:r>
    </w:p>
    <w:p>
      <w:pPr>
        <w:spacing w:before="60" w:after="80" w:line="276" w:lineRule="auto"/>
      </w:pPr>
      <w:r>
        <w:rPr>
          <w:rFonts w:ascii="Calibri" w:hAnsi="Calibri"/>
          <w:color w:val="334155"/>
          <w:sz w:val="22"/>
        </w:rPr>
        <w:t>&lt; 50 (High Fraud Risk / Refer): Rooted phone, copy-pasting identity fields, high velocity across multiple lenders.</w:t>
      </w:r>
    </w:p>
    <w:p>
      <w:pPr>
        <w:spacing w:before="60" w:after="80" w:line="276" w:lineRule="auto"/>
      </w:pPr>
      <w:r>
        <w:rPr>
          <w:rFonts w:ascii="Calibri" w:hAnsi="Calibri"/>
          <w:color w:val="334155"/>
          <w:sz w:val="22"/>
        </w:rPr>
        <w:t>Hard Stop Gate: Emulators, active sanctions, or confirmed fraud flags completely bypass the score and force an immediate DECLINE.</w:t>
      </w:r>
    </w:p>
    <w:p>
      <w:pPr>
        <w:spacing w:before="60" w:after="80" w:line="276" w:lineRule="auto"/>
      </w:pPr>
      <w:r>
        <w:rPr>
          <w:rFonts w:ascii="Calibri" w:hAnsi="Calibri"/>
          <w:color w:val="334155"/>
          <w:sz w:val="22"/>
        </w:rPr>
        <w:t>In the final composite stacking layer, P02 carries a 7% mathematical weight, ensuring no high-score applicant can slip through if fraud indicators are present</w:t>
      </w:r>
    </w:p>
    <w:p>
      <w:pPr>
        <w:spacing w:before="60" w:after="80" w:line="276" w:lineRule="auto"/>
      </w:pPr>
      <w:r>
        <w:rPr>
          <w:rFonts w:ascii="Calibri" w:hAnsi="Calibri"/>
          <w:color w:val="334155"/>
          <w:sz w:val="22"/>
        </w:rPr>
        <w:t>In theory, the P03 Income Pillar Score (0 - 100) measures an applicant's earning magnitude, income predictability, and cash-flow certainty.</w:t>
      </w:r>
    </w:p>
    <w:p>
      <w:pPr>
        <w:spacing w:before="60" w:after="80" w:line="276" w:lineRule="auto"/>
      </w:pPr>
      <w:r>
        <w:rPr>
          <w:rFonts w:ascii="Calibri" w:hAnsi="Calibri"/>
          <w:color w:val="334155"/>
          <w:sz w:val="22"/>
        </w:rPr>
        <w:t>Carrying a 12% weight in the final Stacking Meta-Learner, P03 is one of the heaviest pillars in the platform.</w:t>
      </w:r>
    </w:p>
    <w:p>
      <w:pPr>
        <w:spacing w:before="60" w:after="80" w:line="276" w:lineRule="auto"/>
      </w:pPr>
      <w:r>
        <w:rPr>
          <w:rFonts w:ascii="Calibri" w:hAnsi="Calibri"/>
          <w:color w:val="334155"/>
          <w:sz w:val="22"/>
        </w:rPr>
        <w:t>Unlike legacy banking systems that look at a single declared salary slip, our engine uses Uncertainty-Aware Quantile AI (P??, P??, P??).</w:t>
      </w:r>
    </w:p>
    <w:p>
      <w:pPr>
        <w:keepNext/>
        <w:spacing w:before="320" w:after="80"/>
      </w:pPr>
      <w:r>
        <w:rPr>
          <w:rFonts w:ascii="Calibri" w:hAnsi="Calibri"/>
          <w:b/>
          <w:color w:val="1E3A8A"/>
          <w:sz w:val="30"/>
        </w:rPr>
        <w:t>1. Data Sources Feeding P03</w:t>
      </w:r>
    </w:p>
    <w:p>
      <w:pPr>
        <w:keepNext/>
        <w:spacing w:before="320" w:after="80"/>
      </w:pPr>
      <w:r>
        <w:rPr>
          <w:rFonts w:ascii="Calibri" w:hAnsi="Calibri"/>
          <w:b/>
          <w:color w:val="1E3A8A"/>
          <w:sz w:val="30"/>
        </w:rPr>
        <w:t>P03 combines two core data families:</w:t>
      </w:r>
    </w:p>
    <w:p>
      <w:pPr>
        <w:spacing w:before="60" w:after="80" w:line="276" w:lineRule="auto"/>
      </w:pPr>
      <w:r>
        <w:rPr>
          <w:rFonts w:ascii="Calibri" w:hAnsi="Calibri"/>
          <w:color w:val="334155"/>
          <w:sz w:val="22"/>
        </w:rPr>
        <w:t>Family F12 (Employment &amp; Income): Declared salary, employer grade, industry sector, employment tenure, and formal vs. gig status.</w:t>
      </w:r>
    </w:p>
    <w:p>
      <w:pPr>
        <w:spacing w:before="60" w:after="80" w:line="276" w:lineRule="auto"/>
      </w:pPr>
      <w:r>
        <w:rPr>
          <w:rFonts w:ascii="Calibri" w:hAnsi="Calibri"/>
          <w:color w:val="334155"/>
          <w:sz w:val="22"/>
        </w:rPr>
        <w:t>Family F6 (Banking &amp; Open Banking): Inflow frequencies, monthly credit turnover, salary narration matches, and digital wallet credits.</w:t>
      </w:r>
    </w:p>
    <w:p>
      <w:pPr>
        <w:keepNext/>
        <w:spacing w:before="320" w:after="80"/>
      </w:pPr>
      <w:r>
        <w:rPr>
          <w:rFonts w:ascii="Calibri" w:hAnsi="Calibri"/>
          <w:b/>
          <w:color w:val="1E3A8A"/>
          <w:sz w:val="30"/>
        </w:rPr>
        <w:t>2. The Theoretical Formulation (3-Layer Engine)</w:t>
      </w:r>
    </w:p>
    <w:p>
      <w:pPr>
        <w:keepNext/>
        <w:spacing w:before="320" w:after="80"/>
      </w:pPr>
      <w:r>
        <w:rPr>
          <w:rFonts w:ascii="Calibri" w:hAnsi="Calibri"/>
          <w:b/>
          <w:color w:val="1E3A8A"/>
          <w:sz w:val="30"/>
        </w:rPr>
        <w:t>P03 Score = Base Magnitude(P??) - Uncertainty Penalty(?P) + Stability &amp; Verification Bonuses</w:t>
      </w:r>
    </w:p>
    <w:p>
      <w:pPr>
        <w:spacing w:before="60" w:after="80" w:line="276" w:lineRule="auto"/>
      </w:pPr>
      <w:r>
        <w:rPr>
          <w:rFonts w:ascii="Calibri" w:hAnsi="Calibri"/>
          <w:color w:val="334155"/>
          <w:sz w:val="22"/>
        </w:rPr>
        <w:t>mermaid</w:t>
      </w:r>
    </w:p>
    <w:p>
      <w:pPr>
        <w:spacing w:before="60" w:after="80" w:line="276" w:lineRule="auto"/>
      </w:pPr>
      <w:r>
        <w:rPr>
          <w:rFonts w:ascii="Calibri" w:hAnsi="Calibri"/>
          <w:color w:val="334155"/>
          <w:sz w:val="22"/>
        </w:rPr>
        <w:t>flowchart TD</w:t>
      </w:r>
    </w:p>
    <w:p>
      <w:pPr>
        <w:spacing w:before="60" w:after="80" w:line="276" w:lineRule="auto"/>
      </w:pPr>
      <w:r>
        <w:rPr>
          <w:rFonts w:ascii="Calibri" w:hAnsi="Calibri"/>
          <w:color w:val="334155"/>
          <w:sz w:val="22"/>
        </w:rPr>
        <w:t>A["Quantile Income Models&lt;br/&gt;P10 (Floor), P50 (Median), P90 (Ceiling)"] --&gt; B["1. Base Earning Bracket&lt;br/&gt;(PKR Purchasing Power Benchmark: 10 - 97 pts)"]</w:t>
      </w:r>
    </w:p>
    <w:p>
      <w:pPr>
        <w:spacing w:before="60" w:after="80" w:line="276" w:lineRule="auto"/>
      </w:pPr>
      <w:r>
        <w:rPr>
          <w:rFonts w:ascii="Calibri" w:hAnsi="Calibri"/>
          <w:color w:val="334155"/>
          <w:sz w:val="22"/>
        </w:rPr>
        <w:t>A --&gt; C["2. Volatility / Bandwidth Penalty&lt;br/&gt;Bandwidth % = (P90 - P10) / P50"]</w:t>
      </w:r>
    </w:p>
    <w:p>
      <w:pPr>
        <w:spacing w:before="60" w:after="80" w:line="276" w:lineRule="auto"/>
      </w:pPr>
      <w:r>
        <w:rPr>
          <w:rFonts w:ascii="Calibri" w:hAnsi="Calibri"/>
          <w:color w:val="334155"/>
          <w:sz w:val="22"/>
        </w:rPr>
        <w:t>D["Bank Statement Signals&lt;br/&gt;Payroll Narration + Tenure"] --&gt; E["3. Stability &amp; Verification Bonuses&lt;br/&gt;Confidence + Consistency + Bank-Verified Match"]</w:t>
      </w:r>
    </w:p>
    <w:p>
      <w:pPr>
        <w:spacing w:before="60" w:after="80" w:line="276" w:lineRule="auto"/>
      </w:pPr>
      <w:r>
        <w:rPr>
          <w:rFonts w:ascii="Calibri" w:hAnsi="Calibri"/>
          <w:color w:val="334155"/>
          <w:sz w:val="22"/>
        </w:rPr>
        <w:t>B &amp; C &amp; E --&gt; F["Final P03 Score (0 - 100)"]</w:t>
      </w:r>
    </w:p>
    <w:p>
      <w:pPr>
        <w:keepNext/>
        <w:spacing w:before="320" w:after="80"/>
      </w:pPr>
      <w:r>
        <w:rPr>
          <w:rFonts w:ascii="Calibri" w:hAnsi="Calibri"/>
          <w:b/>
          <w:color w:val="1E3A8A"/>
          <w:sz w:val="30"/>
        </w:rPr>
        <w:t>3. Step-by-Step Mathematical Calculation</w:t>
      </w:r>
    </w:p>
    <w:p>
      <w:pPr>
        <w:keepNext/>
        <w:spacing w:before="200" w:after="60"/>
      </w:pPr>
      <w:r>
        <w:rPr>
          <w:rFonts w:ascii="Calibri" w:hAnsi="Calibri"/>
          <w:b/>
          <w:color w:val="0F172A"/>
          <w:sz w:val="24"/>
        </w:rPr>
        <w:t>Step 1: Base Income Magnitude Score (P?? Median Baseline)</w:t>
      </w:r>
    </w:p>
    <w:p>
      <w:pPr>
        <w:spacing w:before="60" w:after="80" w:line="276" w:lineRule="auto"/>
      </w:pPr>
      <w:r>
        <w:rPr>
          <w:rFonts w:ascii="Calibri" w:hAnsi="Calibri"/>
          <w:color w:val="334155"/>
          <w:sz w:val="22"/>
        </w:rPr>
        <w:t>The engine benchmarks the applicant's median monthly income (P??) against national economic distribution brackets (PKR):</w:t>
      </w:r>
    </w:p>
    <w:p>
      <w:pPr>
        <w:keepNext/>
        <w:spacing w:before="200" w:after="60"/>
      </w:pPr>
      <w:r>
        <w:rPr>
          <w:rFonts w:ascii="Calibri" w:hAnsi="Calibri"/>
          <w:b/>
          <w:color w:val="0F172A"/>
          <w:sz w:val="24"/>
        </w:rPr>
        <w:t>Step 2: Income Uncertainty / Volatility Bandwidth Penalty</w:t>
      </w:r>
    </w:p>
    <w:p>
      <w:pPr>
        <w:spacing w:before="60" w:after="80" w:line="276" w:lineRule="auto"/>
      </w:pPr>
      <w:r>
        <w:rPr>
          <w:rFonts w:ascii="Calibri" w:hAnsi="Calibri"/>
          <w:color w:val="334155"/>
          <w:sz w:val="22"/>
        </w:rPr>
        <w:t>A borrower who earns PKR 100,000 like clockwork every month is far safer than a freelancer whose income swings between PKR 20,000 and PKR 180,000.</w:t>
        <w:br/>
        <w:t>The engine measures Income Uncertainty Bandwidth:</w:t>
      </w:r>
    </w:p>
    <w:p>
      <w:pPr>
        <w:spacing w:before="60" w:after="80" w:line="276" w:lineRule="auto"/>
      </w:pPr>
      <w:r>
        <w:rPr>
          <w:rFonts w:ascii="Calibri" w:hAnsi="Calibri"/>
          <w:color w:val="334155"/>
          <w:sz w:val="22"/>
        </w:rPr>
        <w:t>Bandwidth % = fracP?? - P??P?? ? 100</w:t>
      </w:r>
    </w:p>
    <w:p>
      <w:pPr>
        <w:spacing w:before="60" w:after="80" w:line="276" w:lineRule="auto"/>
      </w:pPr>
      <w:r>
        <w:rPr>
          <w:rFonts w:ascii="Calibri" w:hAnsi="Calibri"/>
          <w:color w:val="334155"/>
          <w:sz w:val="22"/>
        </w:rPr>
        <w:t>Tight Bandwidth (&lt; 30%): 0 penalty (Rock-solid salaried employee).</w:t>
      </w:r>
    </w:p>
    <w:p>
      <w:pPr>
        <w:spacing w:before="60" w:after="80" w:line="276" w:lineRule="auto"/>
      </w:pPr>
      <w:r>
        <w:rPr>
          <w:rFonts w:ascii="Calibri" w:hAnsi="Calibri"/>
          <w:color w:val="334155"/>
          <w:sz w:val="22"/>
        </w:rPr>
        <w:t>Moderate Bandwidth (30% - 50%): -3 pts penalty (Slight commission or overtime variance).</w:t>
      </w:r>
    </w:p>
    <w:p>
      <w:pPr>
        <w:spacing w:before="60" w:after="80" w:line="276" w:lineRule="auto"/>
      </w:pPr>
      <w:r>
        <w:rPr>
          <w:rFonts w:ascii="Calibri" w:hAnsi="Calibri"/>
          <w:color w:val="334155"/>
          <w:sz w:val="22"/>
        </w:rPr>
        <w:t>High Bandwidth (50% - 80%): -7 pts penalty (SME business owner with seasonal sales).</w:t>
      </w:r>
    </w:p>
    <w:p>
      <w:pPr>
        <w:spacing w:before="60" w:after="80" w:line="276" w:lineRule="auto"/>
      </w:pPr>
      <w:r>
        <w:rPr>
          <w:rFonts w:ascii="Calibri" w:hAnsi="Calibri"/>
          <w:color w:val="334155"/>
          <w:sz w:val="22"/>
        </w:rPr>
        <w:t>Extreme Bandwidth (&gt; 80%): -12 pts penalty (Volatile gig-worker or high-risk informal income).</w:t>
      </w:r>
    </w:p>
    <w:p>
      <w:pPr>
        <w:keepNext/>
        <w:spacing w:before="200" w:after="60"/>
      </w:pPr>
      <w:r>
        <w:rPr>
          <w:rFonts w:ascii="Calibri" w:hAnsi="Calibri"/>
          <w:b/>
          <w:color w:val="0F172A"/>
          <w:sz w:val="24"/>
        </w:rPr>
        <w:t>Step 3: Stability, Confidence &amp; Bank-Verification Bonuses</w:t>
      </w:r>
    </w:p>
    <w:p>
      <w:pPr>
        <w:spacing w:before="60" w:after="80" w:line="276" w:lineRule="auto"/>
      </w:pPr>
      <w:r>
        <w:rPr>
          <w:rFonts w:ascii="Calibri" w:hAnsi="Calibri"/>
          <w:color w:val="334155"/>
          <w:sz w:val="22"/>
        </w:rPr>
        <w:t>The engine rewards verified and multi-cycle stability:</w:t>
      </w:r>
    </w:p>
    <w:p>
      <w:pPr>
        <w:spacing w:before="60" w:after="80" w:line="276" w:lineRule="auto"/>
      </w:pPr>
      <w:r>
        <w:rPr>
          <w:rFonts w:ascii="Calibri" w:hAnsi="Calibri"/>
          <w:color w:val="334155"/>
          <w:sz w:val="22"/>
        </w:rPr>
        <w:t>Income Confidence Bonus (Up to +8 pts):</w:t>
        <w:br/>
        <w:t>Measures the completeness of historical data points feeding the estimation.</w:t>
      </w:r>
    </w:p>
    <w:p>
      <w:pPr>
        <w:spacing w:before="60" w:after="80" w:line="276" w:lineRule="auto"/>
      </w:pPr>
      <w:r>
        <w:rPr>
          <w:rFonts w:ascii="Calibri" w:hAnsi="Calibri"/>
          <w:color w:val="334155"/>
          <w:sz w:val="22"/>
        </w:rPr>
        <w:t>Income Stability Score (Up to +5 pts):</w:t>
        <w:br/>
        <w:t>Measures low standard deviation in consecutive monthly inflow dates (consistent paydays).</w:t>
      </w:r>
    </w:p>
    <w:p>
      <w:pPr>
        <w:spacing w:before="60" w:after="80" w:line="276" w:lineRule="auto"/>
      </w:pPr>
      <w:r>
        <w:rPr>
          <w:rFonts w:ascii="Calibri" w:hAnsi="Calibri"/>
          <w:color w:val="334155"/>
          <w:sz w:val="22"/>
        </w:rPr>
        <w:t>Direct Bank-Statement Match (salary_verified_bank) (+5 pts):</w:t>
        <w:br/>
        <w:t>Direct API verification showing an employer IBAN transfer matches the declared salary slip.</w:t>
      </w:r>
    </w:p>
    <w:p>
      <w:pPr>
        <w:keepNext/>
        <w:spacing w:before="320" w:after="80"/>
      </w:pPr>
      <w:r>
        <w:rPr>
          <w:rFonts w:ascii="Calibri" w:hAnsi="Calibri"/>
          <w:b/>
          <w:color w:val="1E3A8A"/>
          <w:sz w:val="30"/>
        </w:rPr>
        <w:t>4. Stage 0 Hard Refusal Rule (Zero-Income Knockout)</w:t>
      </w:r>
    </w:p>
    <w:p>
      <w:pPr>
        <w:spacing w:before="60" w:after="80" w:line="276" w:lineRule="auto"/>
      </w:pPr>
      <w:r>
        <w:rPr>
          <w:rFonts w:ascii="Calibri" w:hAnsi="Calibri"/>
          <w:color w:val="334155"/>
          <w:sz w:val="22"/>
        </w:rPr>
        <w:t>If the conservative floor P?? ? 0 or total monthly income is zero:</w:t>
      </w:r>
    </w:p>
    <w:p>
      <w:pPr>
        <w:spacing w:before="60" w:after="80" w:line="276" w:lineRule="auto"/>
      </w:pPr>
      <w:r>
        <w:rPr>
          <w:rFonts w:ascii="Calibri" w:hAnsi="Calibri"/>
          <w:color w:val="334155"/>
          <w:sz w:val="22"/>
        </w:rPr>
        <w:t>The customer triggers the ZERO_INCOME Hard Stop Gate.</w:t>
      </w:r>
    </w:p>
    <w:p>
      <w:pPr>
        <w:spacing w:before="60" w:after="80" w:line="276" w:lineRule="auto"/>
      </w:pPr>
      <w:r>
        <w:rPr>
          <w:rFonts w:ascii="Calibri" w:hAnsi="Calibri"/>
          <w:color w:val="334155"/>
          <w:sz w:val="22"/>
        </w:rPr>
        <w:t>The composite score is immediately forced to 300, Grade G, and credit decision DECLINED, protecting the bank against phantom or non-earning applicants.</w:t>
      </w:r>
    </w:p>
    <w:p>
      <w:pPr>
        <w:spacing w:before="60" w:after="80" w:line="276" w:lineRule="auto"/>
      </w:pPr>
      <w:r>
        <w:rPr>
          <w:rFonts w:ascii="Calibri" w:hAnsi="Calibri"/>
          <w:color w:val="334155"/>
          <w:sz w:val="22"/>
        </w:rPr>
        <w:t>Real-World Example from Our Portfolio:</w:t>
      </w:r>
    </w:p>
    <w:p>
      <w:pPr>
        <w:spacing w:before="60" w:after="80" w:line="276" w:lineRule="auto"/>
      </w:pPr>
      <w:r>
        <w:rPr>
          <w:rFonts w:ascii="Calibri" w:hAnsi="Calibri"/>
          <w:color w:val="334155"/>
          <w:sz w:val="22"/>
        </w:rPr>
        <w:t>#1 Super-Prime Applicant (CUST0008856):</w:t>
      </w:r>
    </w:p>
    <w:p>
      <w:pPr>
        <w:spacing w:before="120" w:after="120"/>
        <w:ind w:left="432"/>
      </w:pPr>
      <w:r>
        <w:rPr>
          <w:rFonts w:ascii="Consolas" w:hAnsi="Consolas"/>
          <w:b/>
          <w:color w:val="0E7490"/>
          <w:sz w:val="21"/>
        </w:rPr>
        <w:t>P?? = PKR 199,826 rightarrow Base Score = 78</w:t>
      </w:r>
    </w:p>
    <w:p>
      <w:pPr>
        <w:spacing w:before="60" w:after="80" w:line="276" w:lineRule="auto"/>
      </w:pPr>
      <w:r>
        <w:rPr>
          <w:rFonts w:ascii="Calibri" w:hAnsi="Calibri"/>
          <w:color w:val="334155"/>
          <w:sz w:val="22"/>
        </w:rPr>
        <w:t>Tight Bandwidth (P?? = 171k, P?? = 241k) rightarrow Low penalty</w:t>
      </w:r>
    </w:p>
    <w:p>
      <w:pPr>
        <w:spacing w:before="60" w:after="80" w:line="276" w:lineRule="auto"/>
      </w:pPr>
      <w:r>
        <w:rPr>
          <w:rFonts w:ascii="Calibri" w:hAnsi="Calibri"/>
          <w:color w:val="334155"/>
          <w:sz w:val="22"/>
        </w:rPr>
        <w:t>High stability &amp; corporate employer rightarrow Max bonuses</w:t>
      </w:r>
    </w:p>
    <w:p>
      <w:pPr>
        <w:spacing w:before="60" w:after="80" w:line="276" w:lineRule="auto"/>
      </w:pPr>
      <w:r>
        <w:rPr>
          <w:rFonts w:ascii="Calibri" w:hAnsi="Calibri"/>
          <w:color w:val="334155"/>
          <w:sz w:val="22"/>
        </w:rPr>
        <w:t>Final P03 Score: 86.3 / 100 (Demonstrating top-tier creditworthiness).</w:t>
      </w:r>
    </w:p>
    <w:p>
      <w:pPr>
        <w:keepNext/>
        <w:spacing w:before="320" w:after="80"/>
      </w:pPr>
      <w:r>
        <w:rPr>
          <w:rFonts w:ascii="Calibri" w:hAnsi="Calibri"/>
          <w:b/>
          <w:color w:val="1E3A8A"/>
          <w:sz w:val="30"/>
        </w:rPr>
        <w:t>1. Data Sources Feeding P04</w:t>
      </w:r>
    </w:p>
    <w:p>
      <w:pPr>
        <w:keepNext/>
        <w:spacing w:before="320" w:after="80"/>
      </w:pPr>
      <w:r>
        <w:rPr>
          <w:rFonts w:ascii="Calibri" w:hAnsi="Calibri"/>
          <w:b/>
          <w:color w:val="1E3A8A"/>
          <w:sz w:val="30"/>
        </w:rPr>
        <w:t>P04 is powered by real transaction banking feeds:</w:t>
      </w:r>
    </w:p>
    <w:p>
      <w:pPr>
        <w:spacing w:before="60" w:after="80" w:line="276" w:lineRule="auto"/>
      </w:pPr>
      <w:r>
        <w:rPr>
          <w:rFonts w:ascii="Calibri" w:hAnsi="Calibri"/>
          <w:color w:val="334155"/>
          <w:sz w:val="22"/>
        </w:rPr>
        <w:t>Family F6 (Banking &amp; Open Banking): 12-month credit turnover, debit turnover, Average Monthly Balance (AMB), overdraft line utilization, and bounced cheques / NSF incidents.</w:t>
      </w:r>
    </w:p>
    <w:p>
      <w:pPr>
        <w:spacing w:before="60" w:after="80" w:line="276" w:lineRule="auto"/>
      </w:pPr>
      <w:r>
        <w:rPr>
          <w:rFonts w:ascii="Calibri" w:hAnsi="Calibri"/>
          <w:color w:val="334155"/>
          <w:sz w:val="22"/>
        </w:rPr>
        <w:t>Family F8 (Utility &amp; Rent Subscriptions): Fixed recurring debit commitments (electricity, gas, telco postpaid bills, rent).</w:t>
      </w:r>
    </w:p>
    <w:p>
      <w:pPr>
        <w:keepNext/>
        <w:spacing w:before="320" w:after="80"/>
      </w:pPr>
      <w:r>
        <w:rPr>
          <w:rFonts w:ascii="Calibri" w:hAnsi="Calibri"/>
          <w:b/>
          <w:color w:val="1E3A8A"/>
          <w:sz w:val="30"/>
        </w:rPr>
        <w:t>2. The Theoretical Formulation</w:t>
      </w:r>
    </w:p>
    <w:p>
      <w:pPr>
        <w:keepNext/>
        <w:spacing w:before="320" w:after="80"/>
      </w:pPr>
      <w:r>
        <w:rPr>
          <w:rFonts w:ascii="Calibri" w:hAnsi="Calibri"/>
          <w:b/>
          <w:color w:val="1E3A8A"/>
          <w:sz w:val="30"/>
        </w:rPr>
        <w:t>P04 Score = Net Flow Score + Liquidity Buffer Score + Savings Bonus - Distress Penalties</w:t>
      </w:r>
    </w:p>
    <w:p>
      <w:pPr>
        <w:spacing w:before="60" w:after="80" w:line="276" w:lineRule="auto"/>
      </w:pPr>
      <w:r>
        <w:rPr>
          <w:rFonts w:ascii="Calibri" w:hAnsi="Calibri"/>
          <w:color w:val="334155"/>
          <w:sz w:val="22"/>
        </w:rPr>
        <w:t>mermaid</w:t>
      </w:r>
    </w:p>
    <w:p>
      <w:pPr>
        <w:spacing w:before="60" w:after="80" w:line="276" w:lineRule="auto"/>
      </w:pPr>
      <w:r>
        <w:rPr>
          <w:rFonts w:ascii="Calibri" w:hAnsi="Calibri"/>
          <w:color w:val="334155"/>
          <w:sz w:val="22"/>
        </w:rPr>
        <w:t>flowchart TD</w:t>
      </w:r>
    </w:p>
    <w:p>
      <w:pPr>
        <w:spacing w:before="60" w:after="80" w:line="276" w:lineRule="auto"/>
      </w:pPr>
      <w:r>
        <w:rPr>
          <w:rFonts w:ascii="Calibri" w:hAnsi="Calibri"/>
          <w:color w:val="334155"/>
          <w:sz w:val="22"/>
        </w:rPr>
        <w:t>A["12-Month Bank Statement Feed"] --&gt; B["1. Inflow vs. Outflow Ratio&lt;br/&gt;Net Flow = (Credits - Debits) / Credits"]</w:t>
      </w:r>
    </w:p>
    <w:p>
      <w:pPr>
        <w:spacing w:before="60" w:after="80" w:line="276" w:lineRule="auto"/>
      </w:pPr>
      <w:r>
        <w:rPr>
          <w:rFonts w:ascii="Calibri" w:hAnsi="Calibri"/>
          <w:color w:val="334155"/>
          <w:sz w:val="22"/>
        </w:rPr>
        <w:t>A --&gt; C["2. Liquidity Buffer (AMB / Income)&lt;br/&gt;How many weeks of buffer exist in the account?"]</w:t>
      </w:r>
    </w:p>
    <w:p>
      <w:pPr>
        <w:spacing w:before="60" w:after="80" w:line="276" w:lineRule="auto"/>
      </w:pPr>
      <w:r>
        <w:rPr>
          <w:rFonts w:ascii="Calibri" w:hAnsi="Calibri"/>
          <w:color w:val="334155"/>
          <w:sz w:val="22"/>
        </w:rPr>
        <w:t>A --&gt; D["3. Financial Distress Penalties&lt;br/&gt;Bounced Cheques, NSF Alerts, Overdraft Strain"]</w:t>
      </w:r>
    </w:p>
    <w:p>
      <w:pPr>
        <w:spacing w:before="60" w:after="80" w:line="276" w:lineRule="auto"/>
      </w:pPr>
      <w:r>
        <w:rPr>
          <w:rFonts w:ascii="Calibri" w:hAnsi="Calibri"/>
          <w:color w:val="334155"/>
          <w:sz w:val="22"/>
        </w:rPr>
        <w:t>A --&gt; E["4. Sustainable Savings Surplus&lt;br/&gt;Free cash flow after recurring bills"]</w:t>
      </w:r>
    </w:p>
    <w:p>
      <w:pPr>
        <w:spacing w:before="60" w:after="80" w:line="276" w:lineRule="auto"/>
      </w:pPr>
      <w:r>
        <w:rPr>
          <w:rFonts w:ascii="Calibri" w:hAnsi="Calibri"/>
          <w:color w:val="334155"/>
          <w:sz w:val="22"/>
        </w:rPr>
        <w:t>B &amp; C &amp; E --&gt; F["LightGBM Cash Flow Model &amp; Heuristic Calibration"]</w:t>
      </w:r>
    </w:p>
    <w:p>
      <w:pPr>
        <w:spacing w:before="60" w:after="80" w:line="276" w:lineRule="auto"/>
      </w:pPr>
      <w:r>
        <w:rPr>
          <w:rFonts w:ascii="Calibri" w:hAnsi="Calibri"/>
          <w:color w:val="334155"/>
          <w:sz w:val="22"/>
        </w:rPr>
        <w:t>D -. "Deductions" .-&gt; F</w:t>
      </w:r>
    </w:p>
    <w:p>
      <w:pPr>
        <w:spacing w:before="60" w:after="80" w:line="276" w:lineRule="auto"/>
      </w:pPr>
      <w:r>
        <w:rPr>
          <w:rFonts w:ascii="Calibri" w:hAnsi="Calibri"/>
          <w:color w:val="334155"/>
          <w:sz w:val="22"/>
        </w:rPr>
        <w:t>F --&gt; G["Final P04 Score (0 - 100)"]</w:t>
      </w:r>
    </w:p>
    <w:p>
      <w:pPr>
        <w:keepNext/>
        <w:spacing w:before="320" w:after="80"/>
      </w:pPr>
      <w:r>
        <w:rPr>
          <w:rFonts w:ascii="Calibri" w:hAnsi="Calibri"/>
          <w:b/>
          <w:color w:val="1E3A8A"/>
          <w:sz w:val="30"/>
        </w:rPr>
        <w:t>3. Key Components &amp; Mathematical Mechanics</w:t>
      </w:r>
    </w:p>
    <w:p>
      <w:pPr>
        <w:keepNext/>
        <w:spacing w:before="320" w:after="80"/>
      </w:pPr>
      <w:r>
        <w:rPr>
          <w:rFonts w:ascii="Calibri" w:hAnsi="Calibri"/>
          <w:b/>
          <w:color w:val="1E3A8A"/>
          <w:sz w:val="30"/>
        </w:rPr>
        <w:t>1. Inflow vs. Outflow Dynamics (Net Flow Ratio)</w:t>
      </w:r>
    </w:p>
    <w:p>
      <w:pPr>
        <w:spacing w:before="60" w:after="80" w:line="276" w:lineRule="auto"/>
      </w:pPr>
      <w:r>
        <w:rPr>
          <w:rFonts w:ascii="Calibri" w:hAnsi="Calibri"/>
          <w:color w:val="334155"/>
          <w:sz w:val="22"/>
        </w:rPr>
        <w:t>Measures whether the bank account is accumulating capital or bleeding cash: Net Flow Ratio = (Total Monthly Credits - Total Monthly Debits / Total Monthly Credits)</w:t>
      </w:r>
    </w:p>
    <w:p>
      <w:pPr>
        <w:spacing w:before="60" w:after="80" w:line="276" w:lineRule="auto"/>
      </w:pPr>
      <w:r>
        <w:rPr>
          <w:rFonts w:ascii="Calibri" w:hAnsi="Calibri"/>
          <w:color w:val="334155"/>
          <w:sz w:val="22"/>
        </w:rPr>
        <w:t>Net Surplus (Credits &gt; Debits): Positive score contribution (applicant lives within their means).</w:t>
      </w:r>
    </w:p>
    <w:p>
      <w:pPr>
        <w:spacing w:before="60" w:after="80" w:line="276" w:lineRule="auto"/>
      </w:pPr>
      <w:r>
        <w:rPr>
          <w:rFonts w:ascii="Calibri" w:hAnsi="Calibri"/>
          <w:color w:val="334155"/>
          <w:sz w:val="22"/>
        </w:rPr>
        <w:t>Net Deficit (Debits &gt; Credits): Immediate penalty (borrower relies on borrowing or depleting savings to survive).</w:t>
      </w:r>
    </w:p>
    <w:p>
      <w:pPr>
        <w:keepNext/>
        <w:spacing w:before="320" w:after="80"/>
      </w:pPr>
      <w:r>
        <w:rPr>
          <w:rFonts w:ascii="Calibri" w:hAnsi="Calibri"/>
          <w:b/>
          <w:color w:val="1E3A8A"/>
          <w:sz w:val="30"/>
        </w:rPr>
        <w:t>2. Average Monthly Balance (AMB) Liquidity Buffer</w:t>
      </w:r>
    </w:p>
    <w:p>
      <w:pPr>
        <w:spacing w:before="60" w:after="80" w:line="276" w:lineRule="auto"/>
      </w:pPr>
      <w:r>
        <w:rPr>
          <w:rFonts w:ascii="Calibri" w:hAnsi="Calibri"/>
          <w:color w:val="334155"/>
          <w:sz w:val="22"/>
        </w:rPr>
        <w:t>Measures the applicant's shock-absorption capacity: Liquidity Buffer Ratio = (Average Monthly Balance (AMB) / Monthly Income)</w:t>
      </w:r>
    </w:p>
    <w:p>
      <w:pPr>
        <w:spacing w:before="60" w:after="80" w:line="276" w:lineRule="auto"/>
      </w:pPr>
      <w:r>
        <w:rPr>
          <w:rFonts w:ascii="Calibri" w:hAnsi="Calibri"/>
          <w:color w:val="334155"/>
          <w:sz w:val="22"/>
        </w:rPr>
        <w:t>A borrower maintaining an AMB of 2x to 3x monthly income has a strong financial buffer to handle medical emergencies or vehicle repairs without missing an EMI (+20 to +40 pts).</w:t>
      </w:r>
    </w:p>
    <w:p>
      <w:pPr>
        <w:spacing w:before="60" w:after="80" w:line="276" w:lineRule="auto"/>
      </w:pPr>
      <w:r>
        <w:rPr>
          <w:rFonts w:ascii="Calibri" w:hAnsi="Calibri"/>
          <w:color w:val="334155"/>
          <w:sz w:val="22"/>
        </w:rPr>
        <w:t>A borrower whose balance drops to near-zero before every payday (living "paycheck-to-paycheck") receives zero buffer score.</w:t>
      </w:r>
    </w:p>
    <w:p>
      <w:pPr>
        <w:keepNext/>
        <w:spacing w:before="320" w:after="80"/>
      </w:pPr>
      <w:r>
        <w:rPr>
          <w:rFonts w:ascii="Calibri" w:hAnsi="Calibri"/>
          <w:b/>
          <w:color w:val="1E3A8A"/>
          <w:sz w:val="30"/>
        </w:rPr>
        <w:t>3. Banking Distress Signals (Severe Penalties)</w:t>
      </w:r>
    </w:p>
    <w:p>
      <w:pPr>
        <w:spacing w:before="60" w:after="80" w:line="276" w:lineRule="auto"/>
      </w:pPr>
      <w:r>
        <w:rPr>
          <w:rFonts w:ascii="Calibri" w:hAnsi="Calibri"/>
          <w:color w:val="334155"/>
          <w:sz w:val="22"/>
        </w:rPr>
        <w:t>These are primary indicators of acute liquidity exhaustion:</w:t>
      </w:r>
    </w:p>
    <w:p>
      <w:pPr>
        <w:spacing w:before="60" w:after="80" w:line="276" w:lineRule="auto"/>
      </w:pPr>
      <w:r>
        <w:rPr>
          <w:rFonts w:ascii="Calibri" w:hAnsi="Calibri"/>
          <w:color w:val="334155"/>
          <w:sz w:val="22"/>
        </w:rPr>
        <w:t>NSF (Non-Sufficient Funds) Count: Each failed automated clearing or auto-debit attempt penalizes -5 points (capped at -25 pts).</w:t>
      </w:r>
    </w:p>
    <w:p>
      <w:pPr>
        <w:spacing w:before="60" w:after="80" w:line="276" w:lineRule="auto"/>
      </w:pPr>
      <w:r>
        <w:rPr>
          <w:rFonts w:ascii="Calibri" w:hAnsi="Calibri"/>
          <w:color w:val="334155"/>
          <w:sz w:val="22"/>
        </w:rPr>
        <w:t>Returned Cheques / Dishonor: Each bounced cheque penalizes -8 points (capped at -20 pts). In corporate and SME banking, bounced cheques are the #1 leading indicator of imminent default.</w:t>
      </w:r>
    </w:p>
    <w:p>
      <w:pPr>
        <w:spacing w:before="60" w:after="80" w:line="276" w:lineRule="auto"/>
      </w:pPr>
      <w:r>
        <w:rPr>
          <w:rFonts w:ascii="Calibri" w:hAnsi="Calibri"/>
          <w:color w:val="334155"/>
          <w:sz w:val="22"/>
        </w:rPr>
        <w:t>Overdraft (OD) Line Utilization: A borrower utilizing &gt; 80% of their overdraft facility is penalized up to -15 points (signals credit line max-out).</w:t>
      </w:r>
    </w:p>
    <w:p>
      <w:pPr>
        <w:keepNext/>
        <w:spacing w:before="320" w:after="80"/>
      </w:pPr>
      <w:r>
        <w:rPr>
          <w:rFonts w:ascii="Calibri" w:hAnsi="Calibri"/>
          <w:b/>
          <w:color w:val="1E3A8A"/>
          <w:sz w:val="30"/>
        </w:rPr>
        <w:t>4. Sustainable Free Savings Surplus</w:t>
      </w:r>
    </w:p>
    <w:p>
      <w:pPr>
        <w:spacing w:before="60" w:after="80" w:line="276" w:lineRule="auto"/>
      </w:pPr>
      <w:r>
        <w:rPr>
          <w:rFonts w:ascii="Calibri" w:hAnsi="Calibri"/>
          <w:color w:val="334155"/>
          <w:sz w:val="22"/>
        </w:rPr>
        <w:t>Savings Ratio ( ? 20%): Grants up to +15 bonus points.</w:t>
      </w:r>
    </w:p>
    <w:p>
      <w:pPr>
        <w:spacing w:before="60" w:after="80" w:line="276" w:lineRule="auto"/>
      </w:pPr>
      <w:r>
        <w:rPr>
          <w:rFonts w:ascii="Calibri" w:hAnsi="Calibri"/>
          <w:color w:val="334155"/>
          <w:sz w:val="22"/>
        </w:rPr>
        <w:t>Cash Flow Surplus (&gt; 20% net free cash after utilities): Grants additional stability bonuses.</w:t>
      </w:r>
    </w:p>
    <w:p>
      <w:pPr>
        <w:keepNext/>
        <w:spacing w:before="320" w:after="80"/>
      </w:pPr>
      <w:r>
        <w:rPr>
          <w:rFonts w:ascii="Calibri" w:hAnsi="Calibri"/>
          <w:b/>
          <w:color w:val="1E3A8A"/>
          <w:sz w:val="30"/>
        </w:rPr>
        <w:t>4. Dual Execution (ML Model + Deterministic Rules)</w:t>
      </w:r>
    </w:p>
    <w:p>
      <w:pPr>
        <w:spacing w:before="120" w:after="120"/>
        <w:ind w:left="432"/>
      </w:pPr>
      <w:r>
        <w:rPr>
          <w:rFonts w:ascii="Consolas" w:hAnsi="Consolas"/>
          <w:b/>
          <w:color w:val="0E7490"/>
          <w:sz w:val="21"/>
        </w:rPr>
        <w:t>In production, these features feed a dedicated LightGBM Regressor (lgb_pillar_cash_flow.joblib): Features = big[AMB, ; Monthly Credits, ; Monthly Debits, ; OD Utilization, ; NSF Count, ; Returned Chequesbig] The model predicts the borrower's sustainable savings ratio hats and scales it to institutional credit benchmarks: P04 Score = clip(45.0 + (hats ? 120.0), ; 0, ; 100)</w:t>
      </w:r>
    </w:p>
    <w:p>
      <w:pPr>
        <w:keepNext/>
        <w:spacing w:before="320" w:after="80"/>
      </w:pPr>
      <w:r>
        <w:rPr>
          <w:rFonts w:ascii="Calibri" w:hAnsi="Calibri"/>
          <w:b/>
          <w:color w:val="1E3A8A"/>
          <w:sz w:val="30"/>
        </w:rPr>
        <w:t>5. Benchmark Score Tiers</w:t>
      </w:r>
    </w:p>
    <w:p>
      <w:pPr>
        <w:spacing w:before="60" w:after="80" w:line="276" w:lineRule="auto"/>
      </w:pPr>
      <w:r>
        <w:rPr>
          <w:rFonts w:ascii="Calibri" w:hAnsi="Calibri"/>
          <w:color w:val="334155"/>
          <w:sz w:val="22"/>
        </w:rPr>
        <w:t>85 - 100 (Super-Prime Cash Flow): Significant monthly liquidity buffer, zero bounced cheques, positive net savings, &lt;10% OD utilization.</w:t>
      </w:r>
    </w:p>
    <w:p>
      <w:pPr>
        <w:spacing w:before="60" w:after="80" w:line="276" w:lineRule="auto"/>
      </w:pPr>
      <w:r>
        <w:rPr>
          <w:rFonts w:ascii="Calibri" w:hAnsi="Calibri"/>
          <w:color w:val="334155"/>
          <w:sz w:val="22"/>
        </w:rPr>
        <w:t>60 - 84 (Healthy Working Cash Flow): Credits exceed debits, healthy living balance, zero NSF events.</w:t>
      </w:r>
    </w:p>
    <w:p>
      <w:pPr>
        <w:spacing w:before="60" w:after="80" w:line="276" w:lineRule="auto"/>
      </w:pPr>
      <w:r>
        <w:rPr>
          <w:rFonts w:ascii="Calibri" w:hAnsi="Calibri"/>
          <w:color w:val="334155"/>
          <w:sz w:val="22"/>
        </w:rPr>
        <w:t>40 - 59 (Tight Cash Flow): High debit burn rate (&gt;90% of income consumed), modest account balance.</w:t>
      </w:r>
    </w:p>
    <w:p>
      <w:pPr>
        <w:spacing w:before="60" w:after="80" w:line="276" w:lineRule="auto"/>
      </w:pPr>
      <w:r>
        <w:rPr>
          <w:rFonts w:ascii="Calibri" w:hAnsi="Calibri"/>
          <w:color w:val="334155"/>
          <w:sz w:val="22"/>
        </w:rPr>
        <w:t>&lt; 40 (Severely Strained): Active overdraft dependency, frequent NSF incidents, negative monthly cash flow.</w:t>
      </w:r>
    </w:p>
    <w:p>
      <w:pPr>
        <w:spacing w:before="60" w:after="80" w:line="276" w:lineRule="auto"/>
      </w:pPr>
      <w:r>
        <w:rPr>
          <w:rFonts w:ascii="Calibri" w:hAnsi="Calibri"/>
          <w:color w:val="334155"/>
          <w:sz w:val="22"/>
        </w:rPr>
        <w:t>In theory, the P05 Affordability Pillar Score (0 - 100) measures debt-servicing headroom, leverage capacity, and living-subsistence cushion.</w:t>
      </w:r>
    </w:p>
    <w:p>
      <w:pPr>
        <w:spacing w:before="60" w:after="80" w:line="276" w:lineRule="auto"/>
      </w:pPr>
      <w:r>
        <w:rPr>
          <w:rFonts w:ascii="Calibri" w:hAnsi="Calibri"/>
          <w:color w:val="334155"/>
          <w:sz w:val="22"/>
        </w:rPr>
        <w:t>Tied with P04 at a 15% weight (the highest in the platform), P05 answers the central banking compliance question:</w:t>
      </w:r>
    </w:p>
    <w:p>
      <w:pPr>
        <w:spacing w:before="60" w:after="80" w:line="276" w:lineRule="auto"/>
      </w:pPr>
      <w:r>
        <w:rPr>
          <w:rFonts w:ascii="Calibri" w:hAnsi="Calibri"/>
          <w:color w:val="334155"/>
          <w:sz w:val="22"/>
        </w:rPr>
        <w:t>"If we grant this applicant a new loan, will their total monthly debt obligations exceed regulatory debt-burden limits, or will they have enough Net Disposable Income (NDI) to survive comfortably?"</w:t>
      </w:r>
    </w:p>
    <w:p>
      <w:pPr>
        <w:keepNext/>
        <w:spacing w:before="320" w:after="80"/>
      </w:pPr>
      <w:r>
        <w:rPr>
          <w:rFonts w:ascii="Calibri" w:hAnsi="Calibri"/>
          <w:b/>
          <w:color w:val="1E3A8A"/>
          <w:sz w:val="30"/>
        </w:rPr>
        <w:t>1. Data Sources Feeding P05</w:t>
      </w:r>
    </w:p>
    <w:p>
      <w:pPr>
        <w:keepNext/>
        <w:spacing w:before="320" w:after="80"/>
      </w:pPr>
      <w:r>
        <w:rPr>
          <w:rFonts w:ascii="Calibri" w:hAnsi="Calibri"/>
          <w:b/>
          <w:color w:val="1E3A8A"/>
          <w:sz w:val="30"/>
        </w:rPr>
        <w:t>P05 is governed by prudential consumer regulations and ingests:</w:t>
      </w:r>
    </w:p>
    <w:p>
      <w:pPr>
        <w:spacing w:before="60" w:after="80" w:line="276" w:lineRule="auto"/>
      </w:pPr>
      <w:r>
        <w:rPr>
          <w:rFonts w:ascii="Calibri" w:hAnsi="Calibri"/>
          <w:color w:val="334155"/>
          <w:sz w:val="22"/>
        </w:rPr>
        <w:t>Family F6 (Banking &amp; Debt Service): Outgoing loan installments, credit card minimum dues, utility debit commitments, and overdraft liabilities.</w:t>
      </w:r>
    </w:p>
    <w:p>
      <w:pPr>
        <w:spacing w:before="60" w:after="80" w:line="276" w:lineRule="auto"/>
      </w:pPr>
      <w:r>
        <w:rPr>
          <w:rFonts w:ascii="Calibri" w:hAnsi="Calibri"/>
          <w:color w:val="334155"/>
          <w:sz w:val="22"/>
        </w:rPr>
        <w:t>Family F12 (Employment &amp; Income): Median sustainable monthly income (P??) and verified base salary.</w:t>
      </w:r>
    </w:p>
    <w:p>
      <w:pPr>
        <w:keepNext/>
        <w:spacing w:before="320" w:after="80"/>
      </w:pPr>
      <w:r>
        <w:rPr>
          <w:rFonts w:ascii="Calibri" w:hAnsi="Calibri"/>
          <w:b/>
          <w:color w:val="1E3A8A"/>
          <w:sz w:val="30"/>
        </w:rPr>
        <w:t>2. The Theoretical Formulation (3-Core Dimensions)</w:t>
      </w:r>
    </w:p>
    <w:p>
      <w:pPr>
        <w:keepNext/>
        <w:spacing w:before="320" w:after="80"/>
      </w:pPr>
      <w:r>
        <w:rPr>
          <w:rFonts w:ascii="Calibri" w:hAnsi="Calibri"/>
          <w:b/>
          <w:color w:val="1E3A8A"/>
          <w:sz w:val="30"/>
        </w:rPr>
        <w:t>P05 Score = FOIR Leverage Score + Net Disposable Income (NDI) Bonus - Living Burn Penalty</w:t>
      </w:r>
    </w:p>
    <w:p>
      <w:pPr>
        <w:spacing w:before="60" w:after="80" w:line="276" w:lineRule="auto"/>
      </w:pPr>
      <w:r>
        <w:rPr>
          <w:rFonts w:ascii="Calibri" w:hAnsi="Calibri"/>
          <w:color w:val="334155"/>
          <w:sz w:val="22"/>
        </w:rPr>
        <w:t>mermaid</w:t>
      </w:r>
    </w:p>
    <w:p>
      <w:pPr>
        <w:spacing w:before="60" w:after="80" w:line="276" w:lineRule="auto"/>
      </w:pPr>
      <w:r>
        <w:rPr>
          <w:rFonts w:ascii="Calibri" w:hAnsi="Calibri"/>
          <w:color w:val="334155"/>
          <w:sz w:val="22"/>
        </w:rPr>
        <w:t>flowchart TD</w:t>
      </w:r>
    </w:p>
    <w:p>
      <w:pPr>
        <w:spacing w:before="60" w:after="80" w:line="276" w:lineRule="auto"/>
      </w:pPr>
      <w:r>
        <w:rPr>
          <w:rFonts w:ascii="Calibri" w:hAnsi="Calibri"/>
          <w:color w:val="334155"/>
          <w:sz w:val="22"/>
        </w:rPr>
        <w:t>A["Monthly Inflows &amp; Fixed Debt Obligations"] --&gt; B["1. Fixed Obligation to Income Ratio (FOIR)&lt;br/&gt;FOIR % = (Existing Debts + Fixed Outflows) / Income"]</w:t>
      </w:r>
    </w:p>
    <w:p>
      <w:pPr>
        <w:spacing w:before="60" w:after="80" w:line="276" w:lineRule="auto"/>
      </w:pPr>
      <w:r>
        <w:rPr>
          <w:rFonts w:ascii="Calibri" w:hAnsi="Calibri"/>
          <w:color w:val="334155"/>
          <w:sz w:val="22"/>
        </w:rPr>
        <w:t>B --&gt; C"FOIR &gt; 45% Ceiling?"</w:t>
      </w:r>
    </w:p>
    <w:p>
      <w:pPr>
        <w:spacing w:before="60" w:after="80" w:line="276" w:lineRule="auto"/>
      </w:pPr>
      <w:r>
        <w:rPr>
          <w:rFonts w:ascii="Calibri" w:hAnsi="Calibri"/>
          <w:color w:val="334155"/>
          <w:sz w:val="22"/>
        </w:rPr>
        <w:t>C -- "Yes" --&gt; D["Stage 0 Hard Stop (AUTO-DECLINE)&lt;br/&gt;SBP Usury &amp; Over-Indebtedness Violation"]</w:t>
      </w:r>
    </w:p>
    <w:p>
      <w:pPr>
        <w:spacing w:before="60" w:after="80" w:line="276" w:lineRule="auto"/>
      </w:pPr>
      <w:r>
        <w:rPr>
          <w:rFonts w:ascii="Calibri" w:hAnsi="Calibri"/>
          <w:color w:val="334155"/>
          <w:sz w:val="22"/>
        </w:rPr>
        <w:t>C -- "No" --&gt; E["FOIR Score Calibration (0 to 100 pts)"]</w:t>
      </w:r>
    </w:p>
    <w:p>
      <w:pPr>
        <w:spacing w:before="60" w:after="80" w:line="276" w:lineRule="auto"/>
      </w:pPr>
      <w:r>
        <w:rPr>
          <w:rFonts w:ascii="Calibri" w:hAnsi="Calibri"/>
          <w:color w:val="334155"/>
          <w:sz w:val="22"/>
        </w:rPr>
        <w:t>A --&gt; F["2. Net Disposable Income (NDI)&lt;br/&gt;Absolute cash leftover after servicing obligations"]</w:t>
      </w:r>
    </w:p>
    <w:p>
      <w:pPr>
        <w:spacing w:before="60" w:after="80" w:line="276" w:lineRule="auto"/>
      </w:pPr>
      <w:r>
        <w:rPr>
          <w:rFonts w:ascii="Calibri" w:hAnsi="Calibri"/>
          <w:color w:val="334155"/>
          <w:sz w:val="22"/>
        </w:rPr>
        <w:t>A --&gt; G["3. Total Burn Ratio&lt;br/&gt;Total Debits vs. Credits (Living beyond means?)"]</w:t>
      </w:r>
    </w:p>
    <w:p>
      <w:pPr>
        <w:spacing w:before="60" w:after="80" w:line="276" w:lineRule="auto"/>
      </w:pPr>
      <w:r>
        <w:rPr>
          <w:rFonts w:ascii="Calibri" w:hAnsi="Calibri"/>
          <w:color w:val="334155"/>
          <w:sz w:val="22"/>
        </w:rPr>
        <w:t>E &amp; F &amp; G --&gt; H["LightGBM Affordability Model &amp; Heuristic Calibration"]</w:t>
      </w:r>
    </w:p>
    <w:p>
      <w:pPr>
        <w:spacing w:before="60" w:after="80" w:line="276" w:lineRule="auto"/>
      </w:pPr>
      <w:r>
        <w:rPr>
          <w:rFonts w:ascii="Calibri" w:hAnsi="Calibri"/>
          <w:color w:val="334155"/>
          <w:sz w:val="22"/>
        </w:rPr>
        <w:t>H --&gt; I["Final P05 Score (0 - 100)"]</w:t>
      </w:r>
    </w:p>
    <w:p>
      <w:pPr>
        <w:keepNext/>
        <w:spacing w:before="320" w:after="80"/>
      </w:pPr>
      <w:r>
        <w:rPr>
          <w:rFonts w:ascii="Calibri" w:hAnsi="Calibri"/>
          <w:b/>
          <w:color w:val="1E3A8A"/>
          <w:sz w:val="30"/>
        </w:rPr>
        <w:t>3. Key Components &amp; Mathematical Mechanics</w:t>
      </w:r>
    </w:p>
    <w:p>
      <w:pPr>
        <w:keepNext/>
        <w:spacing w:before="320" w:after="80"/>
      </w:pPr>
      <w:r>
        <w:rPr>
          <w:rFonts w:ascii="Calibri" w:hAnsi="Calibri"/>
          <w:b/>
          <w:color w:val="1E3A8A"/>
          <w:sz w:val="30"/>
        </w:rPr>
        <w:t>1. Fixed Obligation to Income Ratio (FOIR / DTI)</w:t>
      </w:r>
    </w:p>
    <w:p>
      <w:pPr>
        <w:spacing w:before="60" w:after="80" w:line="276" w:lineRule="auto"/>
      </w:pPr>
      <w:r>
        <w:rPr>
          <w:rFonts w:ascii="Calibri" w:hAnsi="Calibri"/>
          <w:color w:val="334155"/>
          <w:sz w:val="22"/>
        </w:rPr>
        <w:t>The core benchmark enforced by banking regulators (such as the State Bank of Pakistan - SBP Consumer Prudential Regulations):</w:t>
      </w:r>
    </w:p>
    <w:p>
      <w:pPr>
        <w:spacing w:before="60" w:after="80" w:line="276" w:lineRule="auto"/>
      </w:pPr>
      <w:r>
        <w:rPr>
          <w:rFonts w:ascii="Calibri" w:hAnsi="Calibri"/>
          <w:color w:val="334155"/>
          <w:sz w:val="22"/>
        </w:rPr>
        <w:t>FOIR % = (Existing Monthly Debt Service + Recurring Utility/Rent Commitments / Total Monthly Income (or P??)) ? 100</w:t>
      </w:r>
    </w:p>
    <w:p>
      <w:pPr>
        <w:spacing w:before="60" w:after="80" w:line="276" w:lineRule="auto"/>
      </w:pPr>
      <w:r>
        <w:rPr>
          <w:rFonts w:ascii="Calibri" w:hAnsi="Calibri"/>
          <w:color w:val="334155"/>
          <w:sz w:val="22"/>
        </w:rPr>
        <w:t>FOIR &lt; 15% (Super-Prime Headroom): 100 points (Virtually no debt obligations; can comfortably absorb a new facility).</w:t>
      </w:r>
    </w:p>
    <w:p>
      <w:pPr>
        <w:spacing w:before="60" w:after="80" w:line="276" w:lineRule="auto"/>
      </w:pPr>
      <w:r>
        <w:rPr>
          <w:rFonts w:ascii="Calibri" w:hAnsi="Calibri"/>
          <w:color w:val="334155"/>
          <w:sz w:val="22"/>
        </w:rPr>
        <w:t>FOIR in [15%, 30%) (Prime Capacity): 80 points (Healthy, manageable leverage).</w:t>
      </w:r>
    </w:p>
    <w:p>
      <w:pPr>
        <w:spacing w:before="60" w:after="80" w:line="276" w:lineRule="auto"/>
      </w:pPr>
      <w:r>
        <w:rPr>
          <w:rFonts w:ascii="Calibri" w:hAnsi="Calibri"/>
          <w:color w:val="334155"/>
          <w:sz w:val="22"/>
        </w:rPr>
        <w:t>FOIR in [30%, 40%) (Moderate Capacity): 60 points (Noticeable obligations, loan limits will be moderated).</w:t>
      </w:r>
    </w:p>
    <w:p>
      <w:pPr>
        <w:spacing w:before="60" w:after="80" w:line="276" w:lineRule="auto"/>
      </w:pPr>
      <w:r>
        <w:rPr>
          <w:rFonts w:ascii="Calibri" w:hAnsi="Calibri"/>
          <w:color w:val="334155"/>
          <w:sz w:val="22"/>
        </w:rPr>
        <w:t>FOIR in [40%, 45%) (Near Ceiling): 40 points (Near regulatory ceiling; eligible only for small starter loans).</w:t>
      </w:r>
    </w:p>
    <w:p>
      <w:pPr>
        <w:spacing w:before="60" w:after="80" w:line="276" w:lineRule="auto"/>
      </w:pPr>
      <w:r>
        <w:rPr>
          <w:rFonts w:ascii="Calibri" w:hAnsi="Calibri"/>
          <w:color w:val="334155"/>
          <w:sz w:val="22"/>
        </w:rPr>
        <w:t>FOIR &gt; 45% (Over-Indebted): 0 points + HARD REJECTION (FOIR_EXCEEDS_45PCT).</w:t>
      </w:r>
    </w:p>
    <w:p>
      <w:pPr>
        <w:keepNext/>
        <w:spacing w:before="320" w:after="80"/>
      </w:pPr>
      <w:r>
        <w:rPr>
          <w:rFonts w:ascii="Calibri" w:hAnsi="Calibri"/>
          <w:b/>
          <w:color w:val="1E3A8A"/>
          <w:sz w:val="30"/>
        </w:rPr>
        <w:t>2. Net Disposable Income (NDI) Headroom Bonus</w:t>
      </w:r>
    </w:p>
    <w:p>
      <w:pPr>
        <w:spacing w:before="60" w:after="80" w:line="276" w:lineRule="auto"/>
      </w:pPr>
      <w:r>
        <w:rPr>
          <w:rFonts w:ascii="Calibri" w:hAnsi="Calibri"/>
          <w:color w:val="334155"/>
          <w:sz w:val="22"/>
        </w:rPr>
        <w:t>Percentages can be deceiving: a high-earner with 40% FOIR on PKR 500,000 has PKR 300,000 leftover to eat and live, whereas a low-earner with 40% FOIR on PKR 30,000 has only PKR 18,000 leftover (below poverty threshold).</w:t>
        <w:br/>
        <w:t>Therefore, the engine measures Absolute Net Disposable Income (NDI):</w:t>
      </w:r>
    </w:p>
    <w:p>
      <w:pPr>
        <w:spacing w:before="60" w:after="80" w:line="276" w:lineRule="auto"/>
      </w:pPr>
      <w:r>
        <w:rPr>
          <w:rFonts w:ascii="Calibri" w:hAnsi="Calibri"/>
          <w:color w:val="334155"/>
          <w:sz w:val="22"/>
        </w:rPr>
        <w:t>NDI = Monthly Income - Fixed Monthly Obligations</w:t>
      </w:r>
    </w:p>
    <w:p>
      <w:pPr>
        <w:spacing w:before="60" w:after="80" w:line="276" w:lineRule="auto"/>
      </w:pPr>
      <w:r>
        <w:rPr>
          <w:rFonts w:ascii="Calibri" w:hAnsi="Calibri"/>
          <w:color w:val="334155"/>
          <w:sz w:val="22"/>
        </w:rPr>
        <w:t>NDI &gt; PKR 100,000: +10 points bonus (High absolute solvency buffer).</w:t>
      </w:r>
    </w:p>
    <w:p>
      <w:pPr>
        <w:spacing w:before="60" w:after="80" w:line="276" w:lineRule="auto"/>
      </w:pPr>
      <w:r>
        <w:rPr>
          <w:rFonts w:ascii="Calibri" w:hAnsi="Calibri"/>
          <w:color w:val="334155"/>
          <w:sz w:val="22"/>
        </w:rPr>
        <w:t>NDI &gt; PKR 50,000: +6 points bonus.</w:t>
      </w:r>
    </w:p>
    <w:p>
      <w:pPr>
        <w:spacing w:before="60" w:after="80" w:line="276" w:lineRule="auto"/>
      </w:pPr>
      <w:r>
        <w:rPr>
          <w:rFonts w:ascii="Calibri" w:hAnsi="Calibri"/>
          <w:color w:val="334155"/>
          <w:sz w:val="22"/>
        </w:rPr>
        <w:t>NDI &gt; PKR 25,000: +3 points bonus.</w:t>
      </w:r>
    </w:p>
    <w:p>
      <w:pPr>
        <w:spacing w:before="60" w:after="80" w:line="276" w:lineRule="auto"/>
      </w:pPr>
      <w:r>
        <w:rPr>
          <w:rFonts w:ascii="Calibri" w:hAnsi="Calibri"/>
          <w:color w:val="334155"/>
          <w:sz w:val="22"/>
        </w:rPr>
        <w:t>NDI &lt; PKR 25,000: 0 bonus (Tight living cushion).</w:t>
      </w:r>
    </w:p>
    <w:p>
      <w:pPr>
        <w:keepNext/>
        <w:spacing w:before="320" w:after="80"/>
      </w:pPr>
      <w:r>
        <w:rPr>
          <w:rFonts w:ascii="Calibri" w:hAnsi="Calibri"/>
          <w:b/>
          <w:color w:val="1E3A8A"/>
          <w:sz w:val="30"/>
        </w:rPr>
        <w:t>3. Living Burn Ratio Penalty</w:t>
      </w:r>
    </w:p>
    <w:p>
      <w:pPr>
        <w:spacing w:before="60" w:after="80" w:line="276" w:lineRule="auto"/>
      </w:pPr>
      <w:r>
        <w:rPr>
          <w:rFonts w:ascii="Calibri" w:hAnsi="Calibri"/>
          <w:color w:val="334155"/>
          <w:sz w:val="22"/>
        </w:rPr>
        <w:t>Measures whether the applicant is spending more than they earn over a 12-month rolling window:</w:t>
      </w:r>
    </w:p>
    <w:p>
      <w:pPr>
        <w:spacing w:before="60" w:after="80" w:line="276" w:lineRule="auto"/>
      </w:pPr>
      <w:r>
        <w:rPr>
          <w:rFonts w:ascii="Calibri" w:hAnsi="Calibri"/>
          <w:color w:val="334155"/>
          <w:sz w:val="22"/>
        </w:rPr>
        <w:t>Burn Ratio = (Total 12-Month Debits / Total 12-Month Credits)</w:t>
      </w:r>
    </w:p>
    <w:p>
      <w:pPr>
        <w:spacing w:before="60" w:after="80" w:line="276" w:lineRule="auto"/>
      </w:pPr>
      <w:r>
        <w:rPr>
          <w:rFonts w:ascii="Calibri" w:hAnsi="Calibri"/>
          <w:color w:val="334155"/>
          <w:sz w:val="22"/>
        </w:rPr>
        <w:t>Burn Ratio &gt; 1.0 (Living in Deficit): -10 points deduction (The applicant is burning savings or relying on credit lines to cover lifestyle expenses).</w:t>
      </w:r>
    </w:p>
    <w:p>
      <w:pPr>
        <w:spacing w:before="60" w:after="80" w:line="276" w:lineRule="auto"/>
      </w:pPr>
      <w:r>
        <w:rPr>
          <w:rFonts w:ascii="Calibri" w:hAnsi="Calibri"/>
          <w:color w:val="334155"/>
          <w:sz w:val="22"/>
        </w:rPr>
        <w:t>Burn Ratio &gt; 0.90 (Zero Cushion): -5 points deduction.</w:t>
      </w:r>
    </w:p>
    <w:p>
      <w:pPr>
        <w:keepNext/>
        <w:spacing w:before="320" w:after="80"/>
      </w:pPr>
      <w:r>
        <w:rPr>
          <w:rFonts w:ascii="Calibri" w:hAnsi="Calibri"/>
          <w:b/>
          <w:color w:val="1E3A8A"/>
          <w:sz w:val="30"/>
        </w:rPr>
        <w:t>4. Direct Link to Loan Limit Assignment (Bound 1)</w:t>
      </w:r>
    </w:p>
    <w:p>
      <w:pPr>
        <w:spacing w:before="60" w:after="80" w:line="276" w:lineRule="auto"/>
      </w:pPr>
      <w:r>
        <w:rPr>
          <w:rFonts w:ascii="Calibri" w:hAnsi="Calibri"/>
          <w:color w:val="334155"/>
          <w:sz w:val="22"/>
        </w:rPr>
        <w:t>P05 is not just an arbitrary score; it directly computes the mathematical ceiling of Bound 1 (Affordability Limit) in the loan policy engine:</w:t>
      </w:r>
    </w:p>
    <w:p>
      <w:pPr>
        <w:spacing w:before="120" w:after="120"/>
        <w:ind w:left="432"/>
      </w:pPr>
      <w:r>
        <w:rPr>
          <w:rFonts w:ascii="Consolas" w:hAnsi="Consolas"/>
          <w:b/>
          <w:color w:val="0E7490"/>
          <w:sz w:val="21"/>
        </w:rPr>
        <w:t>Max Affordable EMI = (P?? ? 0.45) - Existing Debt Obligations Affordability Limit = Max Affordable EMI ? Tenor Factor</w:t>
      </w:r>
    </w:p>
    <w:p>
      <w:pPr>
        <w:spacing w:before="60" w:after="80" w:line="276" w:lineRule="auto"/>
      </w:pPr>
      <w:r>
        <w:rPr>
          <w:rFonts w:ascii="Calibri" w:hAnsi="Calibri"/>
          <w:color w:val="334155"/>
          <w:sz w:val="22"/>
        </w:rPr>
        <w:t>If an applicant's FOIR is already 42.7% (such as #6 applicant CUST0014320), their P05 score drops to 38.2, and their maximum new cash borrowing limit is constrained to PKR 0 until existing loans are paid down, demonstrating mathematically airtight consumer protection.</w:t>
      </w:r>
    </w:p>
    <w:p>
      <w:pPr>
        <w:spacing w:before="60" w:after="80" w:line="276" w:lineRule="auto"/>
      </w:pPr>
      <w:r>
        <w:rPr>
          <w:rFonts w:ascii="Calibri" w:hAnsi="Calibri"/>
          <w:color w:val="334155"/>
          <w:sz w:val="22"/>
        </w:rPr>
        <w:t>In theory, the P06 Stability Pillar Score (0 - 100) measures an applicant's social rootedness, geographic permanence, and institutional tenure.</w:t>
      </w:r>
    </w:p>
    <w:p>
      <w:pPr>
        <w:spacing w:before="60" w:after="80" w:line="276" w:lineRule="auto"/>
      </w:pPr>
      <w:r>
        <w:rPr>
          <w:rFonts w:ascii="Calibri" w:hAnsi="Calibri"/>
          <w:color w:val="334155"/>
          <w:sz w:val="22"/>
        </w:rPr>
        <w:t>Carrying an 8% weight in the composite ensemble, P06 answers a fundamental question in retail credit and collections risk:</w:t>
      </w:r>
    </w:p>
    <w:p>
      <w:pPr>
        <w:spacing w:before="60" w:after="80" w:line="276" w:lineRule="auto"/>
      </w:pPr>
      <w:r>
        <w:rPr>
          <w:rFonts w:ascii="Calibri" w:hAnsi="Calibri"/>
          <w:color w:val="334155"/>
          <w:sz w:val="22"/>
        </w:rPr>
        <w:t>"Is this borrower deeply rooted in their community and career, or are they transient / flight-prone (high 'skip risk') where collections cannot trace them if they default?"</w:t>
      </w:r>
    </w:p>
    <w:p>
      <w:pPr>
        <w:spacing w:before="60" w:after="80" w:line="276" w:lineRule="auto"/>
      </w:pPr>
      <w:r>
        <w:rPr>
          <w:rFonts w:ascii="Calibri" w:hAnsi="Calibri"/>
          <w:color w:val="334155"/>
          <w:sz w:val="22"/>
        </w:rPr>
        <w:t>Borrowers who frequently switch phone numbers, move apartments every 6 months, and jump jobs every quarter have historically defaulted at 4x to 6x higher rates than borrowers with long-standing tenure.</w:t>
      </w:r>
    </w:p>
    <w:p>
      <w:pPr>
        <w:keepNext/>
        <w:spacing w:before="320" w:after="80"/>
      </w:pPr>
      <w:r>
        <w:rPr>
          <w:rFonts w:ascii="Calibri" w:hAnsi="Calibri"/>
          <w:b/>
          <w:color w:val="1E3A8A"/>
          <w:sz w:val="30"/>
        </w:rPr>
        <w:t>1. Data Sources Feeding P06</w:t>
      </w:r>
    </w:p>
    <w:p>
      <w:pPr>
        <w:keepNext/>
        <w:spacing w:before="320" w:after="80"/>
      </w:pPr>
      <w:r>
        <w:rPr>
          <w:rFonts w:ascii="Calibri" w:hAnsi="Calibri"/>
          <w:b/>
          <w:color w:val="1E3A8A"/>
          <w:sz w:val="30"/>
        </w:rPr>
        <w:t>P06 combines 3 independent verification trails:</w:t>
      </w:r>
    </w:p>
    <w:p>
      <w:pPr>
        <w:spacing w:before="60" w:after="80" w:line="276" w:lineRule="auto"/>
      </w:pPr>
      <w:r>
        <w:rPr>
          <w:rFonts w:ascii="Calibri" w:hAnsi="Calibri"/>
          <w:color w:val="334155"/>
          <w:sz w:val="22"/>
        </w:rPr>
        <w:t>Family F2 (Demographics): Residential address tenure, property ownership status (Owned vs. Rented).</w:t>
      </w:r>
    </w:p>
    <w:p>
      <w:pPr>
        <w:spacing w:before="60" w:after="80" w:line="276" w:lineRule="auto"/>
      </w:pPr>
      <w:r>
        <w:rPr>
          <w:rFonts w:ascii="Calibri" w:hAnsi="Calibri"/>
          <w:color w:val="334155"/>
          <w:sz w:val="22"/>
        </w:rPr>
        <w:t>Family F5 (Telecom): SIM card activation age (days since IMSI registration) and lack of SIM swap churn.</w:t>
      </w:r>
    </w:p>
    <w:p>
      <w:pPr>
        <w:spacing w:before="60" w:after="80" w:line="276" w:lineRule="auto"/>
      </w:pPr>
      <w:r>
        <w:rPr>
          <w:rFonts w:ascii="Calibri" w:hAnsi="Calibri"/>
          <w:color w:val="334155"/>
          <w:sz w:val="22"/>
        </w:rPr>
        <w:t>Family F6 (Banking): Primary bank account tenure (age in months of the oldest active deposit account).</w:t>
      </w:r>
    </w:p>
    <w:p>
      <w:pPr>
        <w:spacing w:before="60" w:after="80" w:line="276" w:lineRule="auto"/>
      </w:pPr>
      <w:r>
        <w:rPr>
          <w:rFonts w:ascii="Calibri" w:hAnsi="Calibri"/>
          <w:color w:val="334155"/>
          <w:sz w:val="22"/>
        </w:rPr>
        <w:t>Family F12 (Employment): Current job tenure and continuous years in the same industry.</w:t>
      </w:r>
    </w:p>
    <w:p>
      <w:pPr>
        <w:keepNext/>
        <w:spacing w:before="320" w:after="80"/>
      </w:pPr>
      <w:r>
        <w:rPr>
          <w:rFonts w:ascii="Calibri" w:hAnsi="Calibri"/>
          <w:b/>
          <w:color w:val="1E3A8A"/>
          <w:sz w:val="30"/>
        </w:rPr>
        <w:t>2. The Theoretical Formulation (4 Rootedness Pillars)</w:t>
      </w:r>
    </w:p>
    <w:p>
      <w:pPr>
        <w:keepNext/>
        <w:spacing w:before="320" w:after="80"/>
      </w:pPr>
      <w:r>
        <w:rPr>
          <w:rFonts w:ascii="Calibri" w:hAnsi="Calibri"/>
          <w:b/>
          <w:color w:val="1E3A8A"/>
          <w:sz w:val="30"/>
        </w:rPr>
        <w:t>P06 Score = Residential Tenure + Banking Tenure + SIM Tenure + Employment Tenure</w:t>
      </w:r>
    </w:p>
    <w:p>
      <w:pPr>
        <w:spacing w:before="60" w:after="80" w:line="276" w:lineRule="auto"/>
      </w:pPr>
      <w:r>
        <w:rPr>
          <w:rFonts w:ascii="Calibri" w:hAnsi="Calibri"/>
          <w:color w:val="334155"/>
          <w:sz w:val="22"/>
        </w:rPr>
        <w:t>mermaid</w:t>
      </w:r>
    </w:p>
    <w:p>
      <w:pPr>
        <w:spacing w:before="60" w:after="80" w:line="276" w:lineRule="auto"/>
      </w:pPr>
      <w:r>
        <w:rPr>
          <w:rFonts w:ascii="Calibri" w:hAnsi="Calibri"/>
          <w:color w:val="334155"/>
          <w:sz w:val="22"/>
        </w:rPr>
        <w:t>flowchart TD</w:t>
      </w:r>
    </w:p>
    <w:p>
      <w:pPr>
        <w:spacing w:before="60" w:after="80" w:line="276" w:lineRule="auto"/>
      </w:pPr>
      <w:r>
        <w:rPr>
          <w:rFonts w:ascii="Calibri" w:hAnsi="Calibri"/>
          <w:color w:val="334155"/>
          <w:sz w:val="22"/>
        </w:rPr>
        <w:t>A["Applicant Historical Footprint"] --&gt; B["1. Residential Permanence (0 - 35 pts)&lt;br/&gt;Years at current address + Home ownership"]</w:t>
      </w:r>
    </w:p>
    <w:p>
      <w:pPr>
        <w:spacing w:before="60" w:after="80" w:line="276" w:lineRule="auto"/>
      </w:pPr>
      <w:r>
        <w:rPr>
          <w:rFonts w:ascii="Calibri" w:hAnsi="Calibri"/>
          <w:color w:val="334155"/>
          <w:sz w:val="22"/>
        </w:rPr>
        <w:t>A --&gt; C["2. Banking Relationship Tenure (0 - 25 pts)&lt;br/&gt;Age of oldest operating bank account (up to 10 yrs)"]</w:t>
      </w:r>
    </w:p>
    <w:p>
      <w:pPr>
        <w:spacing w:before="60" w:after="80" w:line="276" w:lineRule="auto"/>
      </w:pPr>
      <w:r>
        <w:rPr>
          <w:rFonts w:ascii="Calibri" w:hAnsi="Calibri"/>
          <w:color w:val="334155"/>
          <w:sz w:val="22"/>
        </w:rPr>
        <w:t>A --&gt; D["3. Telecom Tenure / SIM Age (0 - 20 pts)&lt;br/&gt;Active tenure of phone number without churn"]</w:t>
      </w:r>
    </w:p>
    <w:p>
      <w:pPr>
        <w:spacing w:before="60" w:after="80" w:line="276" w:lineRule="auto"/>
      </w:pPr>
      <w:r>
        <w:rPr>
          <w:rFonts w:ascii="Calibri" w:hAnsi="Calibri"/>
          <w:color w:val="334155"/>
          <w:sz w:val="22"/>
        </w:rPr>
        <w:t>A --&gt; E["4. Career &amp; Employment Tenure (0 - 20 pts)&lt;br/&gt;Continuous months with current employer"]</w:t>
      </w:r>
    </w:p>
    <w:p>
      <w:pPr>
        <w:spacing w:before="60" w:after="80" w:line="276" w:lineRule="auto"/>
      </w:pPr>
      <w:r>
        <w:rPr>
          <w:rFonts w:ascii="Calibri" w:hAnsi="Calibri"/>
          <w:color w:val="334155"/>
          <w:sz w:val="22"/>
        </w:rPr>
        <w:t>B &amp; C &amp; D &amp; E --&gt; F["LightGBM Stability Model &amp; Heuristic Calibration"]</w:t>
      </w:r>
    </w:p>
    <w:p>
      <w:pPr>
        <w:spacing w:before="60" w:after="80" w:line="276" w:lineRule="auto"/>
      </w:pPr>
      <w:r>
        <w:rPr>
          <w:rFonts w:ascii="Calibri" w:hAnsi="Calibri"/>
          <w:color w:val="334155"/>
          <w:sz w:val="22"/>
        </w:rPr>
        <w:t>F --&gt; G["Final P06 Score (0 - 100)"]</w:t>
      </w:r>
    </w:p>
    <w:p>
      <w:pPr>
        <w:keepNext/>
        <w:spacing w:before="320" w:after="80"/>
      </w:pPr>
      <w:r>
        <w:rPr>
          <w:rFonts w:ascii="Calibri" w:hAnsi="Calibri"/>
          <w:b/>
          <w:color w:val="1E3A8A"/>
          <w:sz w:val="30"/>
        </w:rPr>
        <w:t>3. Key Components &amp; Mathematical Mechanics</w:t>
      </w:r>
    </w:p>
    <w:p>
      <w:pPr>
        <w:keepNext/>
        <w:spacing w:before="320" w:after="80"/>
      </w:pPr>
      <w:r>
        <w:rPr>
          <w:rFonts w:ascii="Calibri" w:hAnsi="Calibri"/>
          <w:b/>
          <w:color w:val="1E3A8A"/>
          <w:sz w:val="30"/>
        </w:rPr>
        <w:t>1. Residential Stability &amp; Home Ownership (Max 35 Points)</w:t>
      </w:r>
    </w:p>
    <w:p>
      <w:pPr>
        <w:spacing w:before="60" w:after="80" w:line="276" w:lineRule="auto"/>
      </w:pPr>
      <w:r>
        <w:rPr>
          <w:rFonts w:ascii="Calibri" w:hAnsi="Calibri"/>
          <w:color w:val="334155"/>
          <w:sz w:val="22"/>
        </w:rPr>
        <w:t>Measures the permanence of the borrower's living situation:</w:t>
      </w:r>
    </w:p>
    <w:p>
      <w:pPr>
        <w:spacing w:before="60" w:after="80" w:line="276" w:lineRule="auto"/>
      </w:pPr>
      <w:r>
        <w:rPr>
          <w:rFonts w:ascii="Calibri" w:hAnsi="Calibri"/>
          <w:color w:val="334155"/>
          <w:sz w:val="22"/>
        </w:rPr>
        <w:t>Tenure at Current Address (years_at_address):</w:t>
      </w:r>
    </w:p>
    <w:p>
      <w:pPr>
        <w:pStyle w:val="ListBullet"/>
        <w:spacing w:before="40" w:after="40"/>
      </w:pPr>
      <w:r>
        <w:rPr>
          <w:rFonts w:ascii="Calibri" w:hAnsi="Calibri"/>
          <w:color w:val="334155"/>
          <w:sz w:val="22"/>
        </w:rPr>
        <w:t>10 years (Established family home): 30 points</w:t>
      </w:r>
    </w:p>
    <w:p>
      <w:pPr>
        <w:pStyle w:val="ListBullet"/>
        <w:spacing w:before="40" w:after="40"/>
      </w:pPr>
      <w:r>
        <w:rPr>
          <w:rFonts w:ascii="Calibri" w:hAnsi="Calibri"/>
          <w:color w:val="334155"/>
          <w:sz w:val="22"/>
        </w:rPr>
        <w:t>5 years: 25 points</w:t>
      </w:r>
    </w:p>
    <w:p>
      <w:pPr>
        <w:pStyle w:val="ListBullet"/>
        <w:spacing w:before="40" w:after="40"/>
      </w:pPr>
      <w:r>
        <w:rPr>
          <w:rFonts w:ascii="Calibri" w:hAnsi="Calibri"/>
          <w:color w:val="334155"/>
          <w:sz w:val="22"/>
        </w:rPr>
        <w:t>3 years: 20 points</w:t>
      </w:r>
    </w:p>
    <w:p>
      <w:pPr>
        <w:pStyle w:val="ListBullet"/>
        <w:spacing w:before="40" w:after="40"/>
      </w:pPr>
      <w:r>
        <w:rPr>
          <w:rFonts w:ascii="Calibri" w:hAnsi="Calibri"/>
          <w:color w:val="334155"/>
          <w:sz w:val="22"/>
        </w:rPr>
        <w:t>1 year: 10 points</w:t>
      </w:r>
    </w:p>
    <w:p>
      <w:pPr>
        <w:spacing w:before="60" w:after="80" w:line="276" w:lineRule="auto"/>
      </w:pPr>
      <w:r>
        <w:rPr>
          <w:rFonts w:ascii="Calibri" w:hAnsi="Calibri"/>
          <w:color w:val="334155"/>
          <w:sz w:val="22"/>
        </w:rPr>
        <w:t>&lt; 6 months (Recent relocation): 0 points</w:t>
      </w:r>
    </w:p>
    <w:p>
      <w:pPr>
        <w:spacing w:before="60" w:after="80" w:line="276" w:lineRule="auto"/>
      </w:pPr>
      <w:r>
        <w:rPr>
          <w:rFonts w:ascii="Calibri" w:hAnsi="Calibri"/>
          <w:color w:val="334155"/>
          <w:sz w:val="22"/>
        </w:rPr>
        <w:t>Ownership Bonus (residential_status):</w:t>
      </w:r>
    </w:p>
    <w:p>
      <w:pPr>
        <w:spacing w:before="60" w:after="80" w:line="276" w:lineRule="auto"/>
      </w:pPr>
      <w:r>
        <w:rPr>
          <w:rFonts w:ascii="Calibri" w:hAnsi="Calibri"/>
          <w:color w:val="334155"/>
          <w:sz w:val="22"/>
        </w:rPr>
        <w:t>Owned Home / Ancestral Property: +5 bonus points (Borrower has tangible roots and cannot easily "vanish").</w:t>
      </w:r>
    </w:p>
    <w:p>
      <w:pPr>
        <w:spacing w:before="60" w:after="80" w:line="276" w:lineRule="auto"/>
      </w:pPr>
      <w:r>
        <w:rPr>
          <w:rFonts w:ascii="Calibri" w:hAnsi="Calibri"/>
          <w:color w:val="334155"/>
          <w:sz w:val="22"/>
        </w:rPr>
        <w:t>Government / Institutional Quarters: +3 bonus points.</w:t>
      </w:r>
    </w:p>
    <w:p>
      <w:pPr>
        <w:spacing w:before="60" w:after="80" w:line="276" w:lineRule="auto"/>
      </w:pPr>
      <w:r>
        <w:rPr>
          <w:rFonts w:ascii="Calibri" w:hAnsi="Calibri"/>
          <w:color w:val="334155"/>
          <w:sz w:val="22"/>
        </w:rPr>
        <w:t>Rental: 0 bonus.</w:t>
      </w:r>
    </w:p>
    <w:p>
      <w:pPr>
        <w:keepNext/>
        <w:spacing w:before="320" w:after="80"/>
      </w:pPr>
      <w:r>
        <w:rPr>
          <w:rFonts w:ascii="Calibri" w:hAnsi="Calibri"/>
          <w:b/>
          <w:color w:val="1E3A8A"/>
          <w:sz w:val="30"/>
        </w:rPr>
        <w:t>2. Banking Relationship Tenure (Max 25 Points)</w:t>
      </w:r>
    </w:p>
    <w:p>
      <w:pPr>
        <w:spacing w:before="60" w:after="80" w:line="276" w:lineRule="auto"/>
      </w:pPr>
      <w:r>
        <w:rPr>
          <w:rFonts w:ascii="Calibri" w:hAnsi="Calibri"/>
          <w:color w:val="334155"/>
          <w:sz w:val="22"/>
        </w:rPr>
        <w:t>A borrower who has maintained an account at the same bank for 8 years has an established financial identity, whereas an account opened 2 weeks ago provides zero longitudinal comfort:</w:t>
      </w:r>
    </w:p>
    <w:p>
      <w:pPr>
        <w:spacing w:before="120" w:after="120"/>
        <w:ind w:left="432"/>
      </w:pPr>
      <w:r>
        <w:rPr>
          <w:rFonts w:ascii="Consolas" w:hAnsi="Consolas"/>
          <w:b/>
          <w:color w:val="0E7490"/>
          <w:sz w:val="21"/>
        </w:rPr>
        <w:t>Banking Tenure Score = min? ft(25.0, ; (Account Age in Months / 120 months) ? 25.0)</w:t>
      </w:r>
    </w:p>
    <w:p>
      <w:pPr>
        <w:spacing w:before="60" w:after="80" w:line="276" w:lineRule="auto"/>
      </w:pPr>
      <w:r>
        <w:rPr>
          <w:rFonts w:ascii="Calibri" w:hAnsi="Calibri"/>
          <w:color w:val="334155"/>
          <w:sz w:val="22"/>
        </w:rPr>
        <w:t>10+ Years (120+ Months): Full 25 points.</w:t>
      </w:r>
    </w:p>
    <w:p>
      <w:pPr>
        <w:spacing w:before="60" w:after="80" w:line="276" w:lineRule="auto"/>
      </w:pPr>
      <w:r>
        <w:rPr>
          <w:rFonts w:ascii="Calibri" w:hAnsi="Calibri"/>
          <w:color w:val="334155"/>
          <w:sz w:val="22"/>
        </w:rPr>
        <w:t>5 Years (60 Months): 12.5 points.</w:t>
      </w:r>
    </w:p>
    <w:p>
      <w:pPr>
        <w:spacing w:before="60" w:after="80" w:line="276" w:lineRule="auto"/>
      </w:pPr>
      <w:r>
        <w:rPr>
          <w:rFonts w:ascii="Calibri" w:hAnsi="Calibri"/>
          <w:color w:val="334155"/>
          <w:sz w:val="22"/>
        </w:rPr>
        <w:t>&lt; 6 Months: &lt; 1.2 points.</w:t>
      </w:r>
    </w:p>
    <w:p>
      <w:pPr>
        <w:keepNext/>
        <w:spacing w:before="320" w:after="80"/>
      </w:pPr>
      <w:r>
        <w:rPr>
          <w:rFonts w:ascii="Calibri" w:hAnsi="Calibri"/>
          <w:b/>
          <w:color w:val="1E3A8A"/>
          <w:sz w:val="30"/>
        </w:rPr>
        <w:t>3. Telecom &amp; SIM Card Tenure (Max 20 Points)</w:t>
      </w:r>
    </w:p>
    <w:p>
      <w:pPr>
        <w:spacing w:before="60" w:after="80" w:line="276" w:lineRule="auto"/>
      </w:pPr>
      <w:r>
        <w:rPr>
          <w:rFonts w:ascii="Calibri" w:hAnsi="Calibri"/>
          <w:color w:val="334155"/>
          <w:sz w:val="22"/>
        </w:rPr>
        <w:t>In emerging markets and digital lending, SIM age is one of the single most predictive anti-default signals. Fraudsters and chronic defaulters discard "burner" SIM cards regularly to evade collections calls:</w:t>
      </w:r>
    </w:p>
    <w:p>
      <w:pPr>
        <w:spacing w:before="60" w:after="80" w:line="276" w:lineRule="auto"/>
      </w:pPr>
      <w:r>
        <w:rPr>
          <w:rFonts w:ascii="Calibri" w:hAnsi="Calibri"/>
          <w:color w:val="334155"/>
          <w:sz w:val="22"/>
        </w:rPr>
        <w:t>SIM Age ? 5 years: 20 points (The phone number is tied to the borrower's entire social and commercial life).</w:t>
      </w:r>
    </w:p>
    <w:p>
      <w:pPr>
        <w:spacing w:before="60" w:after="80" w:line="276" w:lineRule="auto"/>
      </w:pPr>
      <w:r>
        <w:rPr>
          <w:rFonts w:ascii="Calibri" w:hAnsi="Calibri"/>
          <w:color w:val="334155"/>
          <w:sz w:val="22"/>
        </w:rPr>
        <w:t>SIM Age ? 3 years: 15 points.</w:t>
      </w:r>
    </w:p>
    <w:p>
      <w:pPr>
        <w:spacing w:before="60" w:after="80" w:line="276" w:lineRule="auto"/>
      </w:pPr>
      <w:r>
        <w:rPr>
          <w:rFonts w:ascii="Calibri" w:hAnsi="Calibri"/>
          <w:color w:val="334155"/>
          <w:sz w:val="22"/>
        </w:rPr>
        <w:t>SIM Age ? 1 year: 10 points.</w:t>
      </w:r>
    </w:p>
    <w:p>
      <w:pPr>
        <w:spacing w:before="60" w:after="80" w:line="276" w:lineRule="auto"/>
      </w:pPr>
      <w:r>
        <w:rPr>
          <w:rFonts w:ascii="Calibri" w:hAnsi="Calibri"/>
          <w:color w:val="334155"/>
          <w:sz w:val="22"/>
        </w:rPr>
        <w:t>SIM Age &lt; 6 months: 0 points (High flight risk).</w:t>
      </w:r>
    </w:p>
    <w:p>
      <w:pPr>
        <w:keepNext/>
        <w:spacing w:before="320" w:after="80"/>
      </w:pPr>
      <w:r>
        <w:rPr>
          <w:rFonts w:ascii="Calibri" w:hAnsi="Calibri"/>
          <w:b/>
          <w:color w:val="1E3A8A"/>
          <w:sz w:val="30"/>
        </w:rPr>
        <w:t>4. Career &amp; Job Tenure (Max 20 Points)</w:t>
      </w:r>
    </w:p>
    <w:p>
      <w:pPr>
        <w:spacing w:before="60" w:after="80" w:line="276" w:lineRule="auto"/>
      </w:pPr>
      <w:r>
        <w:rPr>
          <w:rFonts w:ascii="Calibri" w:hAnsi="Calibri"/>
          <w:color w:val="334155"/>
          <w:sz w:val="22"/>
        </w:rPr>
        <w:t>Measures stability of earnings and unlikelihood of sudden income disruption:</w:t>
      </w:r>
    </w:p>
    <w:p>
      <w:pPr>
        <w:spacing w:before="120" w:after="120"/>
        <w:ind w:left="432"/>
      </w:pPr>
      <w:r>
        <w:rPr>
          <w:rFonts w:ascii="Consolas" w:hAnsi="Consolas"/>
          <w:b/>
          <w:color w:val="0E7490"/>
          <w:sz w:val="21"/>
        </w:rPr>
        <w:t>Employment Tenure Score = min? ft(20.0, ; (Job Tenure in Months / 120 months) ? 20.0)</w:t>
      </w:r>
    </w:p>
    <w:p>
      <w:pPr>
        <w:spacing w:before="60" w:after="80" w:line="276" w:lineRule="auto"/>
      </w:pPr>
      <w:r>
        <w:rPr>
          <w:rFonts w:ascii="Calibri" w:hAnsi="Calibri"/>
          <w:color w:val="334155"/>
          <w:sz w:val="22"/>
        </w:rPr>
        <w:t>10+ Years with Employer / Business: 20 points.</w:t>
      </w:r>
    </w:p>
    <w:p>
      <w:pPr>
        <w:spacing w:before="60" w:after="80" w:line="276" w:lineRule="auto"/>
      </w:pPr>
      <w:r>
        <w:rPr>
          <w:rFonts w:ascii="Calibri" w:hAnsi="Calibri"/>
          <w:color w:val="334155"/>
          <w:sz w:val="22"/>
        </w:rPr>
        <w:t>5 Years: 10 points.</w:t>
      </w:r>
    </w:p>
    <w:p>
      <w:pPr>
        <w:spacing w:before="60" w:after="80" w:line="276" w:lineRule="auto"/>
      </w:pPr>
      <w:r>
        <w:rPr>
          <w:rFonts w:ascii="Calibri" w:hAnsi="Calibri"/>
          <w:color w:val="334155"/>
          <w:sz w:val="22"/>
        </w:rPr>
        <w:t>&lt; 1 Year: &lt; 2 points.</w:t>
      </w:r>
    </w:p>
    <w:p>
      <w:pPr>
        <w:keepNext/>
        <w:spacing w:before="320" w:after="80"/>
      </w:pPr>
      <w:r>
        <w:rPr>
          <w:rFonts w:ascii="Calibri" w:hAnsi="Calibri"/>
          <w:b/>
          <w:color w:val="1E3A8A"/>
          <w:sz w:val="30"/>
        </w:rPr>
        <w:t>4. Machine Learning Inference Layer</w:t>
      </w:r>
    </w:p>
    <w:p>
      <w:pPr>
        <w:spacing w:before="60" w:after="80" w:line="276" w:lineRule="auto"/>
      </w:pPr>
      <w:r>
        <w:rPr>
          <w:rFonts w:ascii="Calibri" w:hAnsi="Calibri"/>
          <w:color w:val="334155"/>
          <w:sz w:val="22"/>
        </w:rPr>
        <w:t>In production, these features feed a specialized LightGBM Regressor (lgb_pillar_stability.joblib) that models the non-linear interaction between residential permanence and banking age to estimate expected borrower stability:</w:t>
      </w:r>
    </w:p>
    <w:p>
      <w:pPr>
        <w:keepNext/>
        <w:spacing w:before="320" w:after="80"/>
      </w:pPr>
      <w:r>
        <w:rPr>
          <w:rFonts w:ascii="Calibri" w:hAnsi="Calibri"/>
          <w:b/>
          <w:color w:val="1E3A8A"/>
          <w:sz w:val="30"/>
        </w:rPr>
        <w:t>P06 Score = clip ? ft(fracwidehatSIM Age365.25 ? 5 ? 100.0, ; 0.0, ; 100.0)</w:t>
      </w:r>
    </w:p>
    <w:p>
      <w:pPr>
        <w:spacing w:before="60" w:after="80" w:line="276" w:lineRule="auto"/>
      </w:pPr>
      <w:r>
        <w:rPr>
          <w:rFonts w:ascii="Calibri" w:hAnsi="Calibri"/>
          <w:color w:val="334155"/>
          <w:sz w:val="22"/>
        </w:rPr>
        <w:t>Real-World Example from Our Portfolio:</w:t>
      </w:r>
    </w:p>
    <w:p>
      <w:pPr>
        <w:spacing w:before="60" w:after="80" w:line="276" w:lineRule="auto"/>
      </w:pPr>
      <w:r>
        <w:rPr>
          <w:rFonts w:ascii="Calibri" w:hAnsi="Calibri"/>
          <w:color w:val="334155"/>
          <w:sz w:val="22"/>
        </w:rPr>
        <w:t>#1 Super-Prime Customer (CUST0008856, Salman Dar):</w:t>
      </w:r>
    </w:p>
    <w:p>
      <w:pPr>
        <w:spacing w:before="60" w:after="80" w:line="276" w:lineRule="auto"/>
      </w:pPr>
      <w:r>
        <w:rPr>
          <w:rFonts w:ascii="Calibri" w:hAnsi="Calibri"/>
          <w:color w:val="334155"/>
          <w:sz w:val="22"/>
        </w:rPr>
        <w:t>15+ years at current Lahore residence (Owned).</w:t>
      </w:r>
    </w:p>
    <w:p>
      <w:pPr>
        <w:spacing w:before="60" w:after="80" w:line="276" w:lineRule="auto"/>
      </w:pPr>
      <w:r>
        <w:rPr>
          <w:rFonts w:ascii="Calibri" w:hAnsi="Calibri"/>
          <w:color w:val="334155"/>
          <w:sz w:val="22"/>
        </w:rPr>
        <w:t>8+ years bank account tenure.</w:t>
      </w:r>
    </w:p>
    <w:p>
      <w:pPr>
        <w:spacing w:before="60" w:after="80" w:line="276" w:lineRule="auto"/>
      </w:pPr>
      <w:r>
        <w:rPr>
          <w:rFonts w:ascii="Calibri" w:hAnsi="Calibri"/>
          <w:color w:val="334155"/>
          <w:sz w:val="22"/>
        </w:rPr>
        <w:t>Long-standing postpaid SIM card.</w:t>
      </w:r>
    </w:p>
    <w:p>
      <w:pPr>
        <w:spacing w:before="60" w:after="80" w:line="276" w:lineRule="auto"/>
      </w:pPr>
      <w:r>
        <w:rPr>
          <w:rFonts w:ascii="Calibri" w:hAnsi="Calibri"/>
          <w:color w:val="334155"/>
          <w:sz w:val="22"/>
        </w:rPr>
        <w:t>Senior corporate employment tenure.</w:t>
      </w:r>
    </w:p>
    <w:p>
      <w:pPr>
        <w:spacing w:before="60" w:after="80" w:line="276" w:lineRule="auto"/>
      </w:pPr>
      <w:r>
        <w:rPr>
          <w:rFonts w:ascii="Calibri" w:hAnsi="Calibri"/>
          <w:color w:val="334155"/>
          <w:sz w:val="22"/>
        </w:rPr>
        <w:t>Final P06 Score: 100.0 / 100 (Flawless institutional stability; zero flight risk).</w:t>
      </w:r>
    </w:p>
    <w:p>
      <w:pPr>
        <w:spacing w:before="60" w:after="80" w:line="276" w:lineRule="auto"/>
      </w:pPr>
      <w:r>
        <w:rPr>
          <w:rFonts w:ascii="Calibri" w:hAnsi="Calibri"/>
          <w:color w:val="334155"/>
          <w:sz w:val="22"/>
        </w:rPr>
        <w:t>In theory, the P07 Behavioral Pillar Score (0 - 100) evaluates an applicant's digital psychometrics, cognitive intent, and application interaction patterns.</w:t>
      </w:r>
    </w:p>
    <w:p>
      <w:pPr>
        <w:spacing w:before="60" w:after="80" w:line="276" w:lineRule="auto"/>
      </w:pPr>
      <w:r>
        <w:rPr>
          <w:rFonts w:ascii="Calibri" w:hAnsi="Calibri"/>
          <w:color w:val="334155"/>
          <w:sz w:val="22"/>
        </w:rPr>
        <w:t>Carrying a 7% weight in the composite meta-learner, P07 answers a subtle yet highly predictive credit question:</w:t>
      </w:r>
    </w:p>
    <w:p>
      <w:pPr>
        <w:spacing w:before="60" w:after="80" w:line="276" w:lineRule="auto"/>
      </w:pPr>
      <w:r>
        <w:rPr>
          <w:rFonts w:ascii="Calibri" w:hAnsi="Calibri"/>
          <w:color w:val="334155"/>
          <w:sz w:val="22"/>
        </w:rPr>
        <w:t>"Does the applicant interact with the banking application like a diligent, thoughtful borrower who intends to repay, or like an impulsive, desperate borrower (or bot) rushing to extract cash?"</w:t>
      </w:r>
    </w:p>
    <w:p>
      <w:pPr>
        <w:spacing w:before="60" w:after="80" w:line="276" w:lineRule="auto"/>
      </w:pPr>
      <w:r>
        <w:rPr>
          <w:rFonts w:ascii="Calibri" w:hAnsi="Calibri"/>
          <w:color w:val="334155"/>
          <w:sz w:val="22"/>
        </w:rPr>
        <w:t>While traditional salary slips and bank statements can be polished, in-app micro-behaviors and telemetry are nearly impossible to fake.</w:t>
      </w:r>
    </w:p>
    <w:p>
      <w:pPr>
        <w:keepNext/>
        <w:spacing w:before="320" w:after="80"/>
      </w:pPr>
      <w:r>
        <w:rPr>
          <w:rFonts w:ascii="Calibri" w:hAnsi="Calibri"/>
          <w:b/>
          <w:color w:val="1E3A8A"/>
          <w:sz w:val="30"/>
        </w:rPr>
        <w:t>1. Data Sources Feeding P07</w:t>
      </w:r>
    </w:p>
    <w:p>
      <w:pPr>
        <w:keepNext/>
        <w:spacing w:before="320" w:after="80"/>
      </w:pPr>
      <w:r>
        <w:rPr>
          <w:rFonts w:ascii="Calibri" w:hAnsi="Calibri"/>
          <w:b/>
          <w:color w:val="1E3A8A"/>
          <w:sz w:val="30"/>
        </w:rPr>
        <w:t>P07 is driven by real-time mobile app telemetry:</w:t>
      </w:r>
    </w:p>
    <w:p>
      <w:pPr>
        <w:spacing w:before="60" w:after="80" w:line="276" w:lineRule="auto"/>
      </w:pPr>
      <w:r>
        <w:rPr>
          <w:rFonts w:ascii="Calibri" w:hAnsi="Calibri"/>
          <w:color w:val="334155"/>
          <w:sz w:val="22"/>
        </w:rPr>
        <w:t>Family F4 (Behavioral Biometrics): Millisecond session timestamps, form navigation pace, keystroke vs. paste telemetry, and hesitation pauses.</w:t>
      </w:r>
    </w:p>
    <w:p>
      <w:pPr>
        <w:spacing w:before="60" w:after="80" w:line="276" w:lineRule="auto"/>
      </w:pPr>
      <w:r>
        <w:rPr>
          <w:rFonts w:ascii="Calibri" w:hAnsi="Calibri"/>
          <w:color w:val="334155"/>
          <w:sz w:val="22"/>
        </w:rPr>
        <w:t>Family F6 &amp; F7 (Digital Wallet &amp; App Habits): Pre-loan engagement frequency, utility bill payments, and merchant transaction habits.</w:t>
      </w:r>
    </w:p>
    <w:p>
      <w:pPr>
        <w:keepNext/>
        <w:spacing w:before="320" w:after="80"/>
      </w:pPr>
      <w:r>
        <w:rPr>
          <w:rFonts w:ascii="Calibri" w:hAnsi="Calibri"/>
          <w:b/>
          <w:color w:val="1E3A8A"/>
          <w:sz w:val="30"/>
        </w:rPr>
        <w:t>2. The Theoretical Formulation</w:t>
      </w:r>
    </w:p>
    <w:p>
      <w:pPr>
        <w:spacing w:before="120" w:after="120"/>
        <w:ind w:left="432"/>
      </w:pPr>
      <w:r>
        <w:rPr>
          <w:rFonts w:ascii="Consolas" w:hAnsi="Consolas"/>
          <w:b/>
          <w:color w:val="0E7490"/>
          <w:sz w:val="21"/>
        </w:rPr>
        <w:t>P07 Score = Baseline Stability + Session Pace Score + Organic Engagement Bonus - Behavioral Anomalies</w:t>
      </w:r>
    </w:p>
    <w:p>
      <w:pPr>
        <w:spacing w:before="60" w:after="80" w:line="276" w:lineRule="auto"/>
      </w:pPr>
      <w:r>
        <w:rPr>
          <w:rFonts w:ascii="Calibri" w:hAnsi="Calibri"/>
          <w:color w:val="334155"/>
          <w:sz w:val="22"/>
        </w:rPr>
        <w:t>mermaid</w:t>
      </w:r>
    </w:p>
    <w:p>
      <w:pPr>
        <w:spacing w:before="60" w:after="80" w:line="276" w:lineRule="auto"/>
      </w:pPr>
      <w:r>
        <w:rPr>
          <w:rFonts w:ascii="Calibri" w:hAnsi="Calibri"/>
          <w:color w:val="334155"/>
          <w:sz w:val="22"/>
        </w:rPr>
        <w:t>flowchart TD</w:t>
      </w:r>
    </w:p>
    <w:p>
      <w:pPr>
        <w:spacing w:before="60" w:after="80" w:line="276" w:lineRule="auto"/>
      </w:pPr>
      <w:r>
        <w:rPr>
          <w:rFonts w:ascii="Calibri" w:hAnsi="Calibri"/>
          <w:color w:val="334155"/>
          <w:sz w:val="22"/>
        </w:rPr>
        <w:t>A["In-App Telemetry &amp; Session Stream"] --&gt; B["1. Application Pace &amp; Dwell Time&lt;br/&gt;Ideal: 2 to 8 mins (Calm, deliberate review)"]</w:t>
      </w:r>
    </w:p>
    <w:p>
      <w:pPr>
        <w:spacing w:before="60" w:after="80" w:line="276" w:lineRule="auto"/>
      </w:pPr>
      <w:r>
        <w:rPr>
          <w:rFonts w:ascii="Calibri" w:hAnsi="Calibri"/>
          <w:color w:val="334155"/>
          <w:sz w:val="22"/>
        </w:rPr>
        <w:t>A --&gt; C["2. Cognitive Typing Cadence&lt;br/&gt;Natural key entry vs. clipboard copy-paste"]</w:t>
      </w:r>
    </w:p>
    <w:p>
      <w:pPr>
        <w:spacing w:before="60" w:after="80" w:line="276" w:lineRule="auto"/>
      </w:pPr>
      <w:r>
        <w:rPr>
          <w:rFonts w:ascii="Calibri" w:hAnsi="Calibri"/>
          <w:color w:val="334155"/>
          <w:sz w:val="22"/>
        </w:rPr>
        <w:t>A --&gt; D["3. Pre-Application Touchpoints&lt;br/&gt;Active multi-day app engagement vs. hit-and-run"]</w:t>
      </w:r>
    </w:p>
    <w:p>
      <w:pPr>
        <w:spacing w:before="60" w:after="80" w:line="276" w:lineRule="auto"/>
      </w:pPr>
      <w:r>
        <w:rPr>
          <w:rFonts w:ascii="Calibri" w:hAnsi="Calibri"/>
          <w:color w:val="334155"/>
          <w:sz w:val="22"/>
        </w:rPr>
        <w:t>A --&gt; E["4. Digital Wallet Signal&lt;br/&gt;Everyday utility &amp; merchant QR payments"]</w:t>
      </w:r>
    </w:p>
    <w:p>
      <w:pPr>
        <w:spacing w:before="60" w:after="80" w:line="276" w:lineRule="auto"/>
      </w:pPr>
      <w:r>
        <w:rPr>
          <w:rFonts w:ascii="Calibri" w:hAnsi="Calibri"/>
          <w:color w:val="334155"/>
          <w:sz w:val="22"/>
        </w:rPr>
        <w:t>B &amp; C &amp; D &amp; E --&gt; F["LightGBM Behavioral Model &amp; Heuristic Calibration"]</w:t>
      </w:r>
    </w:p>
    <w:p>
      <w:pPr>
        <w:spacing w:before="60" w:after="80" w:line="276" w:lineRule="auto"/>
      </w:pPr>
      <w:r>
        <w:rPr>
          <w:rFonts w:ascii="Calibri" w:hAnsi="Calibri"/>
          <w:color w:val="334155"/>
          <w:sz w:val="22"/>
        </w:rPr>
        <w:t>F --&gt; G["Final P07 Score (0 - 100)"]</w:t>
      </w:r>
    </w:p>
    <w:p>
      <w:pPr>
        <w:keepNext/>
        <w:spacing w:before="320" w:after="80"/>
      </w:pPr>
      <w:r>
        <w:rPr>
          <w:rFonts w:ascii="Calibri" w:hAnsi="Calibri"/>
          <w:b/>
          <w:color w:val="1E3A8A"/>
          <w:sz w:val="30"/>
        </w:rPr>
        <w:t>3. Key Components &amp; Mathematical Mechanics</w:t>
      </w:r>
    </w:p>
    <w:p>
      <w:pPr>
        <w:keepNext/>
        <w:spacing w:before="320" w:after="80"/>
      </w:pPr>
      <w:r>
        <w:rPr>
          <w:rFonts w:ascii="Calibri" w:hAnsi="Calibri"/>
          <w:b/>
          <w:color w:val="1E3A8A"/>
          <w:sz w:val="30"/>
        </w:rPr>
        <w:t>1. Application Pace &amp; Dwell Time (dev_avg_session_duration_sec)</w:t>
      </w:r>
    </w:p>
    <w:p>
      <w:pPr>
        <w:spacing w:before="60" w:after="80" w:line="276" w:lineRule="auto"/>
      </w:pPr>
      <w:r>
        <w:rPr>
          <w:rFonts w:ascii="Calibri" w:hAnsi="Calibri"/>
          <w:color w:val="334155"/>
          <w:sz w:val="22"/>
        </w:rPr>
        <w:t>Credit behavioral science shows that repayment probability follows a bell curve with respect to application speed:</w:t>
      </w:r>
    </w:p>
    <w:p>
      <w:pPr>
        <w:spacing w:before="60" w:after="80" w:line="276" w:lineRule="auto"/>
      </w:pPr>
      <w:r>
        <w:rPr>
          <w:rFonts w:ascii="Calibri" w:hAnsi="Calibri"/>
          <w:color w:val="334155"/>
          <w:sz w:val="22"/>
        </w:rPr>
        <w:t>Ideal Deliberate Pace (120 - 480 seconds / 2 to 8 minutes): +10 points</w:t>
        <w:br/>
        <w:t>The borrower reads the repayment schedule, compares interest rates, and carefully fills in fields. This demonstrates financial mindfulness and low impulsivity.</w:t>
      </w:r>
    </w:p>
    <w:p>
      <w:pPr>
        <w:spacing w:before="60" w:after="80" w:line="276" w:lineRule="auto"/>
      </w:pPr>
      <w:r>
        <w:rPr>
          <w:rFonts w:ascii="Calibri" w:hAnsi="Calibri"/>
          <w:color w:val="334155"/>
          <w:sz w:val="22"/>
        </w:rPr>
        <w:t>Ultra-Rushed Pace (&lt; 60 seconds): +2 points (Heavily discounted)</w:t>
        <w:br/>
        <w:t>Clicking "Next-Next-Next" in 30 seconds indicates high financial desperation, reckless disregard for loan terms, or an automated bot.</w:t>
      </w:r>
    </w:p>
    <w:p>
      <w:pPr>
        <w:spacing w:before="60" w:after="80" w:line="276" w:lineRule="auto"/>
      </w:pPr>
      <w:r>
        <w:rPr>
          <w:rFonts w:ascii="Calibri" w:hAnsi="Calibri"/>
          <w:color w:val="334155"/>
          <w:sz w:val="22"/>
        </w:rPr>
        <w:t>Excessive Stalling (&gt; 10 minutes): +6 points</w:t>
        <w:br/>
        <w:t>High hesitation or difficulty answering basic personal questions.</w:t>
      </w:r>
    </w:p>
    <w:p>
      <w:pPr>
        <w:keepNext/>
        <w:spacing w:before="320" w:after="80"/>
      </w:pPr>
      <w:r>
        <w:rPr>
          <w:rFonts w:ascii="Calibri" w:hAnsi="Calibri"/>
          <w:b/>
          <w:color w:val="1E3A8A"/>
          <w:sz w:val="30"/>
        </w:rPr>
        <w:t>2. Cognitive Biometrics &amp; Typing Cadence</w:t>
      </w:r>
    </w:p>
    <w:p>
      <w:pPr>
        <w:spacing w:before="60" w:after="80" w:line="276" w:lineRule="auto"/>
      </w:pPr>
      <w:r>
        <w:rPr>
          <w:rFonts w:ascii="Calibri" w:hAnsi="Calibri"/>
          <w:color w:val="334155"/>
          <w:sz w:val="22"/>
        </w:rPr>
        <w:t>Natural Keystroke Flow (dev_behavioral_risk_score):</w:t>
        <w:br/>
        <w:t>Measures consistency in keystroke dynamics (flight time between keys, backspace corrections). Lower risk scores grant up to +25 points.</w:t>
      </w:r>
    </w:p>
    <w:p>
      <w:pPr>
        <w:spacing w:before="60" w:after="80" w:line="276" w:lineRule="auto"/>
      </w:pPr>
      <w:r>
        <w:rPr>
          <w:rFonts w:ascii="Calibri" w:hAnsi="Calibri"/>
          <w:color w:val="334155"/>
          <w:sz w:val="22"/>
        </w:rPr>
        <w:t>Clipboard Copy-Paste Penalty (dev_copy_paste_id_field):</w:t>
        <w:br/>
        <w:t>A legitimate human borrower knows their own Name and National ID by heart and types them manually. Pasting identity fields triggers an immediate -10 point deduction (signals synthetic identity brokering or identity theft).</w:t>
      </w:r>
    </w:p>
    <w:p>
      <w:pPr>
        <w:keepNext/>
        <w:spacing w:before="320" w:after="80"/>
      </w:pPr>
      <w:r>
        <w:rPr>
          <w:rFonts w:ascii="Calibri" w:hAnsi="Calibri"/>
          <w:b/>
          <w:color w:val="1E3A8A"/>
          <w:sz w:val="30"/>
        </w:rPr>
        <w:t>3. Organic Engagement vs. "Hit-and-Run" (dev_session_count_7d)</w:t>
      </w:r>
    </w:p>
    <w:p>
      <w:pPr>
        <w:spacing w:before="60" w:after="80" w:line="276" w:lineRule="auto"/>
      </w:pPr>
      <w:r>
        <w:rPr>
          <w:rFonts w:ascii="Calibri" w:hAnsi="Calibri"/>
          <w:color w:val="334155"/>
          <w:sz w:val="22"/>
        </w:rPr>
        <w:t>Multi-Touch Organic User ( ? 10 app opens in 7 days): Grants up to +15 bonus points.</w:t>
        <w:br/>
        <w:t>The applicant uses the mobile banking app regularly (checking balances, sending money, using budget tools).</w:t>
      </w:r>
    </w:p>
    <w:p>
      <w:pPr>
        <w:spacing w:before="60" w:after="80" w:line="276" w:lineRule="auto"/>
      </w:pPr>
      <w:r>
        <w:rPr>
          <w:rFonts w:ascii="Calibri" w:hAnsi="Calibri"/>
          <w:color w:val="334155"/>
          <w:sz w:val="22"/>
        </w:rPr>
        <w:t>Zero-History "Hit-and-Run" (1 single session): Grants near-zero bonus.</w:t>
        <w:br/>
        <w:t>The user downloaded the app purely to extract a quick cash loan and will likely uninstall it immediately after disbursement.</w:t>
      </w:r>
    </w:p>
    <w:p>
      <w:pPr>
        <w:keepNext/>
        <w:spacing w:before="320" w:after="80"/>
      </w:pPr>
      <w:r>
        <w:rPr>
          <w:rFonts w:ascii="Calibri" w:hAnsi="Calibri"/>
          <w:b/>
          <w:color w:val="1E3A8A"/>
          <w:sz w:val="30"/>
        </w:rPr>
        <w:t>4. Everyday Digital Wallet Discipline (wal_wallet_credit_signal)</w:t>
      </w:r>
    </w:p>
    <w:p>
      <w:pPr>
        <w:spacing w:before="60" w:after="80" w:line="276" w:lineRule="auto"/>
      </w:pPr>
      <w:r>
        <w:rPr>
          <w:rFonts w:ascii="Calibri" w:hAnsi="Calibri"/>
          <w:color w:val="334155"/>
          <w:sz w:val="22"/>
        </w:rPr>
        <w:t>Evaluates non-credit financial responsibility: punctual utility bill payments (electricity, gas, internet), recurring mobile top-ups, and point-of-sale QR transactions grant up to +5 bonus points.</w:t>
      </w:r>
    </w:p>
    <w:p>
      <w:pPr>
        <w:keepNext/>
        <w:spacing w:before="320" w:after="80"/>
      </w:pPr>
      <w:r>
        <w:rPr>
          <w:rFonts w:ascii="Calibri" w:hAnsi="Calibri"/>
          <w:b/>
          <w:color w:val="1E3A8A"/>
          <w:sz w:val="30"/>
        </w:rPr>
        <w:t>4. Machine Learning Inference Layer</w:t>
      </w:r>
    </w:p>
    <w:p>
      <w:pPr>
        <w:spacing w:before="60" w:after="80" w:line="276" w:lineRule="auto"/>
      </w:pPr>
      <w:r>
        <w:rPr>
          <w:rFonts w:ascii="Calibri" w:hAnsi="Calibri"/>
          <w:color w:val="334155"/>
          <w:sz w:val="22"/>
        </w:rPr>
        <w:t>In production, these micro-signals feed a dedicated LightGBM Regressor (lgb_pillar_behavioral.joblib): Features = big[Session Replay Anomaly Score, ; Behavioral Risk Score, ; Average Session Durationbig]</w:t>
      </w:r>
    </w:p>
    <w:p>
      <w:pPr>
        <w:spacing w:before="120" w:after="120"/>
        <w:ind w:left="432"/>
      </w:pPr>
      <w:r>
        <w:rPr>
          <w:rFonts w:ascii="Consolas" w:hAnsi="Consolas"/>
          <w:b/>
          <w:color w:val="0E7490"/>
          <w:sz w:val="21"/>
        </w:rPr>
        <w:t>The model estimates the applicant's long-term behavioral reliability hatb and maps it to the standard credit scale: P07 Score = clip(40.0 + (hatb ? 3.0), ; 0.0, ; 100.0)</w:t>
      </w:r>
    </w:p>
    <w:p>
      <w:pPr>
        <w:spacing w:before="60" w:after="80" w:line="276" w:lineRule="auto"/>
      </w:pPr>
      <w:r>
        <w:rPr>
          <w:rFonts w:ascii="Calibri" w:hAnsi="Calibri"/>
          <w:color w:val="334155"/>
          <w:sz w:val="22"/>
        </w:rPr>
        <w:t>Summary of Behavioral Tiers</w:t>
      </w:r>
    </w:p>
    <w:p>
      <w:pPr>
        <w:spacing w:before="60" w:after="80" w:line="276" w:lineRule="auto"/>
      </w:pPr>
      <w:r>
        <w:rPr>
          <w:rFonts w:ascii="Calibri" w:hAnsi="Calibri"/>
          <w:color w:val="334155"/>
          <w:sz w:val="22"/>
        </w:rPr>
        <w:t>80 - 100 (Mindful / Prime Borrower): Takes 3-5 minutes, manually types details, multiple organic app touchpoints, zero paste anomalies.</w:t>
      </w:r>
    </w:p>
    <w:p>
      <w:pPr>
        <w:spacing w:before="60" w:after="80" w:line="276" w:lineRule="auto"/>
      </w:pPr>
      <w:r>
        <w:rPr>
          <w:rFonts w:ascii="Calibri" w:hAnsi="Calibri"/>
          <w:color w:val="334155"/>
          <w:sz w:val="22"/>
        </w:rPr>
        <w:t>50 - 79 (Standard Digital Applicant): Normal interaction, acceptable duration, verified device.</w:t>
      </w:r>
    </w:p>
    <w:p>
      <w:pPr>
        <w:spacing w:before="60" w:after="80" w:line="276" w:lineRule="auto"/>
      </w:pPr>
      <w:r>
        <w:rPr>
          <w:rFonts w:ascii="Calibri" w:hAnsi="Calibri"/>
          <w:color w:val="334155"/>
          <w:sz w:val="22"/>
        </w:rPr>
        <w:t>&lt; 50 (High Behavioral Risk): Rushed application (&lt;45s), copy-pasting identity tokens, or erratic session pauses.</w:t>
      </w:r>
    </w:p>
    <w:p>
      <w:pPr>
        <w:spacing w:before="60" w:after="80" w:line="276" w:lineRule="auto"/>
      </w:pPr>
      <w:r>
        <w:rPr>
          <w:rFonts w:ascii="Calibri" w:hAnsi="Calibri"/>
          <w:color w:val="334155"/>
          <w:sz w:val="22"/>
        </w:rPr>
        <w:t>In theory, the P08 Digital Footprint Pillar Score (0 - 100) measures an applicant's digital vintage, online reputation, and internet footprint maturation.</w:t>
      </w:r>
    </w:p>
    <w:p>
      <w:pPr>
        <w:spacing w:before="60" w:after="80" w:line="276" w:lineRule="auto"/>
      </w:pPr>
      <w:r>
        <w:rPr>
          <w:rFonts w:ascii="Calibri" w:hAnsi="Calibri"/>
          <w:color w:val="334155"/>
          <w:sz w:val="22"/>
        </w:rPr>
        <w:t>Carrying a 4% weight in the composite meta-learner, P08 is especially vital for thin-file, unbanked, and younger borrowers who lack formal credit bureau records:</w:t>
      </w:r>
    </w:p>
    <w:p>
      <w:pPr>
        <w:spacing w:before="60" w:after="80" w:line="276" w:lineRule="auto"/>
      </w:pPr>
      <w:r>
        <w:rPr>
          <w:rFonts w:ascii="Calibri" w:hAnsi="Calibri"/>
          <w:color w:val="334155"/>
          <w:sz w:val="22"/>
        </w:rPr>
        <w:t>"A person might not have a 10-year bank loan history, but in the modern digital economy, a legitimate human cannot easily fake a 10-year-old email address, a 6-year-old phone number, and an established Google/Apple digital trail."</w:t>
      </w:r>
    </w:p>
    <w:p>
      <w:pPr>
        <w:keepNext/>
        <w:spacing w:before="320" w:after="80"/>
      </w:pPr>
      <w:r>
        <w:rPr>
          <w:rFonts w:ascii="Calibri" w:hAnsi="Calibri"/>
          <w:b/>
          <w:color w:val="1E3A8A"/>
          <w:sz w:val="30"/>
        </w:rPr>
        <w:t>1. Data Sources Feeding P08</w:t>
      </w:r>
    </w:p>
    <w:p>
      <w:pPr>
        <w:keepNext/>
        <w:spacing w:before="320" w:after="80"/>
      </w:pPr>
      <w:r>
        <w:rPr>
          <w:rFonts w:ascii="Calibri" w:hAnsi="Calibri"/>
          <w:b/>
          <w:color w:val="1E3A8A"/>
          <w:sz w:val="30"/>
        </w:rPr>
        <w:t>P08 is powered by Family F11 (Digital Footprint):</w:t>
      </w:r>
    </w:p>
    <w:p>
      <w:pPr>
        <w:spacing w:before="60" w:after="80" w:line="276" w:lineRule="auto"/>
      </w:pPr>
      <w:r>
        <w:rPr>
          <w:rFonts w:ascii="Calibri" w:hAnsi="Calibri"/>
          <w:color w:val="334155"/>
          <w:sz w:val="22"/>
        </w:rPr>
        <w:t>Email Intelligence: Age of the email address (domain creation and breach/activity history), provider domain reputation.</w:t>
      </w:r>
    </w:p>
    <w:p>
      <w:pPr>
        <w:spacing w:before="60" w:after="80" w:line="276" w:lineRule="auto"/>
      </w:pPr>
      <w:r>
        <w:rPr>
          <w:rFonts w:ascii="Calibri" w:hAnsi="Calibri"/>
          <w:color w:val="334155"/>
          <w:sz w:val="22"/>
        </w:rPr>
        <w:t>Telecom Metadata: Contract tier (Postpaid billing vs. anonymous Prepaid).</w:t>
      </w:r>
    </w:p>
    <w:p>
      <w:pPr>
        <w:spacing w:before="60" w:after="80" w:line="276" w:lineRule="auto"/>
      </w:pPr>
      <w:r>
        <w:rPr>
          <w:rFonts w:ascii="Calibri" w:hAnsi="Calibri"/>
          <w:color w:val="334155"/>
          <w:sz w:val="22"/>
        </w:rPr>
        <w:t>Network &amp; OS Attestation: Hardware integrity (Google Play Protect / DeviceCheck) and network proxy evasion flags.</w:t>
      </w:r>
    </w:p>
    <w:p>
      <w:pPr>
        <w:keepNext/>
        <w:spacing w:before="320" w:after="80"/>
      </w:pPr>
      <w:r>
        <w:rPr>
          <w:rFonts w:ascii="Calibri" w:hAnsi="Calibri"/>
          <w:b/>
          <w:color w:val="1E3A8A"/>
          <w:sz w:val="30"/>
        </w:rPr>
        <w:t>2. The Theoretical Formulation</w:t>
      </w:r>
    </w:p>
    <w:p>
      <w:pPr>
        <w:spacing w:before="120" w:after="120"/>
        <w:ind w:left="432"/>
      </w:pPr>
      <w:r>
        <w:rPr>
          <w:rFonts w:ascii="Consolas" w:hAnsi="Consolas"/>
          <w:b/>
          <w:color w:val="0E7490"/>
          <w:sz w:val="21"/>
        </w:rPr>
        <w:t>P08 Score = Email Vintage + SIM Vintage + Domain Reputation + Contract Type - Anonymization Penalties</w:t>
      </w:r>
    </w:p>
    <w:p>
      <w:pPr>
        <w:spacing w:before="60" w:after="80" w:line="276" w:lineRule="auto"/>
      </w:pPr>
      <w:r>
        <w:rPr>
          <w:rFonts w:ascii="Calibri" w:hAnsi="Calibri"/>
          <w:color w:val="334155"/>
          <w:sz w:val="22"/>
        </w:rPr>
        <w:t>mermaid</w:t>
      </w:r>
    </w:p>
    <w:p>
      <w:pPr>
        <w:spacing w:before="60" w:after="80" w:line="276" w:lineRule="auto"/>
      </w:pPr>
      <w:r>
        <w:rPr>
          <w:rFonts w:ascii="Calibri" w:hAnsi="Calibri"/>
          <w:color w:val="334155"/>
          <w:sz w:val="22"/>
        </w:rPr>
        <w:t>flowchart TD</w:t>
      </w:r>
    </w:p>
    <w:p>
      <w:pPr>
        <w:spacing w:before="60" w:after="80" w:line="276" w:lineRule="auto"/>
      </w:pPr>
      <w:r>
        <w:rPr>
          <w:rFonts w:ascii="Calibri" w:hAnsi="Calibri"/>
          <w:color w:val="334155"/>
          <w:sz w:val="22"/>
        </w:rPr>
        <w:t>A["Digital Identity Footprint"] --&gt; B["1. Email Account Vintage (0 - 30 pts)&lt;br/&gt;Days since first online existence (up to 15 yrs)"]</w:t>
      </w:r>
    </w:p>
    <w:p>
      <w:pPr>
        <w:spacing w:before="60" w:after="80" w:line="276" w:lineRule="auto"/>
      </w:pPr>
      <w:r>
        <w:rPr>
          <w:rFonts w:ascii="Calibri" w:hAnsi="Calibri"/>
          <w:color w:val="334155"/>
          <w:sz w:val="22"/>
        </w:rPr>
        <w:t>A --&gt; C["2. SIM Identity Vintage (0 - 25 pts)&lt;br/&gt;Active age of mobile identifier (up to 10 yrs)"]</w:t>
      </w:r>
    </w:p>
    <w:p>
      <w:pPr>
        <w:spacing w:before="60" w:after="80" w:line="276" w:lineRule="auto"/>
      </w:pPr>
      <w:r>
        <w:rPr>
          <w:rFonts w:ascii="Calibri" w:hAnsi="Calibri"/>
          <w:color w:val="334155"/>
          <w:sz w:val="22"/>
        </w:rPr>
        <w:t>A --&gt; D["3. Provider Domain Reputation (0 - 15 pts)&lt;br/&gt;Reputable provider vs. disposable burner email"]</w:t>
      </w:r>
    </w:p>
    <w:p>
      <w:pPr>
        <w:spacing w:before="60" w:after="80" w:line="276" w:lineRule="auto"/>
      </w:pPr>
      <w:r>
        <w:rPr>
          <w:rFonts w:ascii="Calibri" w:hAnsi="Calibri"/>
          <w:color w:val="334155"/>
          <w:sz w:val="22"/>
        </w:rPr>
        <w:t>A --&gt; E["4. Postpaid vs. Prepaid Contract (8 - 15 pts)&lt;br/&gt;Vetted postpaid contract = high credit signal"]</w:t>
      </w:r>
    </w:p>
    <w:p>
      <w:pPr>
        <w:spacing w:before="60" w:after="80" w:line="276" w:lineRule="auto"/>
      </w:pPr>
      <w:r>
        <w:rPr>
          <w:rFonts w:ascii="Calibri" w:hAnsi="Calibri"/>
          <w:color w:val="334155"/>
          <w:sz w:val="22"/>
        </w:rPr>
        <w:t>A --&gt; F["5. Hardware &amp; Network Integrity&lt;br/&gt;VPN, proxy, and OS tampering deductions"]</w:t>
      </w:r>
    </w:p>
    <w:p>
      <w:pPr>
        <w:spacing w:before="60" w:after="80" w:line="276" w:lineRule="auto"/>
      </w:pPr>
      <w:r>
        <w:rPr>
          <w:rFonts w:ascii="Calibri" w:hAnsi="Calibri"/>
          <w:color w:val="334155"/>
          <w:sz w:val="22"/>
        </w:rPr>
        <w:t>B &amp; C &amp; D &amp; E --&gt; G["LightGBM Footprint Model &amp; Heuristic Blend"]</w:t>
      </w:r>
    </w:p>
    <w:p>
      <w:pPr>
        <w:spacing w:before="60" w:after="80" w:line="276" w:lineRule="auto"/>
      </w:pPr>
      <w:r>
        <w:rPr>
          <w:rFonts w:ascii="Calibri" w:hAnsi="Calibri"/>
          <w:color w:val="334155"/>
          <w:sz w:val="22"/>
        </w:rPr>
        <w:t>F -. "Deductions" .-&gt; G</w:t>
      </w:r>
    </w:p>
    <w:p>
      <w:pPr>
        <w:spacing w:before="60" w:after="80" w:line="276" w:lineRule="auto"/>
      </w:pPr>
      <w:r>
        <w:rPr>
          <w:rFonts w:ascii="Calibri" w:hAnsi="Calibri"/>
          <w:color w:val="334155"/>
          <w:sz w:val="22"/>
        </w:rPr>
        <w:t>G --&gt; H["Final P08 Score (0 - 100)"]</w:t>
      </w:r>
    </w:p>
    <w:p>
      <w:pPr>
        <w:keepNext/>
        <w:spacing w:before="320" w:after="80"/>
      </w:pPr>
      <w:r>
        <w:rPr>
          <w:rFonts w:ascii="Calibri" w:hAnsi="Calibri"/>
          <w:b/>
          <w:color w:val="1E3A8A"/>
          <w:sz w:val="30"/>
        </w:rPr>
        <w:t>3. Key Components &amp; Mathematical Mechanics</w:t>
      </w:r>
    </w:p>
    <w:p>
      <w:pPr>
        <w:keepNext/>
        <w:spacing w:before="320" w:after="80"/>
      </w:pPr>
      <w:r>
        <w:rPr>
          <w:rFonts w:ascii="Calibri" w:hAnsi="Calibri"/>
          <w:b/>
          <w:color w:val="1E3A8A"/>
          <w:sz w:val="30"/>
        </w:rPr>
        <w:t>1. Email Account Vintage (email_age_days) (Max 30 Points)</w:t>
      </w:r>
    </w:p>
    <w:p>
      <w:pPr>
        <w:spacing w:before="60" w:after="80" w:line="276" w:lineRule="auto"/>
      </w:pPr>
      <w:r>
        <w:rPr>
          <w:rFonts w:ascii="Calibri" w:hAnsi="Calibri"/>
          <w:color w:val="334155"/>
          <w:sz w:val="22"/>
        </w:rPr>
        <w:t>Fraud syndicates and hit-and-run defaulters almost always use freshly minted email accounts (created days or hours before submitting loan applications).</w:t>
        <w:br/>
        <w:t>The engine measures how long the email has existed across global digital ecosystem databases (e.g., Google, Microsoft, social platforms):</w:t>
      </w:r>
    </w:p>
    <w:p>
      <w:pPr>
        <w:spacing w:before="120" w:after="120"/>
        <w:ind w:left="432"/>
      </w:pPr>
      <w:r>
        <w:rPr>
          <w:rFonts w:ascii="Consolas" w:hAnsi="Consolas"/>
          <w:b/>
          <w:color w:val="0E7490"/>
          <w:sz w:val="21"/>
        </w:rPr>
        <w:t>Email Vintage Score = min? ft(30.0, ; (Email Age in Days / 5,475 days (15 yrs)) ? 30.0)</w:t>
      </w:r>
    </w:p>
    <w:p>
      <w:pPr>
        <w:spacing w:before="60" w:after="80" w:line="276" w:lineRule="auto"/>
      </w:pPr>
      <w:r>
        <w:rPr>
          <w:rFonts w:ascii="Calibri" w:hAnsi="Calibri"/>
          <w:color w:val="334155"/>
          <w:sz w:val="22"/>
        </w:rPr>
        <w:t>10+ Years Old (3,650+ Days): ~20 to 30 points (Indicates an authentic adult with an established digital life).</w:t>
      </w:r>
    </w:p>
    <w:p>
      <w:pPr>
        <w:spacing w:before="60" w:after="80" w:line="276" w:lineRule="auto"/>
      </w:pPr>
      <w:r>
        <w:rPr>
          <w:rFonts w:ascii="Calibri" w:hAnsi="Calibri"/>
          <w:color w:val="334155"/>
          <w:sz w:val="22"/>
        </w:rPr>
        <w:t>3 Years Old: ~6 points.</w:t>
      </w:r>
    </w:p>
    <w:p>
      <w:pPr>
        <w:spacing w:before="60" w:after="80" w:line="276" w:lineRule="auto"/>
      </w:pPr>
      <w:r>
        <w:rPr>
          <w:rFonts w:ascii="Calibri" w:hAnsi="Calibri"/>
          <w:color w:val="334155"/>
          <w:sz w:val="22"/>
        </w:rPr>
        <w:t>&lt; 30 Days Old (Burner Email): 0 points (Strong red flag for synthetic identity).</w:t>
      </w:r>
    </w:p>
    <w:p>
      <w:pPr>
        <w:keepNext/>
        <w:spacing w:before="320" w:after="80"/>
      </w:pPr>
      <w:r>
        <w:rPr>
          <w:rFonts w:ascii="Calibri" w:hAnsi="Calibri"/>
          <w:b/>
          <w:color w:val="1E3A8A"/>
          <w:sz w:val="30"/>
        </w:rPr>
        <w:t>2. Mobile SIM Identity Vintage (sim_age_days) (Max 25 Points)</w:t>
      </w:r>
    </w:p>
    <w:p>
      <w:pPr>
        <w:spacing w:before="60" w:after="80" w:line="276" w:lineRule="auto"/>
      </w:pPr>
      <w:r>
        <w:rPr>
          <w:rFonts w:ascii="Calibri" w:hAnsi="Calibri"/>
          <w:color w:val="334155"/>
          <w:sz w:val="22"/>
        </w:rPr>
        <w:t>Measures the duration the borrower has maintained their phone number on the national telecom grid:</w:t>
      </w:r>
    </w:p>
    <w:p>
      <w:pPr>
        <w:spacing w:before="120" w:after="120"/>
        <w:ind w:left="432"/>
      </w:pPr>
      <w:r>
        <w:rPr>
          <w:rFonts w:ascii="Consolas" w:hAnsi="Consolas"/>
          <w:b/>
          <w:color w:val="0E7490"/>
          <w:sz w:val="21"/>
        </w:rPr>
        <w:t>SIM Vintage Score = min? ft(25.0, ; (SIM Age in Days / 3,650 days (10 yrs)) ? 25.0)</w:t>
      </w:r>
    </w:p>
    <w:p>
      <w:pPr>
        <w:spacing w:before="60" w:after="80" w:line="276" w:lineRule="auto"/>
      </w:pPr>
      <w:r>
        <w:rPr>
          <w:rFonts w:ascii="Calibri" w:hAnsi="Calibri"/>
          <w:color w:val="334155"/>
          <w:sz w:val="22"/>
        </w:rPr>
        <w:t>5+ Years (1,825+ Days): 12.5 to 25 points (The phone number is deeply intertwined with banking, family, and utility records).</w:t>
      </w:r>
    </w:p>
    <w:p>
      <w:pPr>
        <w:spacing w:before="60" w:after="80" w:line="276" w:lineRule="auto"/>
      </w:pPr>
      <w:r>
        <w:rPr>
          <w:rFonts w:ascii="Calibri" w:hAnsi="Calibri"/>
          <w:color w:val="334155"/>
          <w:sz w:val="22"/>
        </w:rPr>
        <w:t>&lt; 6 Months: &lt; 1 point.</w:t>
      </w:r>
    </w:p>
    <w:p>
      <w:pPr>
        <w:keepNext/>
        <w:spacing w:before="320" w:after="80"/>
      </w:pPr>
      <w:r>
        <w:rPr>
          <w:rFonts w:ascii="Calibri" w:hAnsi="Calibri"/>
          <w:b/>
          <w:color w:val="1E3A8A"/>
          <w:sz w:val="30"/>
        </w:rPr>
        <w:t>3. Provider Domain Quality &amp; Reputation (Max 15 Points)</w:t>
      </w:r>
    </w:p>
    <w:p>
      <w:pPr>
        <w:spacing w:before="60" w:after="80" w:line="276" w:lineRule="auto"/>
      </w:pPr>
      <w:r>
        <w:rPr>
          <w:rFonts w:ascii="Calibri" w:hAnsi="Calibri"/>
          <w:color w:val="334155"/>
          <w:sz w:val="22"/>
        </w:rPr>
        <w:t>Tier-1 Established Providers (gmail.com, outlook.com): 13.5 to 15 points.</w:t>
      </w:r>
    </w:p>
    <w:p>
      <w:pPr>
        <w:spacing w:before="60" w:after="80" w:line="276" w:lineRule="auto"/>
      </w:pPr>
      <w:r>
        <w:rPr>
          <w:rFonts w:ascii="Calibri" w:hAnsi="Calibri"/>
          <w:color w:val="334155"/>
          <w:sz w:val="22"/>
        </w:rPr>
        <w:t>Legacy Quality Domains (yahoo.com, hotmail.com): 11.5 to 12 points.</w:t>
      </w:r>
    </w:p>
    <w:p>
      <w:pPr>
        <w:spacing w:before="60" w:after="80" w:line="276" w:lineRule="auto"/>
      </w:pPr>
      <w:r>
        <w:rPr>
          <w:rFonts w:ascii="Calibri" w:hAnsi="Calibri"/>
          <w:color w:val="334155"/>
          <w:sz w:val="22"/>
        </w:rPr>
        <w:t>Corporate / Custom Domain (e.g., @unilever.com or @hbl.com): High trust validation.</w:t>
      </w:r>
    </w:p>
    <w:p>
      <w:pPr>
        <w:spacing w:before="60" w:after="80" w:line="276" w:lineRule="auto"/>
      </w:pPr>
      <w:r>
        <w:rPr>
          <w:rFonts w:ascii="Calibri" w:hAnsi="Calibri"/>
          <w:color w:val="334155"/>
          <w:sz w:val="22"/>
        </w:rPr>
        <w:t>Disposable / 10-Minute Mail Services (e.g., tempmail.com, mailinator): Triggers immediate fraud review.</w:t>
      </w:r>
    </w:p>
    <w:p>
      <w:pPr>
        <w:keepNext/>
        <w:spacing w:before="320" w:after="80"/>
      </w:pPr>
      <w:r>
        <w:rPr>
          <w:rFonts w:ascii="Calibri" w:hAnsi="Calibri"/>
          <w:b/>
          <w:color w:val="1E3A8A"/>
          <w:sz w:val="30"/>
        </w:rPr>
        <w:t>4. Postpaid vs. Prepaid Contract (phone_type) (Max 15 Points)</w:t>
      </w:r>
    </w:p>
    <w:p>
      <w:pPr>
        <w:spacing w:before="60" w:after="80" w:line="276" w:lineRule="auto"/>
      </w:pPr>
      <w:r>
        <w:rPr>
          <w:rFonts w:ascii="Calibri" w:hAnsi="Calibri"/>
          <w:color w:val="334155"/>
          <w:sz w:val="22"/>
        </w:rPr>
        <w:t>Postpaid Contract Plan (+15 points):</w:t>
        <w:br/>
        <w:t>In emerging markets (such as Pakistan), securing a postpaid telecom contract requires national ID verification, a bank reference, and proof of billing address. A postpaid subscriber has essentially already been vetted by a telco's risk team.</w:t>
      </w:r>
    </w:p>
    <w:p>
      <w:pPr>
        <w:spacing w:before="60" w:after="80" w:line="276" w:lineRule="auto"/>
      </w:pPr>
      <w:r>
        <w:rPr>
          <w:rFonts w:ascii="Calibri" w:hAnsi="Calibri"/>
          <w:color w:val="334155"/>
          <w:sz w:val="22"/>
        </w:rPr>
        <w:t>Prepaid Plan (+8 points):</w:t>
        <w:br/>
        <w:t>Standard baseline.</w:t>
      </w:r>
    </w:p>
    <w:p>
      <w:pPr>
        <w:keepNext/>
        <w:spacing w:before="320" w:after="80"/>
      </w:pPr>
      <w:r>
        <w:rPr>
          <w:rFonts w:ascii="Calibri" w:hAnsi="Calibri"/>
          <w:b/>
          <w:color w:val="1E3A8A"/>
          <w:sz w:val="30"/>
        </w:rPr>
        <w:t>5. Network Evasion &amp; Anonymization Penalties</w:t>
      </w:r>
    </w:p>
    <w:p>
      <w:pPr>
        <w:spacing w:before="60" w:after="80" w:line="276" w:lineRule="auto"/>
      </w:pPr>
      <w:r>
        <w:rPr>
          <w:rFonts w:ascii="Calibri" w:hAnsi="Calibri"/>
          <w:color w:val="334155"/>
          <w:sz w:val="22"/>
        </w:rPr>
        <w:t>Borrowers who have nothing to hide apply directly from their home Wi-Fi or local 4G/5G connection:</w:t>
      </w:r>
    </w:p>
    <w:p>
      <w:pPr>
        <w:spacing w:before="60" w:after="80" w:line="276" w:lineRule="auto"/>
      </w:pPr>
      <w:r>
        <w:rPr>
          <w:rFonts w:ascii="Calibri" w:hAnsi="Calibri"/>
          <w:color w:val="334155"/>
          <w:sz w:val="22"/>
        </w:rPr>
        <w:t>VPN Detected (dev_vpn_detected): -8 points deduction.</w:t>
      </w:r>
    </w:p>
    <w:p>
      <w:pPr>
        <w:spacing w:before="60" w:after="80" w:line="276" w:lineRule="auto"/>
      </w:pPr>
      <w:r>
        <w:rPr>
          <w:rFonts w:ascii="Calibri" w:hAnsi="Calibri"/>
          <w:color w:val="334155"/>
          <w:sz w:val="22"/>
        </w:rPr>
        <w:t>Proxy Detected (dev_proxy_detected): -6 points deduction.</w:t>
      </w:r>
    </w:p>
    <w:p>
      <w:pPr>
        <w:spacing w:before="60" w:after="80" w:line="276" w:lineRule="auto"/>
      </w:pPr>
      <w:r>
        <w:rPr>
          <w:rFonts w:ascii="Calibri" w:hAnsi="Calibri"/>
          <w:color w:val="334155"/>
          <w:sz w:val="22"/>
        </w:rPr>
        <w:t>Google Play Protect / DeviceCheck Integrity Passed: +5 points bonus.</w:t>
      </w:r>
    </w:p>
    <w:p>
      <w:pPr>
        <w:keepNext/>
        <w:spacing w:before="320" w:after="80"/>
      </w:pPr>
      <w:r>
        <w:rPr>
          <w:rFonts w:ascii="Calibri" w:hAnsi="Calibri"/>
          <w:b/>
          <w:color w:val="1E3A8A"/>
          <w:sz w:val="30"/>
        </w:rPr>
        <w:t>4. Dual Execution (ML Model + Digital Maturity Index)</w:t>
      </w:r>
    </w:p>
    <w:p>
      <w:pPr>
        <w:spacing w:before="60" w:after="80" w:line="276" w:lineRule="auto"/>
      </w:pPr>
      <w:r>
        <w:rPr>
          <w:rFonts w:ascii="Calibri" w:hAnsi="Calibri"/>
          <w:color w:val="334155"/>
          <w:sz w:val="22"/>
        </w:rPr>
        <w:t>In production, these features feed a specialized LightGBM Regressor (lgb_pillar_digital_footprint.joblib) trained on: x_digital = big[email_age_days, ; sim_age_days, ; phone_typebig]</w:t>
      </w:r>
    </w:p>
    <w:p>
      <w:pPr>
        <w:spacing w:before="60" w:after="80" w:line="276" w:lineRule="auto"/>
      </w:pPr>
      <w:r>
        <w:rPr>
          <w:rFonts w:ascii="Calibri" w:hAnsi="Calibri"/>
          <w:color w:val="334155"/>
          <w:sz w:val="22"/>
        </w:rPr>
        <w:t>The model outputs a continuous Digital Maturity Index (0 to 100):</w:t>
      </w:r>
    </w:p>
    <w:p>
      <w:pPr>
        <w:spacing w:before="60" w:after="80" w:line="276" w:lineRule="auto"/>
      </w:pPr>
      <w:r>
        <w:rPr>
          <w:rFonts w:ascii="Calibri" w:hAnsi="Calibri"/>
          <w:color w:val="334155"/>
          <w:sz w:val="22"/>
        </w:rPr>
        <w:t>80 - 100 (Deep Digital Native / Prime): 8+ year-old email, 5+ year-old SIM, postpaid plan, clean residential network (e.g., #1 Customer CUST0008856 scored 70.3).</w:t>
      </w:r>
    </w:p>
    <w:p>
      <w:pPr>
        <w:spacing w:before="60" w:after="80" w:line="276" w:lineRule="auto"/>
      </w:pPr>
      <w:r>
        <w:rPr>
          <w:rFonts w:ascii="Calibri" w:hAnsi="Calibri"/>
          <w:color w:val="334155"/>
          <w:sz w:val="22"/>
        </w:rPr>
        <w:t>50 - 79 (Standard Digital Presence): 2-5 year-old email, prepaid SIM, legitimate hardware.</w:t>
      </w:r>
    </w:p>
    <w:p>
      <w:pPr>
        <w:spacing w:before="60" w:after="80" w:line="276" w:lineRule="auto"/>
      </w:pPr>
      <w:r>
        <w:rPr>
          <w:rFonts w:ascii="Calibri" w:hAnsi="Calibri"/>
          <w:color w:val="334155"/>
          <w:sz w:val="22"/>
        </w:rPr>
        <w:t>&lt; 40 (Ephemeral / High Synthetic Risk): Freshly registered email, brand new burner SIM, VPN masking.</w:t>
      </w:r>
    </w:p>
    <w:p>
      <w:pPr>
        <w:spacing w:before="60" w:after="80" w:line="276" w:lineRule="auto"/>
      </w:pPr>
      <w:r>
        <w:rPr>
          <w:rFonts w:ascii="Calibri" w:hAnsi="Calibri"/>
          <w:color w:val="334155"/>
          <w:sz w:val="22"/>
        </w:rPr>
        <w:t>In theory, the P09 Bureau Proxy Pillar Score (0 - 100) acts as a "Synthetic FICO Engine" that measures an applicant's historical debt repayment discipline, credit utilization, and credit track record.</w:t>
      </w:r>
    </w:p>
    <w:p>
      <w:pPr>
        <w:spacing w:before="60" w:after="80" w:line="276" w:lineRule="auto"/>
      </w:pPr>
      <w:r>
        <w:rPr>
          <w:rFonts w:ascii="Calibri" w:hAnsi="Calibri"/>
          <w:color w:val="334155"/>
          <w:sz w:val="22"/>
        </w:rPr>
        <w:t>Carrying a heavy 12% weight in the composite meta-learner, P09 solves one of the biggest challenges in emerging-market banking:</w:t>
      </w:r>
    </w:p>
    <w:p>
      <w:pPr>
        <w:spacing w:before="60" w:after="80" w:line="276" w:lineRule="auto"/>
      </w:pPr>
      <w:r>
        <w:rPr>
          <w:rFonts w:ascii="Calibri" w:hAnsi="Calibri"/>
          <w:color w:val="334155"/>
          <w:sz w:val="22"/>
        </w:rPr>
        <w:t>"In countries like Pakistan, over 75% of the population is 'Credit Invisible' or 'Thin-File' with zero records at traditional credit bureaus (e.g., Tasdeeq, PMIC, State Bank ECIB).</w:t>
        <w:br/>
        <w:t>P09 reconstructs a synthetic credit score from bank tradelines, payment cadences, and overdraft behaviors that perfectly mirror standard bureau scoring."</w:t>
      </w:r>
    </w:p>
    <w:p>
      <w:pPr>
        <w:keepNext/>
        <w:spacing w:before="320" w:after="80"/>
      </w:pPr>
      <w:r>
        <w:rPr>
          <w:rFonts w:ascii="Calibri" w:hAnsi="Calibri"/>
          <w:b/>
          <w:color w:val="1E3A8A"/>
          <w:sz w:val="30"/>
        </w:rPr>
        <w:t>1. Data Sources Feeding P09</w:t>
      </w:r>
    </w:p>
    <w:p>
      <w:pPr>
        <w:keepNext/>
        <w:spacing w:before="320" w:after="80"/>
      </w:pPr>
      <w:r>
        <w:rPr>
          <w:rFonts w:ascii="Calibri" w:hAnsi="Calibri"/>
          <w:b/>
          <w:color w:val="1E3A8A"/>
          <w:sz w:val="30"/>
        </w:rPr>
        <w:t>P09 combines formal bureau feeds with open-banking tradelines:</w:t>
      </w:r>
    </w:p>
    <w:p>
      <w:pPr>
        <w:spacing w:before="60" w:after="80" w:line="276" w:lineRule="auto"/>
      </w:pPr>
      <w:r>
        <w:rPr>
          <w:rFonts w:ascii="Calibri" w:hAnsi="Calibri"/>
          <w:color w:val="334155"/>
          <w:sz w:val="22"/>
        </w:rPr>
        <w:t>Family F9 (Credit Bureau Feeds): Formal credit registry records where available.</w:t>
      </w:r>
    </w:p>
    <w:p>
      <w:pPr>
        <w:spacing w:before="60" w:after="80" w:line="276" w:lineRule="auto"/>
      </w:pPr>
      <w:r>
        <w:rPr>
          <w:rFonts w:ascii="Calibri" w:hAnsi="Calibri"/>
          <w:color w:val="334155"/>
          <w:sz w:val="22"/>
        </w:rPr>
        <w:t>Family F6 (Banking Tradelines &amp; Past Loans): 12-month Days Past Due (DPD) history, revolving overdraft credit utilization, account vintage, and number of active banking relationships.</w:t>
      </w:r>
    </w:p>
    <w:p>
      <w:pPr>
        <w:keepNext/>
        <w:spacing w:before="320" w:after="80"/>
      </w:pPr>
      <w:r>
        <w:rPr>
          <w:rFonts w:ascii="Calibri" w:hAnsi="Calibri"/>
          <w:b/>
          <w:color w:val="1E3A8A"/>
          <w:sz w:val="30"/>
        </w:rPr>
        <w:t>2. The Theoretical Formulation (The 4 Synthetic FICO Dimensions)</w:t>
      </w:r>
    </w:p>
    <w:p>
      <w:pPr>
        <w:keepNext/>
        <w:spacing w:before="320" w:after="80"/>
      </w:pPr>
      <w:r>
        <w:rPr>
          <w:rFonts w:ascii="Calibri" w:hAnsi="Calibri"/>
          <w:b/>
          <w:color w:val="1E3A8A"/>
          <w:sz w:val="30"/>
        </w:rPr>
        <w:t>P09 Score = Tradeline Vintage + Credit Line Utilization + Payment Punctuality (DPD) + Account Depth</w:t>
      </w:r>
    </w:p>
    <w:p>
      <w:pPr>
        <w:spacing w:before="60" w:after="80" w:line="276" w:lineRule="auto"/>
      </w:pPr>
      <w:r>
        <w:rPr>
          <w:rFonts w:ascii="Calibri" w:hAnsi="Calibri"/>
          <w:color w:val="334155"/>
          <w:sz w:val="22"/>
        </w:rPr>
        <w:t>mermaid</w:t>
      </w:r>
    </w:p>
    <w:p>
      <w:pPr>
        <w:spacing w:before="60" w:after="80" w:line="276" w:lineRule="auto"/>
      </w:pPr>
      <w:r>
        <w:rPr>
          <w:rFonts w:ascii="Calibri" w:hAnsi="Calibri"/>
          <w:color w:val="334155"/>
          <w:sz w:val="22"/>
        </w:rPr>
        <w:t>flowchart TD</w:t>
      </w:r>
    </w:p>
    <w:p>
      <w:pPr>
        <w:spacing w:before="60" w:after="80" w:line="276" w:lineRule="auto"/>
      </w:pPr>
      <w:r>
        <w:rPr>
          <w:rFonts w:ascii="Calibri" w:hAnsi="Calibri"/>
          <w:color w:val="334155"/>
          <w:sz w:val="22"/>
        </w:rPr>
        <w:t>A["Banking Tradelines &amp; Bureau Signals"] --&gt; B["1. Tradeline Vintage (0 - 35 pts)&lt;br/&gt;Months since first operating credit line"]</w:t>
      </w:r>
    </w:p>
    <w:p>
      <w:pPr>
        <w:spacing w:before="60" w:after="80" w:line="276" w:lineRule="auto"/>
      </w:pPr>
      <w:r>
        <w:rPr>
          <w:rFonts w:ascii="Calibri" w:hAnsi="Calibri"/>
          <w:color w:val="334155"/>
          <w:sz w:val="22"/>
        </w:rPr>
        <w:t>A --&gt; C["2. Revolving Utilization (0 - 25 pts)&lt;br/&gt;Overdraft / Credit card balance to limit ratio"]</w:t>
      </w:r>
    </w:p>
    <w:p>
      <w:pPr>
        <w:spacing w:before="60" w:after="80" w:line="276" w:lineRule="auto"/>
      </w:pPr>
      <w:r>
        <w:rPr>
          <w:rFonts w:ascii="Calibri" w:hAnsi="Calibri"/>
          <w:color w:val="334155"/>
          <w:sz w:val="22"/>
        </w:rPr>
        <w:t>A --&gt; D["3. Delinquency History / DPD (0 - 25 pts)&lt;br/&gt;Days Past Due over rolling 12 months"]</w:t>
      </w:r>
    </w:p>
    <w:p>
      <w:pPr>
        <w:spacing w:before="60" w:after="80" w:line="276" w:lineRule="auto"/>
      </w:pPr>
      <w:r>
        <w:rPr>
          <w:rFonts w:ascii="Calibri" w:hAnsi="Calibri"/>
          <w:color w:val="334155"/>
          <w:sz w:val="22"/>
        </w:rPr>
        <w:t>A --&gt; E["4. Banking Breadth / Mix (0 - 15 pts)&lt;br/&gt;Number of active financial accounts"]</w:t>
      </w:r>
    </w:p>
    <w:p>
      <w:pPr>
        <w:spacing w:before="60" w:after="80" w:line="276" w:lineRule="auto"/>
      </w:pPr>
      <w:r>
        <w:rPr>
          <w:rFonts w:ascii="Calibri" w:hAnsi="Calibri"/>
          <w:color w:val="334155"/>
          <w:sz w:val="22"/>
        </w:rPr>
        <w:t>B &amp; C &amp; D &amp; E --&gt; F["LightGBM Bureau Proxy Model &amp; Heuristic Calibration"]</w:t>
      </w:r>
    </w:p>
    <w:p>
      <w:pPr>
        <w:spacing w:before="60" w:after="80" w:line="276" w:lineRule="auto"/>
      </w:pPr>
      <w:r>
        <w:rPr>
          <w:rFonts w:ascii="Calibri" w:hAnsi="Calibri"/>
          <w:color w:val="334155"/>
          <w:sz w:val="22"/>
        </w:rPr>
        <w:t>F --&gt; G["Final P09 Score (0 - 100)"]</w:t>
      </w:r>
    </w:p>
    <w:p>
      <w:pPr>
        <w:spacing w:before="60" w:after="80" w:line="276" w:lineRule="auto"/>
      </w:pPr>
      <w:r>
        <w:rPr>
          <w:rFonts w:ascii="Calibri" w:hAnsi="Calibri"/>
          <w:color w:val="334155"/>
          <w:sz w:val="22"/>
        </w:rPr>
        <w:t>G --&gt; H"Thin-File Check (&lt;6 mo tenure)?"</w:t>
      </w:r>
    </w:p>
    <w:p>
      <w:pPr>
        <w:spacing w:before="60" w:after="80" w:line="276" w:lineRule="auto"/>
      </w:pPr>
      <w:r>
        <w:rPr>
          <w:rFonts w:ascii="Calibri" w:hAnsi="Calibri"/>
          <w:color w:val="334155"/>
          <w:sz w:val="22"/>
        </w:rPr>
        <w:t>H -- "Yes" --&gt; I["Dynamic Weight -&gt; 0.0 (Shift to Alternative Pillars)"]</w:t>
      </w:r>
    </w:p>
    <w:p>
      <w:pPr>
        <w:spacing w:before="60" w:after="80" w:line="276" w:lineRule="auto"/>
      </w:pPr>
      <w:r>
        <w:rPr>
          <w:rFonts w:ascii="Calibri" w:hAnsi="Calibri"/>
          <w:color w:val="334155"/>
          <w:sz w:val="22"/>
        </w:rPr>
        <w:t>H -- "No" --&gt; J["Full 12% Weight Applied"]</w:t>
      </w:r>
    </w:p>
    <w:p>
      <w:pPr>
        <w:keepNext/>
        <w:spacing w:before="320" w:after="80"/>
      </w:pPr>
      <w:r>
        <w:rPr>
          <w:rFonts w:ascii="Calibri" w:hAnsi="Calibri"/>
          <w:b/>
          <w:color w:val="1E3A8A"/>
          <w:sz w:val="30"/>
        </w:rPr>
        <w:t>3. Key Components &amp; Mathematical Mechanics</w:t>
      </w:r>
    </w:p>
    <w:p>
      <w:pPr>
        <w:keepNext/>
        <w:spacing w:before="320" w:after="80"/>
      </w:pPr>
      <w:r>
        <w:rPr>
          <w:rFonts w:ascii="Calibri" w:hAnsi="Calibri"/>
          <w:b/>
          <w:color w:val="1E3A8A"/>
          <w:sz w:val="30"/>
        </w:rPr>
        <w:t>1. Tradeline Vintage / Length of History (Max 35 Points)</w:t>
      </w:r>
    </w:p>
    <w:p>
      <w:pPr>
        <w:spacing w:before="60" w:after="80" w:line="276" w:lineRule="auto"/>
      </w:pPr>
      <w:r>
        <w:rPr>
          <w:rFonts w:ascii="Calibri" w:hAnsi="Calibri"/>
          <w:color w:val="334155"/>
          <w:sz w:val="22"/>
        </w:rPr>
        <w:t>Mirrors FICO's "Length of Credit History":</w:t>
      </w:r>
    </w:p>
    <w:p>
      <w:pPr>
        <w:pStyle w:val="ListBullet"/>
        <w:spacing w:before="40" w:after="40"/>
      </w:pPr>
      <w:r>
        <w:rPr>
          <w:rFonts w:ascii="Calibri" w:hAnsi="Calibri"/>
          <w:color w:val="334155"/>
          <w:sz w:val="22"/>
        </w:rPr>
        <w:t>5 Years (60+ Months): 35 points (Established multi-year borrower; highly predictable repayment behavior).</w:t>
      </w:r>
    </w:p>
    <w:p>
      <w:pPr>
        <w:pStyle w:val="ListBullet"/>
        <w:spacing w:before="40" w:after="40"/>
      </w:pPr>
      <w:r>
        <w:rPr>
          <w:rFonts w:ascii="Calibri" w:hAnsi="Calibri"/>
          <w:color w:val="334155"/>
          <w:sz w:val="22"/>
        </w:rPr>
        <w:t>3 Years (36 Months): 28 points.</w:t>
      </w:r>
    </w:p>
    <w:p>
      <w:pPr>
        <w:pStyle w:val="ListBullet"/>
        <w:spacing w:before="40" w:after="40"/>
      </w:pPr>
      <w:r>
        <w:rPr>
          <w:rFonts w:ascii="Calibri" w:hAnsi="Calibri"/>
          <w:color w:val="334155"/>
          <w:sz w:val="22"/>
        </w:rPr>
        <w:t>2 Years (24 Months): 22 points.</w:t>
      </w:r>
    </w:p>
    <w:p>
      <w:pPr>
        <w:pStyle w:val="ListBullet"/>
        <w:spacing w:before="40" w:after="40"/>
      </w:pPr>
      <w:r>
        <w:rPr>
          <w:rFonts w:ascii="Calibri" w:hAnsi="Calibri"/>
          <w:color w:val="334155"/>
          <w:sz w:val="22"/>
        </w:rPr>
        <w:t>1 Year (12 Months): 15 points.</w:t>
      </w:r>
    </w:p>
    <w:p>
      <w:pPr>
        <w:pStyle w:val="ListBullet"/>
        <w:spacing w:before="40" w:after="40"/>
      </w:pPr>
      <w:r>
        <w:rPr>
          <w:rFonts w:ascii="Calibri" w:hAnsi="Calibri"/>
          <w:color w:val="334155"/>
          <w:sz w:val="22"/>
        </w:rPr>
        <w:t>6 Months: 8 points.</w:t>
      </w:r>
    </w:p>
    <w:p>
      <w:pPr>
        <w:spacing w:before="60" w:after="80" w:line="276" w:lineRule="auto"/>
      </w:pPr>
      <w:r>
        <w:rPr>
          <w:rFonts w:ascii="Calibri" w:hAnsi="Calibri"/>
          <w:color w:val="334155"/>
          <w:sz w:val="22"/>
        </w:rPr>
        <w:t>&lt; 6 Months (Brand New Account): 0 points.</w:t>
      </w:r>
    </w:p>
    <w:p>
      <w:pPr>
        <w:keepNext/>
        <w:spacing w:before="320" w:after="80"/>
      </w:pPr>
      <w:r>
        <w:rPr>
          <w:rFonts w:ascii="Calibri" w:hAnsi="Calibri"/>
          <w:b/>
          <w:color w:val="1E3A8A"/>
          <w:sz w:val="30"/>
        </w:rPr>
        <w:t>2. Credit Line Utilization / Overdraft Discipline (Max 25 Points)</w:t>
      </w:r>
    </w:p>
    <w:p>
      <w:pPr>
        <w:spacing w:before="60" w:after="80" w:line="276" w:lineRule="auto"/>
      </w:pPr>
      <w:r>
        <w:rPr>
          <w:rFonts w:ascii="Calibri" w:hAnsi="Calibri"/>
          <w:color w:val="334155"/>
          <w:sz w:val="22"/>
        </w:rPr>
        <w:t>Borrowers who max out revolving credit lines are under acute cash-flow stress and are at high risk of default:</w:t>
      </w:r>
    </w:p>
    <w:p>
      <w:pPr>
        <w:spacing w:before="60" w:after="80" w:line="276" w:lineRule="auto"/>
      </w:pPr>
      <w:r>
        <w:rPr>
          <w:rFonts w:ascii="Calibri" w:hAnsi="Calibri"/>
          <w:color w:val="334155"/>
          <w:sz w:val="22"/>
        </w:rPr>
        <w:t>Credit Utilization Rate = (Current Drawn Balance / Sanctioned Overdraft / Credit Limit)</w:t>
      </w:r>
    </w:p>
    <w:p>
      <w:pPr>
        <w:spacing w:before="60" w:after="80" w:line="276" w:lineRule="auto"/>
      </w:pPr>
      <w:r>
        <w:rPr>
          <w:rFonts w:ascii="Calibri" w:hAnsi="Calibri"/>
          <w:color w:val="334155"/>
          <w:sz w:val="22"/>
        </w:rPr>
        <w:t>&lt; 20% Utilization (Prime Self-Discipline): 25 points (Borrower uses credit convenience without dependency).</w:t>
      </w:r>
    </w:p>
    <w:p>
      <w:pPr>
        <w:spacing w:before="60" w:after="80" w:line="276" w:lineRule="auto"/>
      </w:pPr>
      <w:r>
        <w:rPr>
          <w:rFonts w:ascii="Calibri" w:hAnsi="Calibri"/>
          <w:color w:val="334155"/>
          <w:sz w:val="22"/>
        </w:rPr>
        <w:t>20% - 40% Utilization: 20 points.</w:t>
      </w:r>
    </w:p>
    <w:p>
      <w:pPr>
        <w:spacing w:before="60" w:after="80" w:line="276" w:lineRule="auto"/>
      </w:pPr>
      <w:r>
        <w:rPr>
          <w:rFonts w:ascii="Calibri" w:hAnsi="Calibri"/>
          <w:color w:val="334155"/>
          <w:sz w:val="22"/>
        </w:rPr>
        <w:t>40% - 60% Utilization: 14 points.</w:t>
      </w:r>
    </w:p>
    <w:p>
      <w:pPr>
        <w:spacing w:before="60" w:after="80" w:line="276" w:lineRule="auto"/>
      </w:pPr>
      <w:r>
        <w:rPr>
          <w:rFonts w:ascii="Calibri" w:hAnsi="Calibri"/>
          <w:color w:val="334155"/>
          <w:sz w:val="22"/>
        </w:rPr>
        <w:t>60% - 80% Utilization: 8 points.</w:t>
      </w:r>
    </w:p>
    <w:p>
      <w:pPr>
        <w:pStyle w:val="ListBullet"/>
        <w:spacing w:before="40" w:after="40"/>
      </w:pPr>
      <w:r>
        <w:rPr>
          <w:rFonts w:ascii="Calibri" w:hAnsi="Calibri"/>
          <w:color w:val="334155"/>
          <w:sz w:val="22"/>
        </w:rPr>
        <w:t>80% (Maxed-Out Line / Severe Stress): 2 points.</w:t>
      </w:r>
    </w:p>
    <w:p>
      <w:pPr>
        <w:keepNext/>
        <w:spacing w:before="320" w:after="80"/>
      </w:pPr>
      <w:r>
        <w:rPr>
          <w:rFonts w:ascii="Calibri" w:hAnsi="Calibri"/>
          <w:b/>
          <w:color w:val="1E3A8A"/>
          <w:sz w:val="30"/>
        </w:rPr>
        <w:t>3. Payment Punctuality &amp; Days Past Due (DPD) (Max 25 Points)</w:t>
      </w:r>
    </w:p>
    <w:p>
      <w:pPr>
        <w:spacing w:before="60" w:after="80" w:line="276" w:lineRule="auto"/>
      </w:pPr>
      <w:r>
        <w:rPr>
          <w:rFonts w:ascii="Calibri" w:hAnsi="Calibri"/>
          <w:color w:val="334155"/>
          <w:sz w:val="22"/>
        </w:rPr>
        <w:t>The single most direct measure of credit default intent:</w:t>
      </w:r>
    </w:p>
    <w:p>
      <w:pPr>
        <w:spacing w:before="60" w:after="80" w:line="276" w:lineRule="auto"/>
      </w:pPr>
      <w:r>
        <w:rPr>
          <w:rFonts w:ascii="Calibri" w:hAnsi="Calibri"/>
          <w:color w:val="334155"/>
          <w:sz w:val="22"/>
        </w:rPr>
        <w:t>0 DPD (Flawless Punctuality): 25 points (Never missed a due date in 12 months).</w:t>
      </w:r>
    </w:p>
    <w:p>
      <w:pPr>
        <w:spacing w:before="60" w:after="80" w:line="276" w:lineRule="auto"/>
      </w:pPr>
      <w:r>
        <w:rPr>
          <w:rFonts w:ascii="Calibri" w:hAnsi="Calibri"/>
          <w:color w:val="334155"/>
          <w:sz w:val="22"/>
        </w:rPr>
        <w:t>&lt; 5 DPD (Minor Grace-Period Delay): 18 points (Occasional weekend holiday settlement lag).</w:t>
      </w:r>
    </w:p>
    <w:p>
      <w:pPr>
        <w:spacing w:before="60" w:after="80" w:line="276" w:lineRule="auto"/>
      </w:pPr>
      <w:r>
        <w:rPr>
          <w:rFonts w:ascii="Calibri" w:hAnsi="Calibri"/>
          <w:color w:val="334155"/>
          <w:sz w:val="22"/>
        </w:rPr>
        <w:t>5 - 15 DPD (Noticeable Delay): 10 points.</w:t>
      </w:r>
    </w:p>
    <w:p>
      <w:pPr>
        <w:spacing w:before="60" w:after="80" w:line="276" w:lineRule="auto"/>
      </w:pPr>
      <w:r>
        <w:rPr>
          <w:rFonts w:ascii="Calibri" w:hAnsi="Calibri"/>
          <w:color w:val="334155"/>
          <w:sz w:val="22"/>
        </w:rPr>
        <w:t>15 - 30 DPD (Delinquent / Collections Alert): 5 points.</w:t>
      </w:r>
    </w:p>
    <w:p>
      <w:pPr>
        <w:pStyle w:val="ListBullet"/>
        <w:spacing w:before="40" w:after="40"/>
      </w:pPr>
      <w:r>
        <w:rPr>
          <w:rFonts w:ascii="Calibri" w:hAnsi="Calibri"/>
          <w:color w:val="334155"/>
          <w:sz w:val="22"/>
        </w:rPr>
        <w:t>30 DPD (Severe Default Risk / Overdue): 0 points.</w:t>
      </w:r>
    </w:p>
    <w:p>
      <w:pPr>
        <w:keepNext/>
        <w:spacing w:before="320" w:after="80"/>
      </w:pPr>
      <w:r>
        <w:rPr>
          <w:rFonts w:ascii="Calibri" w:hAnsi="Calibri"/>
          <w:b/>
          <w:color w:val="1E3A8A"/>
          <w:sz w:val="30"/>
        </w:rPr>
        <w:t>4. Banking Relationship Breadth / Account Mix (Max 15 Points)</w:t>
      </w:r>
    </w:p>
    <w:p>
      <w:pPr>
        <w:pStyle w:val="ListBullet"/>
        <w:spacing w:before="40" w:after="40"/>
      </w:pPr>
      <w:r>
        <w:rPr>
          <w:rFonts w:ascii="Calibri" w:hAnsi="Calibri"/>
          <w:color w:val="334155"/>
          <w:sz w:val="22"/>
        </w:rPr>
        <w:t>3 Active Accounts (Checking, Savings, Loan): 15 points.</w:t>
      </w:r>
    </w:p>
    <w:p>
      <w:pPr>
        <w:spacing w:before="60" w:after="80" w:line="276" w:lineRule="auto"/>
      </w:pPr>
      <w:r>
        <w:rPr>
          <w:rFonts w:ascii="Calibri" w:hAnsi="Calibri"/>
          <w:color w:val="334155"/>
          <w:sz w:val="22"/>
        </w:rPr>
        <w:t>2 Accounts: 10 points.</w:t>
      </w:r>
    </w:p>
    <w:p>
      <w:pPr>
        <w:spacing w:before="60" w:after="80" w:line="276" w:lineRule="auto"/>
      </w:pPr>
      <w:r>
        <w:rPr>
          <w:rFonts w:ascii="Calibri" w:hAnsi="Calibri"/>
          <w:color w:val="334155"/>
          <w:sz w:val="22"/>
        </w:rPr>
        <w:t>1 Single Account: 5 points.</w:t>
      </w:r>
    </w:p>
    <w:p>
      <w:pPr>
        <w:keepNext/>
        <w:spacing w:before="320" w:after="80"/>
      </w:pPr>
      <w:r>
        <w:rPr>
          <w:rFonts w:ascii="Calibri" w:hAnsi="Calibri"/>
          <w:b/>
          <w:color w:val="1E3A8A"/>
          <w:sz w:val="30"/>
        </w:rPr>
        <w:t>4. Dynamic Weighting for Thin-File Inclusivity</w:t>
      </w:r>
    </w:p>
    <w:p>
      <w:pPr>
        <w:spacing w:before="60" w:after="80" w:line="276" w:lineRule="auto"/>
      </w:pPr>
      <w:r>
        <w:rPr>
          <w:rFonts w:ascii="Calibri" w:hAnsi="Calibri"/>
          <w:color w:val="334155"/>
          <w:sz w:val="22"/>
        </w:rPr>
        <w:t>A major innovation in this architecture is the Dynamic Thin-File Weight Switch:</w:t>
      </w:r>
    </w:p>
    <w:p>
      <w:pPr>
        <w:spacing w:before="60" w:after="80" w:line="276" w:lineRule="auto"/>
      </w:pPr>
      <w:r>
        <w:rPr>
          <w:rFonts w:ascii="Calibri" w:hAnsi="Calibri"/>
          <w:color w:val="334155"/>
          <w:sz w:val="22"/>
        </w:rPr>
        <w:t>Effective Weight(P_09) = begincases 0.12 &amp; if Account Tenure ? 6 months 0.00 &amp; if Account Tenure &lt; 6 months (Thin-File) endcases</w:t>
      </w:r>
    </w:p>
    <w:p>
      <w:pPr>
        <w:spacing w:before="60" w:after="80" w:line="276" w:lineRule="auto"/>
      </w:pPr>
      <w:r>
        <w:rPr>
          <w:rFonts w:ascii="Calibri" w:hAnsi="Calibri"/>
          <w:color w:val="334155"/>
          <w:sz w:val="22"/>
        </w:rPr>
        <w:t>When an unbanked borrower has no prior credit history, the engine does not penalize them with a zero score. Instead, it dynamically zeros out P09's weight and re-allocates that weight to P06 (Stability), P03 (Quantile Income), and P08 (Digital Footprint).</w:t>
      </w:r>
    </w:p>
    <w:p>
      <w:pPr>
        <w:spacing w:before="60" w:after="80" w:line="276" w:lineRule="auto"/>
      </w:pPr>
      <w:r>
        <w:rPr>
          <w:rFonts w:ascii="Calibri" w:hAnsi="Calibri"/>
          <w:color w:val="334155"/>
          <w:sz w:val="22"/>
        </w:rPr>
        <w:t>This allows unbanked individuals to be underwritten safely based on alternative data.</w:t>
      </w:r>
    </w:p>
    <w:p>
      <w:pPr>
        <w:spacing w:before="60" w:after="80" w:line="276" w:lineRule="auto"/>
      </w:pPr>
      <w:r>
        <w:rPr>
          <w:rFonts w:ascii="Calibri" w:hAnsi="Calibri"/>
          <w:color w:val="334155"/>
          <w:sz w:val="22"/>
        </w:rPr>
        <w:t>Real-World Portfolio Example:</w:t>
      </w:r>
    </w:p>
    <w:p>
      <w:pPr>
        <w:spacing w:before="60" w:after="80" w:line="276" w:lineRule="auto"/>
      </w:pPr>
      <w:r>
        <w:rPr>
          <w:rFonts w:ascii="Calibri" w:hAnsi="Calibri"/>
          <w:color w:val="334155"/>
          <w:sz w:val="22"/>
        </w:rPr>
        <w:t>#1 Ranked Borrower (CUST0008856, Salman Dar):</w:t>
      </w:r>
    </w:p>
    <w:p>
      <w:pPr>
        <w:spacing w:before="60" w:after="80" w:line="276" w:lineRule="auto"/>
      </w:pPr>
      <w:r>
        <w:rPr>
          <w:rFonts w:ascii="Calibri" w:hAnsi="Calibri"/>
          <w:color w:val="334155"/>
          <w:sz w:val="22"/>
        </w:rPr>
        <w:t>0 DPD over 12 months.</w:t>
      </w:r>
    </w:p>
    <w:p>
      <w:pPr>
        <w:spacing w:before="60" w:after="80" w:line="276" w:lineRule="auto"/>
      </w:pPr>
      <w:r>
        <w:rPr>
          <w:rFonts w:ascii="Calibri" w:hAnsi="Calibri"/>
          <w:color w:val="334155"/>
          <w:sz w:val="22"/>
        </w:rPr>
        <w:t>Overdraft utilization &lt; 5%.</w:t>
      </w:r>
    </w:p>
    <w:p>
      <w:pPr>
        <w:spacing w:before="60" w:after="80" w:line="276" w:lineRule="auto"/>
      </w:pPr>
      <w:r>
        <w:rPr>
          <w:rFonts w:ascii="Calibri" w:hAnsi="Calibri"/>
          <w:color w:val="334155"/>
          <w:sz w:val="22"/>
        </w:rPr>
        <w:t>8+ years account vintage.</w:t>
      </w:r>
    </w:p>
    <w:p>
      <w:pPr>
        <w:spacing w:before="60" w:after="80" w:line="276" w:lineRule="auto"/>
      </w:pPr>
      <w:r>
        <w:rPr>
          <w:rFonts w:ascii="Calibri" w:hAnsi="Calibri"/>
          <w:color w:val="334155"/>
          <w:sz w:val="22"/>
        </w:rPr>
        <w:t>Final P09 Score: 97.9 / 100 (Near-perfect synthetic bureau rating).</w:t>
      </w:r>
    </w:p>
    <w:p>
      <w:pPr>
        <w:spacing w:before="60" w:after="80" w:line="276" w:lineRule="auto"/>
      </w:pPr>
      <w:r>
        <w:rPr>
          <w:rFonts w:ascii="Calibri" w:hAnsi="Calibri"/>
          <w:color w:val="334155"/>
          <w:sz w:val="22"/>
        </w:rPr>
        <w:t>In theory, the P10 Relationship Pillar Score (0 - 100) measures an applicant's internal loyalty, tenure, and historical repayment track record with OUR specific lending institution.</w:t>
      </w:r>
    </w:p>
    <w:p>
      <w:pPr>
        <w:spacing w:before="60" w:after="80" w:line="276" w:lineRule="auto"/>
      </w:pPr>
      <w:r>
        <w:rPr>
          <w:rFonts w:ascii="Calibri" w:hAnsi="Calibri"/>
          <w:color w:val="334155"/>
          <w:sz w:val="22"/>
        </w:rPr>
        <w:t>Carrying a dynamically ramping weight from 0% up to 25%, P10 solves a major flaw in traditional scoring:</w:t>
      </w:r>
    </w:p>
    <w:p>
      <w:pPr>
        <w:spacing w:before="60" w:after="80" w:line="276" w:lineRule="auto"/>
      </w:pPr>
      <w:r>
        <w:rPr>
          <w:rFonts w:ascii="Calibri" w:hAnsi="Calibri"/>
          <w:color w:val="334155"/>
          <w:sz w:val="22"/>
        </w:rPr>
        <w:t>"Traditional credit models treat an applicant who has been a loyal banking customer for 5 years with 4 cleanly repaid loans exactly the same as an anonymous stranger who downloaded the app 10 minutes ago.</w:t>
        <w:br/>
        <w:t>P10 creates a 'Relationship Premium' that rewards proven internal borrowers with higher scores, lower interest rates, and higher loan limits."</w:t>
      </w:r>
    </w:p>
    <w:p>
      <w:pPr>
        <w:keepNext/>
        <w:spacing w:before="320" w:after="80"/>
      </w:pPr>
      <w:r>
        <w:rPr>
          <w:rFonts w:ascii="Calibri" w:hAnsi="Calibri"/>
          <w:b/>
          <w:color w:val="1E3A8A"/>
          <w:sz w:val="30"/>
        </w:rPr>
        <w:t>1. Data Sources Feeding P10</w:t>
      </w:r>
    </w:p>
    <w:p>
      <w:pPr>
        <w:spacing w:before="60" w:after="80" w:line="276" w:lineRule="auto"/>
      </w:pPr>
      <w:r>
        <w:rPr>
          <w:rFonts w:ascii="Calibri" w:hAnsi="Calibri"/>
          <w:color w:val="334155"/>
          <w:sz w:val="22"/>
        </w:rPr>
        <w:t>P10 is powered exclusively by internal first-party core banking data (Family F13: Relationship Data):</w:t>
      </w:r>
    </w:p>
    <w:p>
      <w:pPr>
        <w:spacing w:before="60" w:after="80" w:line="276" w:lineRule="auto"/>
      </w:pPr>
      <w:r>
        <w:rPr>
          <w:rFonts w:ascii="Calibri" w:hAnsi="Calibri"/>
          <w:color w:val="334155"/>
          <w:sz w:val="22"/>
        </w:rPr>
        <w:t>Historical borrowing cycles completed with our institution (ldr_prior_loans_count).</w:t>
      </w:r>
    </w:p>
    <w:p>
      <w:pPr>
        <w:spacing w:before="60" w:after="80" w:line="276" w:lineRule="auto"/>
      </w:pPr>
      <w:r>
        <w:rPr>
          <w:rFonts w:ascii="Calibri" w:hAnsi="Calibri"/>
          <w:color w:val="334155"/>
          <w:sz w:val="22"/>
        </w:rPr>
        <w:t>On-time payment percentage on internal loans (ldr_on_time_payment_rate).</w:t>
      </w:r>
    </w:p>
    <w:p>
      <w:pPr>
        <w:spacing w:before="60" w:after="80" w:line="276" w:lineRule="auto"/>
      </w:pPr>
      <w:r>
        <w:rPr>
          <w:rFonts w:ascii="Calibri" w:hAnsi="Calibri"/>
          <w:color w:val="334155"/>
          <w:sz w:val="22"/>
        </w:rPr>
        <w:t>Early repayment / prepayment frequency (ldr_early_repayments_count).</w:t>
      </w:r>
    </w:p>
    <w:p>
      <w:pPr>
        <w:spacing w:before="60" w:after="80" w:line="276" w:lineRule="auto"/>
      </w:pPr>
      <w:r>
        <w:rPr>
          <w:rFonts w:ascii="Calibri" w:hAnsi="Calibri"/>
          <w:color w:val="334155"/>
          <w:sz w:val="22"/>
        </w:rPr>
        <w:t>Internal delinquency history (Average DPD and Max DPD ever).</w:t>
      </w:r>
    </w:p>
    <w:p>
      <w:pPr>
        <w:spacing w:before="60" w:after="80" w:line="276" w:lineRule="auto"/>
      </w:pPr>
      <w:r>
        <w:rPr>
          <w:rFonts w:ascii="Calibri" w:hAnsi="Calibri"/>
          <w:color w:val="334155"/>
          <w:sz w:val="22"/>
        </w:rPr>
        <w:t>Collections friction history (number of times collections agents had to contact the borrower).</w:t>
      </w:r>
    </w:p>
    <w:p>
      <w:pPr>
        <w:spacing w:before="60" w:after="80" w:line="276" w:lineRule="auto"/>
      </w:pPr>
      <w:r>
        <w:rPr>
          <w:rFonts w:ascii="Calibri" w:hAnsi="Calibri"/>
          <w:color w:val="334155"/>
          <w:sz w:val="22"/>
        </w:rPr>
        <w:t>Customer relationship tenure (months_as_customer) and customer segment tier.</w:t>
      </w:r>
    </w:p>
    <w:p>
      <w:pPr>
        <w:keepNext/>
        <w:spacing w:before="320" w:after="80"/>
      </w:pPr>
      <w:r>
        <w:rPr>
          <w:rFonts w:ascii="Calibri" w:hAnsi="Calibri"/>
          <w:b/>
          <w:color w:val="1E3A8A"/>
          <w:sz w:val="30"/>
        </w:rPr>
        <w:t>2. The Dynamic Weight Ramping Formula (0% to 25%)</w:t>
      </w:r>
    </w:p>
    <w:p>
      <w:pPr>
        <w:spacing w:before="60" w:after="80" w:line="276" w:lineRule="auto"/>
      </w:pPr>
      <w:r>
        <w:rPr>
          <w:rFonts w:ascii="Calibri" w:hAnsi="Calibri"/>
          <w:color w:val="334155"/>
          <w:sz w:val="22"/>
        </w:rPr>
        <w:t>The platform uses a Time-Based Dynamic Ramping Function over a 36-month horizon:</w:t>
      </w:r>
    </w:p>
    <w:p>
      <w:pPr>
        <w:spacing w:before="60" w:after="80" w:line="276" w:lineRule="auto"/>
      </w:pPr>
      <w:r>
        <w:rPr>
          <w:rFonts w:ascii="Calibri" w:hAnsi="Calibri"/>
          <w:color w:val="334155"/>
          <w:sz w:val="22"/>
        </w:rPr>
        <w:t>Effective Weight(P??) = begincases 0.0 &amp; if New Customer / Anonymous Stranger min? ft(1.0, ; (Months as Customer / 36)) ? 25% &amp; if Existing Bank Customer endcases</w:t>
      </w:r>
    </w:p>
    <w:p>
      <w:pPr>
        <w:spacing w:before="60" w:after="80" w:line="276" w:lineRule="auto"/>
      </w:pPr>
      <w:r>
        <w:rPr>
          <w:rFonts w:ascii="Calibri" w:hAnsi="Calibri"/>
          <w:color w:val="334155"/>
          <w:sz w:val="22"/>
        </w:rPr>
        <w:t>mermaid</w:t>
      </w:r>
    </w:p>
    <w:p>
      <w:pPr>
        <w:spacing w:before="60" w:after="80" w:line="276" w:lineRule="auto"/>
      </w:pPr>
      <w:r>
        <w:rPr>
          <w:rFonts w:ascii="Calibri" w:hAnsi="Calibri"/>
          <w:color w:val="334155"/>
          <w:sz w:val="22"/>
        </w:rPr>
        <w:t>flowchart LR</w:t>
      </w:r>
    </w:p>
    <w:p>
      <w:pPr>
        <w:spacing w:before="60" w:after="80" w:line="276" w:lineRule="auto"/>
      </w:pPr>
      <w:r>
        <w:rPr>
          <w:rFonts w:ascii="Calibri" w:hAnsi="Calibri"/>
          <w:color w:val="334155"/>
          <w:sz w:val="22"/>
        </w:rPr>
        <w:t>A["New Applicant&lt;br/&gt;(0 Months)"] -- "Weight = 0%&lt;br/&gt;(Shifted to Alt Data)" --&gt; B["12 Months Tenure&lt;br/&gt;(Weight = 8.3%)"]</w:t>
      </w:r>
    </w:p>
    <w:p>
      <w:pPr>
        <w:spacing w:before="60" w:after="80" w:line="276" w:lineRule="auto"/>
      </w:pPr>
      <w:r>
        <w:rPr>
          <w:rFonts w:ascii="Calibri" w:hAnsi="Calibri"/>
          <w:color w:val="334155"/>
          <w:sz w:val="22"/>
        </w:rPr>
        <w:t>B --&gt; C["24 Months Tenure&lt;br/&gt;(Weight = 16.7%)"]</w:t>
      </w:r>
    </w:p>
    <w:p>
      <w:pPr>
        <w:spacing w:before="60" w:after="80" w:line="276" w:lineRule="auto"/>
      </w:pPr>
      <w:r>
        <w:rPr>
          <w:rFonts w:ascii="Calibri" w:hAnsi="Calibri"/>
          <w:color w:val="334155"/>
          <w:sz w:val="22"/>
        </w:rPr>
        <w:t>C --&gt; D["36+ Months Veteran&lt;br/&gt;(Full 25.0% Weight)"]</w:t>
      </w:r>
    </w:p>
    <w:p>
      <w:pPr>
        <w:spacing w:before="60" w:after="80" w:line="276" w:lineRule="auto"/>
      </w:pPr>
      <w:r>
        <w:rPr>
          <w:rFonts w:ascii="Calibri" w:hAnsi="Calibri"/>
          <w:color w:val="334155"/>
          <w:sz w:val="22"/>
        </w:rPr>
        <w:t>Brand New Applicants: Are not penalized for having no relationship. Their P10 weight is set to 0%, shifting the underwriting burden to Alternative Data (P03 Income, P06 Stability, P08 Footprint).</w:t>
      </w:r>
    </w:p>
    <w:p>
      <w:pPr>
        <w:spacing w:before="60" w:after="80" w:line="276" w:lineRule="auto"/>
      </w:pPr>
      <w:r>
        <w:rPr>
          <w:rFonts w:ascii="Calibri" w:hAnsi="Calibri"/>
          <w:color w:val="334155"/>
          <w:sz w:val="22"/>
        </w:rPr>
        <w:t>Mature Long-Term Borrowers: Gain up to a quarter of their total credit score (25%) purely from their proven internal loyalty and repayment track record.</w:t>
      </w:r>
    </w:p>
    <w:p>
      <w:pPr>
        <w:keepNext/>
        <w:spacing w:before="320" w:after="80"/>
      </w:pPr>
      <w:r>
        <w:rPr>
          <w:rFonts w:ascii="Calibri" w:hAnsi="Calibri"/>
          <w:b/>
          <w:color w:val="1E3A8A"/>
          <w:sz w:val="30"/>
        </w:rPr>
        <w:t>3. Key Components &amp; Mathematical Formulation</w:t>
      </w:r>
    </w:p>
    <w:p>
      <w:pPr>
        <w:spacing w:before="120" w:after="120"/>
        <w:ind w:left="432"/>
      </w:pPr>
      <w:r>
        <w:rPr>
          <w:rFonts w:ascii="Consolas" w:hAnsi="Consolas"/>
          <w:b/>
          <w:color w:val="0E7490"/>
          <w:sz w:val="21"/>
        </w:rPr>
        <w:t>P10 Score = On-Time Baseline + Graduation Cycle Bonus + Early Repayment Bonus - Delinquency &amp; Friction Penalties</w:t>
      </w:r>
    </w:p>
    <w:p>
      <w:pPr>
        <w:keepNext/>
        <w:spacing w:before="320" w:after="80"/>
      </w:pPr>
      <w:r>
        <w:rPr>
          <w:rFonts w:ascii="Calibri" w:hAnsi="Calibri"/>
          <w:b/>
          <w:color w:val="1E3A8A"/>
          <w:sz w:val="30"/>
        </w:rPr>
        <w:t>1. On-Time Payment Rate Baseline (ldr_on_time_payment_rate)</w:t>
      </w:r>
    </w:p>
    <w:p>
      <w:pPr>
        <w:spacing w:before="120" w:after="120"/>
        <w:ind w:left="432"/>
      </w:pPr>
      <w:r>
        <w:rPr>
          <w:rFonts w:ascii="Consolas" w:hAnsi="Consolas"/>
          <w:b/>
          <w:color w:val="0E7490"/>
          <w:sz w:val="21"/>
        </w:rPr>
        <w:t>Base Score = (On-Time Payment Rate ? 40.0) + 30.0</w:t>
      </w:r>
    </w:p>
    <w:p>
      <w:pPr>
        <w:spacing w:before="60" w:after="80" w:line="276" w:lineRule="auto"/>
      </w:pPr>
      <w:r>
        <w:rPr>
          <w:rFonts w:ascii="Calibri" w:hAnsi="Calibri"/>
          <w:color w:val="334155"/>
          <w:sz w:val="22"/>
        </w:rPr>
        <w:t>A borrower who paid 100% of their installments on time starts at a strong 70 points baseline.</w:t>
      </w:r>
    </w:p>
    <w:p>
      <w:pPr>
        <w:spacing w:before="60" w:after="80" w:line="276" w:lineRule="auto"/>
      </w:pPr>
      <w:r>
        <w:rPr>
          <w:rFonts w:ascii="Calibri" w:hAnsi="Calibri"/>
          <w:color w:val="334155"/>
          <w:sz w:val="22"/>
        </w:rPr>
        <w:t>An erratic borrower with an 80% on-time rate starts at 62 points.</w:t>
      </w:r>
    </w:p>
    <w:p>
      <w:pPr>
        <w:keepNext/>
        <w:spacing w:before="320" w:after="80"/>
      </w:pPr>
      <w:r>
        <w:rPr>
          <w:rFonts w:ascii="Calibri" w:hAnsi="Calibri"/>
          <w:b/>
          <w:color w:val="1E3A8A"/>
          <w:sz w:val="30"/>
        </w:rPr>
        <w:t>2. Graduation Loan Cycles Bonus (ldr_prior_loans_count) (Max +15 Points)</w:t>
      </w:r>
    </w:p>
    <w:p>
      <w:pPr>
        <w:spacing w:before="60" w:after="80" w:line="276" w:lineRule="auto"/>
      </w:pPr>
      <w:r>
        <w:rPr>
          <w:rFonts w:ascii="Calibri" w:hAnsi="Calibri"/>
          <w:color w:val="334155"/>
          <w:sz w:val="22"/>
        </w:rPr>
        <w:t>Rewards borrowers who have successfully taken and repaid multiple loan facilities:</w:t>
      </w:r>
    </w:p>
    <w:p>
      <w:pPr>
        <w:spacing w:before="60" w:after="80" w:line="276" w:lineRule="auto"/>
      </w:pPr>
      <w:r>
        <w:rPr>
          <w:rFonts w:ascii="Calibri" w:hAnsi="Calibri"/>
          <w:color w:val="334155"/>
          <w:sz w:val="22"/>
        </w:rPr>
        <w:t>Cycle Bonus = min? ft(15.0, ; (Prior Repaid Loans / 8) ? 15.0)</w:t>
      </w:r>
    </w:p>
    <w:p>
      <w:pPr>
        <w:spacing w:before="120" w:after="120"/>
        <w:ind w:left="432"/>
      </w:pPr>
      <w:r>
        <w:rPr>
          <w:rFonts w:ascii="Consolas" w:hAnsi="Consolas"/>
          <w:b/>
          <w:color w:val="0E7490"/>
          <w:sz w:val="21"/>
        </w:rPr>
        <w:t>6 to 8 Clean Loan Cycles: Full +15 bonus points.</w:t>
        <w:br/>
        <w:t>(This directly feeds the 4-Bound Progression Cap in the loan engine: Limit = Base ? 1.5^min(Clean Loans, 6)).</w:t>
      </w:r>
    </w:p>
    <w:p>
      <w:pPr>
        <w:spacing w:before="60" w:after="80" w:line="276" w:lineRule="auto"/>
      </w:pPr>
      <w:r>
        <w:rPr>
          <w:rFonts w:ascii="Calibri" w:hAnsi="Calibri"/>
          <w:color w:val="334155"/>
          <w:sz w:val="22"/>
        </w:rPr>
        <w:t>2 to 3 Cycles: +5 to +7.5 bonus points.</w:t>
      </w:r>
    </w:p>
    <w:p>
      <w:pPr>
        <w:spacing w:before="60" w:after="80" w:line="276" w:lineRule="auto"/>
      </w:pPr>
      <w:r>
        <w:rPr>
          <w:rFonts w:ascii="Calibri" w:hAnsi="Calibri"/>
          <w:color w:val="334155"/>
          <w:sz w:val="22"/>
        </w:rPr>
        <w:t>1st Time Borrower: 0 bonus.</w:t>
      </w:r>
    </w:p>
    <w:p>
      <w:pPr>
        <w:keepNext/>
        <w:spacing w:before="320" w:after="80"/>
      </w:pPr>
      <w:r>
        <w:rPr>
          <w:rFonts w:ascii="Calibri" w:hAnsi="Calibri"/>
          <w:b/>
          <w:color w:val="1E3A8A"/>
          <w:sz w:val="30"/>
        </w:rPr>
        <w:t>3. Early Repayment / Prepayment Bonus (ldr_early_repayments_count) (Max +10 Points)</w:t>
      </w:r>
    </w:p>
    <w:p>
      <w:pPr>
        <w:spacing w:before="60" w:after="80" w:line="276" w:lineRule="auto"/>
      </w:pPr>
      <w:r>
        <w:rPr>
          <w:rFonts w:ascii="Calibri" w:hAnsi="Calibri"/>
          <w:color w:val="334155"/>
          <w:sz w:val="22"/>
        </w:rPr>
        <w:t>Borrowers who clear their loans ahead of schedule reduce the bank's duration risk and free up capital:</w:t>
      </w:r>
    </w:p>
    <w:p>
      <w:pPr>
        <w:pStyle w:val="ListBullet"/>
        <w:spacing w:before="40" w:after="40"/>
      </w:pPr>
      <w:r>
        <w:rPr>
          <w:rFonts w:ascii="Calibri" w:hAnsi="Calibri"/>
          <w:color w:val="334155"/>
          <w:sz w:val="22"/>
        </w:rPr>
        <w:t>5 Early Repayments: Full +10 bonus points.</w:t>
      </w:r>
    </w:p>
    <w:p>
      <w:pPr>
        <w:spacing w:before="60" w:after="80" w:line="276" w:lineRule="auto"/>
      </w:pPr>
      <w:r>
        <w:rPr>
          <w:rFonts w:ascii="Calibri" w:hAnsi="Calibri"/>
          <w:color w:val="334155"/>
          <w:sz w:val="22"/>
        </w:rPr>
        <w:t>1 to 2 Early Repayments: +2 to +4 bonus points.</w:t>
      </w:r>
    </w:p>
    <w:p>
      <w:pPr>
        <w:keepNext/>
        <w:spacing w:before="320" w:after="80"/>
      </w:pPr>
      <w:r>
        <w:rPr>
          <w:rFonts w:ascii="Calibri" w:hAnsi="Calibri"/>
          <w:b/>
          <w:color w:val="1E3A8A"/>
          <w:sz w:val="30"/>
        </w:rPr>
        <w:t>4. Historical Delinquency &amp; Collections Friction Penalties</w:t>
      </w:r>
    </w:p>
    <w:p>
      <w:pPr>
        <w:spacing w:before="60" w:after="80" w:line="276" w:lineRule="auto"/>
      </w:pPr>
      <w:r>
        <w:rPr>
          <w:rFonts w:ascii="Calibri" w:hAnsi="Calibri"/>
          <w:color w:val="334155"/>
          <w:sz w:val="22"/>
        </w:rPr>
        <w:t>12-Month Average DPD: Penalized up to -20 points ((DPD / 30) ? 20).</w:t>
      </w:r>
    </w:p>
    <w:p>
      <w:pPr>
        <w:spacing w:before="60" w:after="80" w:line="276" w:lineRule="auto"/>
      </w:pPr>
      <w:r>
        <w:rPr>
          <w:rFonts w:ascii="Calibri" w:hAnsi="Calibri"/>
          <w:color w:val="334155"/>
          <w:sz w:val="22"/>
        </w:rPr>
        <w:t>Max DPD Ever Recorded (ldr_max_dpd_ever):</w:t>
      </w:r>
    </w:p>
    <w:p>
      <w:pPr>
        <w:spacing w:before="60" w:after="80" w:line="276" w:lineRule="auto"/>
      </w:pPr>
      <w:r>
        <w:rPr>
          <w:rFonts w:ascii="Calibri" w:hAnsi="Calibri"/>
          <w:color w:val="334155"/>
          <w:sz w:val="22"/>
        </w:rPr>
        <w:t>&gt; 90 DPD (Prior default / Non-Performing Loan): -15 points deduction.</w:t>
      </w:r>
    </w:p>
    <w:p>
      <w:pPr>
        <w:spacing w:before="60" w:after="80" w:line="276" w:lineRule="auto"/>
      </w:pPr>
      <w:r>
        <w:rPr>
          <w:rFonts w:ascii="Calibri" w:hAnsi="Calibri"/>
          <w:color w:val="334155"/>
          <w:sz w:val="22"/>
        </w:rPr>
        <w:t>&gt; 30 DPD: -8 points deduction.</w:t>
      </w:r>
    </w:p>
    <w:p>
      <w:pPr>
        <w:spacing w:before="60" w:after="80" w:line="276" w:lineRule="auto"/>
      </w:pPr>
      <w:r>
        <w:rPr>
          <w:rFonts w:ascii="Calibri" w:hAnsi="Calibri"/>
          <w:color w:val="334155"/>
          <w:sz w:val="22"/>
        </w:rPr>
        <w:t>&gt; 7 DPD: -3 points deduction.</w:t>
      </w:r>
    </w:p>
    <w:p>
      <w:pPr>
        <w:spacing w:before="60" w:after="80" w:line="276" w:lineRule="auto"/>
      </w:pPr>
      <w:r>
        <w:rPr>
          <w:rFonts w:ascii="Calibri" w:hAnsi="Calibri"/>
          <w:color w:val="334155"/>
          <w:sz w:val="22"/>
        </w:rPr>
        <w:t>Collections Contact Friction (ldr_collection_contacts_count):</w:t>
        <w:br/>
        <w:t>Each time a collection agent had to call or send a reminder incurs -3 points per contact (capped at -20 pts). Even if the borrower eventually paid, high friction indicates poor willingness to pay.</w:t>
      </w:r>
    </w:p>
    <w:p>
      <w:pPr>
        <w:keepNext/>
        <w:spacing w:before="320" w:after="80"/>
      </w:pPr>
      <w:r>
        <w:rPr>
          <w:rFonts w:ascii="Calibri" w:hAnsi="Calibri"/>
          <w:b/>
          <w:color w:val="1E3A8A"/>
          <w:sz w:val="30"/>
        </w:rPr>
        <w:t>5. Institutional Customer Segment Tier Bonus</w:t>
      </w:r>
    </w:p>
    <w:p>
      <w:pPr>
        <w:spacing w:before="60" w:after="80" w:line="276" w:lineRule="auto"/>
      </w:pPr>
      <w:r>
        <w:rPr>
          <w:rFonts w:ascii="Calibri" w:hAnsi="Calibri"/>
          <w:color w:val="334155"/>
          <w:sz w:val="22"/>
        </w:rPr>
        <w:t>Private Banking: +8 points bonus.</w:t>
      </w:r>
    </w:p>
    <w:p>
      <w:pPr>
        <w:spacing w:before="60" w:after="80" w:line="276" w:lineRule="auto"/>
      </w:pPr>
      <w:r>
        <w:rPr>
          <w:rFonts w:ascii="Calibri" w:hAnsi="Calibri"/>
          <w:color w:val="334155"/>
          <w:sz w:val="22"/>
        </w:rPr>
        <w:t>Premium / Priority Banking: +5 points bonus.</w:t>
      </w:r>
    </w:p>
    <w:p>
      <w:pPr>
        <w:spacing w:before="60" w:after="80" w:line="276" w:lineRule="auto"/>
      </w:pPr>
      <w:r>
        <w:rPr>
          <w:rFonts w:ascii="Calibri" w:hAnsi="Calibri"/>
          <w:color w:val="334155"/>
          <w:sz w:val="22"/>
        </w:rPr>
        <w:t>Affluent: +3 points bonus.</w:t>
      </w:r>
    </w:p>
    <w:p>
      <w:pPr>
        <w:spacing w:before="60" w:after="80" w:line="276" w:lineRule="auto"/>
      </w:pPr>
      <w:r>
        <w:rPr>
          <w:rFonts w:ascii="Calibri" w:hAnsi="Calibri"/>
          <w:color w:val="334155"/>
          <w:sz w:val="22"/>
        </w:rPr>
        <w:t>Mass Retail: 0 bonus.</w:t>
      </w:r>
    </w:p>
    <w:p>
      <w:pPr>
        <w:keepNext/>
        <w:spacing w:before="320" w:after="80"/>
      </w:pPr>
      <w:r>
        <w:rPr>
          <w:rFonts w:ascii="Calibri" w:hAnsi="Calibri"/>
          <w:b/>
          <w:color w:val="1E3A8A"/>
          <w:sz w:val="30"/>
        </w:rPr>
        <w:t>4. Real-World Portfolio Demonstration</w:t>
      </w:r>
    </w:p>
    <w:p>
      <w:pPr>
        <w:spacing w:before="60" w:after="80" w:line="276" w:lineRule="auto"/>
      </w:pPr>
      <w:r>
        <w:rPr>
          <w:rFonts w:ascii="Calibri" w:hAnsi="Calibri"/>
          <w:color w:val="334155"/>
          <w:sz w:val="22"/>
        </w:rPr>
        <w:t>Case 1: First-Time Onboarding Applicant:</w:t>
      </w:r>
    </w:p>
    <w:p>
      <w:pPr>
        <w:spacing w:before="60" w:after="80" w:line="276" w:lineRule="auto"/>
      </w:pPr>
      <w:r>
        <w:rPr>
          <w:rFonts w:ascii="Calibri" w:hAnsi="Calibri"/>
          <w:color w:val="334155"/>
          <w:sz w:val="22"/>
        </w:rPr>
        <w:t>Has no prior history with the bank.</w:t>
      </w:r>
    </w:p>
    <w:p>
      <w:pPr>
        <w:spacing w:before="120" w:after="120"/>
        <w:ind w:left="432"/>
      </w:pPr>
      <w:r>
        <w:rPr>
          <w:rFonts w:ascii="Consolas" w:hAnsi="Consolas"/>
          <w:b/>
          <w:color w:val="0E7490"/>
          <w:sz w:val="21"/>
        </w:rPr>
        <w:t>P10 Score = 0.0, but P10 Weight = 0.0%. The engine safely scores them using Cash Flow (P04) and Stability (P06).</w:t>
      </w:r>
    </w:p>
    <w:p>
      <w:pPr>
        <w:spacing w:before="60" w:after="80" w:line="276" w:lineRule="auto"/>
      </w:pPr>
      <w:r>
        <w:rPr>
          <w:rFonts w:ascii="Calibri" w:hAnsi="Calibri"/>
          <w:color w:val="334155"/>
          <w:sz w:val="22"/>
        </w:rPr>
        <w:t>Case 2: Seasoned Super-Prime Veteran (CUST0172409, Awais Zafar):</w:t>
      </w:r>
    </w:p>
    <w:p>
      <w:pPr>
        <w:spacing w:before="60" w:after="80" w:line="276" w:lineRule="auto"/>
      </w:pPr>
      <w:r>
        <w:rPr>
          <w:rFonts w:ascii="Calibri" w:hAnsi="Calibri"/>
          <w:color w:val="334155"/>
          <w:sz w:val="22"/>
        </w:rPr>
        <w:t>7 cleanly repaid loan cycles.</w:t>
      </w:r>
    </w:p>
    <w:p>
      <w:pPr>
        <w:spacing w:before="60" w:after="80" w:line="276" w:lineRule="auto"/>
      </w:pPr>
      <w:r>
        <w:rPr>
          <w:rFonts w:ascii="Calibri" w:hAnsi="Calibri"/>
          <w:color w:val="334155"/>
          <w:sz w:val="22"/>
        </w:rPr>
        <w:t>100% on-time payment rate.</w:t>
      </w:r>
    </w:p>
    <w:p>
      <w:pPr>
        <w:spacing w:before="60" w:after="80" w:line="276" w:lineRule="auto"/>
      </w:pPr>
      <w:r>
        <w:rPr>
          <w:rFonts w:ascii="Calibri" w:hAnsi="Calibri"/>
          <w:color w:val="334155"/>
          <w:sz w:val="22"/>
        </w:rPr>
        <w:t>Zero collections friction.</w:t>
      </w:r>
    </w:p>
    <w:p>
      <w:pPr>
        <w:spacing w:before="60" w:after="80" w:line="276" w:lineRule="auto"/>
      </w:pPr>
      <w:r>
        <w:rPr>
          <w:rFonts w:ascii="Calibri" w:hAnsi="Calibri"/>
          <w:color w:val="334155"/>
          <w:sz w:val="22"/>
        </w:rPr>
        <w:t>Result: Unlocks the maximum PKR 570,000 graduated credit limit and a prime interest rate of 22.45% APR.</w:t>
      </w:r>
    </w:p>
    <w:p>
      <w:pPr>
        <w:spacing w:before="60" w:after="80" w:line="276" w:lineRule="auto"/>
      </w:pPr>
      <w:r>
        <w:rPr>
          <w:rFonts w:ascii="Calibri" w:hAnsi="Calibri"/>
          <w:color w:val="334155"/>
          <w:sz w:val="22"/>
        </w:rPr>
        <w:t>In theory, the P11 Collection Risk Pillar Score (0 - 100) measures an applicant's post-delinquency recovery friction, contactability, and willingness to cooperate.</w:t>
      </w:r>
    </w:p>
    <w:p>
      <w:pPr>
        <w:spacing w:before="60" w:after="80" w:line="276" w:lineRule="auto"/>
      </w:pPr>
      <w:r>
        <w:rPr>
          <w:rFonts w:ascii="Calibri" w:hAnsi="Calibri"/>
          <w:color w:val="334155"/>
          <w:sz w:val="22"/>
        </w:rPr>
        <w:t>Carrying a 5% weight in the composite meta-learner, P11 answers a vital operational banking question:</w:t>
      </w:r>
    </w:p>
    <w:p>
      <w:pPr>
        <w:spacing w:before="60" w:after="80" w:line="276" w:lineRule="auto"/>
      </w:pPr>
      <w:r>
        <w:rPr>
          <w:rFonts w:ascii="Calibri" w:hAnsi="Calibri"/>
          <w:color w:val="334155"/>
          <w:sz w:val="22"/>
        </w:rPr>
        <w:t>"If this borrower hits a temporary cash crunch and misses a payment, how difficult, expensive, and hostile will it be for our collections team to recover the money?"</w:t>
      </w:r>
    </w:p>
    <w:p>
      <w:pPr>
        <w:spacing w:before="60" w:after="80" w:line="276" w:lineRule="auto"/>
      </w:pPr>
      <w:r>
        <w:rPr>
          <w:rFonts w:ascii="Calibri" w:hAnsi="Calibri"/>
          <w:color w:val="334155"/>
          <w:sz w:val="22"/>
        </w:rPr>
        <w:t>In unsecured retail and nano-lending, the operational cost of recovery (call-center agents, SMS blasts, field visits, legal notices) often wipes out the bank's entire profit margin. P11 identifies borrowers who resolve arrears easily versus those who evade contact and create heavy operational expenses.</w:t>
      </w:r>
    </w:p>
    <w:p>
      <w:pPr>
        <w:keepNext/>
        <w:spacing w:before="320" w:after="80"/>
      </w:pPr>
      <w:r>
        <w:rPr>
          <w:rFonts w:ascii="Calibri" w:hAnsi="Calibri"/>
          <w:b/>
          <w:color w:val="1E3A8A"/>
          <w:sz w:val="30"/>
        </w:rPr>
        <w:t>1. Inverted Risk Definition</w:t>
      </w:r>
    </w:p>
    <w:p>
      <w:pPr>
        <w:spacing w:before="60" w:after="80" w:line="276" w:lineRule="auto"/>
      </w:pPr>
      <w:r>
        <w:rPr>
          <w:rFonts w:ascii="Calibri" w:hAnsi="Calibri"/>
          <w:color w:val="334155"/>
          <w:sz w:val="22"/>
        </w:rPr>
        <w:t>In our platform architecture, higher score = lower collection risk (easier recovery):</w:t>
      </w:r>
    </w:p>
    <w:p>
      <w:pPr>
        <w:spacing w:before="60" w:after="80" w:line="276" w:lineRule="auto"/>
      </w:pPr>
      <w:r>
        <w:rPr>
          <w:rFonts w:ascii="Calibri" w:hAnsi="Calibri"/>
          <w:color w:val="334155"/>
          <w:sz w:val="22"/>
        </w:rPr>
        <w:t>Score 80 - 100 (High Cooperation / Low Friction): The borrower has verified contact channels, active auto-debits, zero chargebacks, and pays immediately upon a single digital prompt.</w:t>
      </w:r>
    </w:p>
    <w:p>
      <w:pPr>
        <w:spacing w:before="60" w:after="80" w:line="276" w:lineRule="auto"/>
      </w:pPr>
      <w:r>
        <w:rPr>
          <w:rFonts w:ascii="Calibri" w:hAnsi="Calibri"/>
          <w:color w:val="334155"/>
          <w:sz w:val="22"/>
        </w:rPr>
        <w:t>Score &lt; 40 (Hostile / High Friction): Repeatedly ignores calls, has a history of bounced cheques and payment disputes, and requires multiple aggressive collector touches.</w:t>
      </w:r>
    </w:p>
    <w:p>
      <w:pPr>
        <w:keepNext/>
        <w:spacing w:before="320" w:after="80"/>
      </w:pPr>
      <w:r>
        <w:rPr>
          <w:rFonts w:ascii="Calibri" w:hAnsi="Calibri"/>
          <w:b/>
          <w:color w:val="1E3A8A"/>
          <w:sz w:val="30"/>
        </w:rPr>
        <w:t>2. Data Sources Feeding P11</w:t>
      </w:r>
    </w:p>
    <w:p>
      <w:pPr>
        <w:keepNext/>
        <w:spacing w:before="320" w:after="80"/>
      </w:pPr>
      <w:r>
        <w:rPr>
          <w:rFonts w:ascii="Calibri" w:hAnsi="Calibri"/>
          <w:b/>
          <w:color w:val="1E3A8A"/>
          <w:sz w:val="30"/>
        </w:rPr>
        <w:t>P11 combines data from:</w:t>
      </w:r>
    </w:p>
    <w:p>
      <w:pPr>
        <w:spacing w:before="60" w:after="80" w:line="276" w:lineRule="auto"/>
      </w:pPr>
      <w:r>
        <w:rPr>
          <w:rFonts w:ascii="Calibri" w:hAnsi="Calibri"/>
          <w:color w:val="334155"/>
          <w:sz w:val="22"/>
        </w:rPr>
        <w:t>Family F13 (Internal Collections History): Historical collector touchpoints, past roll-rate transitions, and maximum Days Past Due (DPD) ever reached.</w:t>
      </w:r>
    </w:p>
    <w:p>
      <w:pPr>
        <w:spacing w:before="60" w:after="80" w:line="276" w:lineRule="auto"/>
      </w:pPr>
      <w:r>
        <w:rPr>
          <w:rFonts w:ascii="Calibri" w:hAnsi="Calibri"/>
          <w:color w:val="334155"/>
          <w:sz w:val="22"/>
        </w:rPr>
        <w:t>Family F6 &amp; F7 (Banking &amp; Payment Integrity): Bounced auto-debit (NSF) counts, payment chargebacks, and revolving overdraft strain.</w:t>
      </w:r>
    </w:p>
    <w:p>
      <w:pPr>
        <w:spacing w:before="60" w:after="80" w:line="276" w:lineRule="auto"/>
      </w:pPr>
      <w:r>
        <w:rPr>
          <w:rFonts w:ascii="Calibri" w:hAnsi="Calibri"/>
          <w:color w:val="334155"/>
          <w:sz w:val="22"/>
        </w:rPr>
        <w:t>Family F5 (Telecom Reachability): Postpaid verified lines and mobile banking adoption.</w:t>
      </w:r>
    </w:p>
    <w:p>
      <w:pPr>
        <w:keepNext/>
        <w:spacing w:before="320" w:after="80"/>
      </w:pPr>
      <w:r>
        <w:rPr>
          <w:rFonts w:ascii="Calibri" w:hAnsi="Calibri"/>
          <w:b/>
          <w:color w:val="1E3A8A"/>
          <w:sz w:val="30"/>
        </w:rPr>
        <w:t>3. The Theoretical Formulation</w:t>
      </w:r>
    </w:p>
    <w:p>
      <w:pPr>
        <w:keepNext/>
        <w:spacing w:before="320" w:after="80"/>
      </w:pPr>
      <w:r>
        <w:rPr>
          <w:rFonts w:ascii="Calibri" w:hAnsi="Calibri"/>
          <w:b/>
          <w:color w:val="1E3A8A"/>
          <w:sz w:val="30"/>
        </w:rPr>
        <w:t>P11 Score = Baseline (70) + Reachability Bonuses - Friction Penalties - Dispute Penalties</w:t>
      </w:r>
    </w:p>
    <w:p>
      <w:pPr>
        <w:spacing w:before="60" w:after="80" w:line="276" w:lineRule="auto"/>
      </w:pPr>
      <w:r>
        <w:rPr>
          <w:rFonts w:ascii="Calibri" w:hAnsi="Calibri"/>
          <w:color w:val="334155"/>
          <w:sz w:val="22"/>
        </w:rPr>
        <w:t>mermaid</w:t>
      </w:r>
    </w:p>
    <w:p>
      <w:pPr>
        <w:spacing w:before="60" w:after="80" w:line="276" w:lineRule="auto"/>
      </w:pPr>
      <w:r>
        <w:rPr>
          <w:rFonts w:ascii="Calibri" w:hAnsi="Calibri"/>
          <w:color w:val="334155"/>
          <w:sz w:val="22"/>
        </w:rPr>
        <w:t>flowchart TD</w:t>
      </w:r>
    </w:p>
    <w:p>
      <w:pPr>
        <w:spacing w:before="60" w:after="80" w:line="276" w:lineRule="auto"/>
      </w:pPr>
      <w:r>
        <w:rPr>
          <w:rFonts w:ascii="Calibri" w:hAnsi="Calibri"/>
          <w:color w:val="334155"/>
          <w:sz w:val="22"/>
        </w:rPr>
        <w:t>A["Delinquency &amp; Collections History"] --&gt; B["1. Historical Contact Intensity&lt;br/&gt;Number of calls/reminders required to collect"]</w:t>
      </w:r>
    </w:p>
    <w:p>
      <w:pPr>
        <w:spacing w:before="60" w:after="80" w:line="276" w:lineRule="auto"/>
      </w:pPr>
      <w:r>
        <w:rPr>
          <w:rFonts w:ascii="Calibri" w:hAnsi="Calibri"/>
          <w:color w:val="334155"/>
          <w:sz w:val="22"/>
        </w:rPr>
        <w:t>A --&gt; C["2. Delinquency Aging (DPD Severity)&lt;br/&gt;30+ DPD vs. technical 5-day settlement lag"]</w:t>
      </w:r>
    </w:p>
    <w:p>
      <w:pPr>
        <w:spacing w:before="60" w:after="80" w:line="276" w:lineRule="auto"/>
      </w:pPr>
      <w:r>
        <w:rPr>
          <w:rFonts w:ascii="Calibri" w:hAnsi="Calibri"/>
          <w:color w:val="334155"/>
          <w:sz w:val="22"/>
        </w:rPr>
        <w:t>A --&gt; D["3. Banking Friction (NSF &amp; OD Stress)&lt;br/&gt;Bounced direct debits &amp; maxed overdrafts"]</w:t>
      </w:r>
    </w:p>
    <w:p>
      <w:pPr>
        <w:spacing w:before="60" w:after="80" w:line="276" w:lineRule="auto"/>
      </w:pPr>
      <w:r>
        <w:rPr>
          <w:rFonts w:ascii="Calibri" w:hAnsi="Calibri"/>
          <w:color w:val="334155"/>
          <w:sz w:val="22"/>
        </w:rPr>
        <w:t>A --&gt; E["4. Hostility / Dispute Signal&lt;br/&gt;Chargebacks &amp; payment reversals"]</w:t>
      </w:r>
    </w:p>
    <w:p>
      <w:pPr>
        <w:spacing w:before="60" w:after="80" w:line="276" w:lineRule="auto"/>
      </w:pPr>
      <w:r>
        <w:rPr>
          <w:rFonts w:ascii="Calibri" w:hAnsi="Calibri"/>
          <w:color w:val="334155"/>
          <w:sz w:val="22"/>
        </w:rPr>
        <w:t>F["Verified Reachability&lt;br/&gt;Postpaid SIM + Mobile Banking App"] --&gt; G["5. Digital Recovery Channels (+10 pts)"]</w:t>
      </w:r>
    </w:p>
    <w:p>
      <w:pPr>
        <w:spacing w:before="60" w:after="80" w:line="276" w:lineRule="auto"/>
      </w:pPr>
      <w:r>
        <w:rPr>
          <w:rFonts w:ascii="Calibri" w:hAnsi="Calibri"/>
          <w:color w:val="334155"/>
          <w:sz w:val="22"/>
        </w:rPr>
        <w:t>B &amp; C &amp; D &amp; E -. "Deductions" .-&gt; H["LightGBM Collection Model &amp; Heuristics"]</w:t>
      </w:r>
    </w:p>
    <w:p>
      <w:pPr>
        <w:spacing w:before="60" w:after="80" w:line="276" w:lineRule="auto"/>
      </w:pPr>
      <w:r>
        <w:rPr>
          <w:rFonts w:ascii="Calibri" w:hAnsi="Calibri"/>
          <w:color w:val="334155"/>
          <w:sz w:val="22"/>
        </w:rPr>
        <w:t>G --&gt; H</w:t>
      </w:r>
    </w:p>
    <w:p>
      <w:pPr>
        <w:spacing w:before="60" w:after="80" w:line="276" w:lineRule="auto"/>
      </w:pPr>
      <w:r>
        <w:rPr>
          <w:rFonts w:ascii="Calibri" w:hAnsi="Calibri"/>
          <w:color w:val="334155"/>
          <w:sz w:val="22"/>
        </w:rPr>
        <w:t>H --&gt; I["Final P11 Score (0 - 100)"]</w:t>
      </w:r>
    </w:p>
    <w:p>
      <w:pPr>
        <w:keepNext/>
        <w:spacing w:before="320" w:after="80"/>
      </w:pPr>
      <w:r>
        <w:rPr>
          <w:rFonts w:ascii="Calibri" w:hAnsi="Calibri"/>
          <w:b/>
          <w:color w:val="1E3A8A"/>
          <w:sz w:val="30"/>
        </w:rPr>
        <w:t>4. Key Components &amp; Mathematical Mechanics</w:t>
      </w:r>
    </w:p>
    <w:p>
      <w:pPr>
        <w:keepNext/>
        <w:spacing w:before="320" w:after="80"/>
      </w:pPr>
      <w:r>
        <w:rPr>
          <w:rFonts w:ascii="Calibri" w:hAnsi="Calibri"/>
          <w:b/>
          <w:color w:val="1E3A8A"/>
          <w:sz w:val="30"/>
        </w:rPr>
        <w:t>1. Historical Collector Contact Intensity (ldr_collection_contacts_count)</w:t>
      </w:r>
    </w:p>
    <w:p>
      <w:pPr>
        <w:spacing w:before="60" w:after="80" w:line="276" w:lineRule="auto"/>
      </w:pPr>
      <w:r>
        <w:rPr>
          <w:rFonts w:ascii="Calibri" w:hAnsi="Calibri"/>
          <w:color w:val="334155"/>
          <w:sz w:val="22"/>
        </w:rPr>
        <w:t>The most direct measure of collection friction:</w:t>
      </w:r>
    </w:p>
    <w:p>
      <w:pPr>
        <w:spacing w:before="60" w:after="80" w:line="276" w:lineRule="auto"/>
      </w:pPr>
      <w:r>
        <w:rPr>
          <w:rFonts w:ascii="Calibri" w:hAnsi="Calibri"/>
          <w:color w:val="334155"/>
          <w:sz w:val="22"/>
        </w:rPr>
        <w:t>Each time a collections officer had to contact the borrower in prior loan cycles incurs a -5 point penalty (capped at -25 points).</w:t>
      </w:r>
    </w:p>
    <w:p>
      <w:pPr>
        <w:spacing w:before="60" w:after="80" w:line="276" w:lineRule="auto"/>
      </w:pPr>
      <w:r>
        <w:rPr>
          <w:rFonts w:ascii="Calibri" w:hAnsi="Calibri"/>
          <w:color w:val="334155"/>
          <w:sz w:val="22"/>
        </w:rPr>
        <w:t>A borrower who pays automatically on due dates has 0 contact penalty. A borrower who requires 5 phone calls every month has high operational friction.</w:t>
      </w:r>
    </w:p>
    <w:p>
      <w:pPr>
        <w:keepNext/>
        <w:spacing w:before="320" w:after="80"/>
      </w:pPr>
      <w:r>
        <w:rPr>
          <w:rFonts w:ascii="Calibri" w:hAnsi="Calibri"/>
          <w:b/>
          <w:color w:val="1E3A8A"/>
          <w:sz w:val="30"/>
        </w:rPr>
        <w:t>2. Delinquency Severity &amp; DPD Roll-Rate (ldr_avg_dpd_last_12m)</w:t>
      </w:r>
    </w:p>
    <w:p>
      <w:pPr>
        <w:spacing w:before="60" w:after="80" w:line="276" w:lineRule="auto"/>
      </w:pPr>
      <w:r>
        <w:rPr>
          <w:rFonts w:ascii="Calibri" w:hAnsi="Calibri"/>
          <w:color w:val="334155"/>
          <w:sz w:val="22"/>
        </w:rPr>
        <w:t>Measures how deep into arrears the borrower historically rolls:</w:t>
      </w:r>
    </w:p>
    <w:p>
      <w:pPr>
        <w:spacing w:before="60" w:after="80" w:line="276" w:lineRule="auto"/>
      </w:pPr>
      <w:r>
        <w:rPr>
          <w:rFonts w:ascii="Calibri" w:hAnsi="Calibri"/>
          <w:color w:val="334155"/>
          <w:sz w:val="22"/>
        </w:rPr>
        <w:t>DPD &gt; 30 Days (Roll into Collections Bucket 2): -25 points deduction (High recovery difficulty).</w:t>
      </w:r>
    </w:p>
    <w:p>
      <w:pPr>
        <w:spacing w:before="60" w:after="80" w:line="276" w:lineRule="auto"/>
      </w:pPr>
      <w:r>
        <w:rPr>
          <w:rFonts w:ascii="Calibri" w:hAnsi="Calibri"/>
          <w:color w:val="334155"/>
          <w:sz w:val="22"/>
        </w:rPr>
        <w:t>DPD &gt; 15 Days: -15 points deduction.</w:t>
      </w:r>
    </w:p>
    <w:p>
      <w:pPr>
        <w:spacing w:before="60" w:after="80" w:line="276" w:lineRule="auto"/>
      </w:pPr>
      <w:r>
        <w:rPr>
          <w:rFonts w:ascii="Calibri" w:hAnsi="Calibri"/>
          <w:color w:val="334155"/>
          <w:sz w:val="22"/>
        </w:rPr>
        <w:t>DPD &gt; 5 Days: -8 points deduction.</w:t>
      </w:r>
    </w:p>
    <w:p>
      <w:pPr>
        <w:spacing w:before="60" w:after="80" w:line="276" w:lineRule="auto"/>
      </w:pPr>
      <w:r>
        <w:rPr>
          <w:rFonts w:ascii="Calibri" w:hAnsi="Calibri"/>
          <w:color w:val="334155"/>
          <w:sz w:val="22"/>
        </w:rPr>
        <w:t>0 DPD (Punctual): 0 penalty.</w:t>
      </w:r>
    </w:p>
    <w:p>
      <w:pPr>
        <w:keepNext/>
        <w:spacing w:before="320" w:after="80"/>
      </w:pPr>
      <w:r>
        <w:rPr>
          <w:rFonts w:ascii="Calibri" w:hAnsi="Calibri"/>
          <w:b/>
          <w:color w:val="1E3A8A"/>
          <w:sz w:val="30"/>
        </w:rPr>
        <w:t>3. Overdraft Dependency &amp; Liquidity Exhaustion (overdraft_utilization_rate)</w:t>
      </w:r>
    </w:p>
    <w:p>
      <w:pPr>
        <w:spacing w:before="60" w:after="80" w:line="276" w:lineRule="auto"/>
      </w:pPr>
      <w:r>
        <w:rPr>
          <w:rFonts w:ascii="Calibri" w:hAnsi="Calibri"/>
          <w:color w:val="334155"/>
          <w:sz w:val="22"/>
        </w:rPr>
        <w:t>Borrowers with a maxed-out overdraft line have zero liquid buffer left in their checking account to honor direct debits, penalizing up to -20 points (Utilization ? 20).</w:t>
      </w:r>
    </w:p>
    <w:p>
      <w:pPr>
        <w:keepNext/>
        <w:spacing w:before="320" w:after="80"/>
      </w:pPr>
      <w:r>
        <w:rPr>
          <w:rFonts w:ascii="Calibri" w:hAnsi="Calibri"/>
          <w:b/>
          <w:color w:val="1E3A8A"/>
          <w:sz w:val="30"/>
        </w:rPr>
        <w:t>4. Hostility &amp; Dispute Signals (wal_chargeback_count_ever)</w:t>
      </w:r>
    </w:p>
    <w:p>
      <w:pPr>
        <w:spacing w:before="60" w:after="80" w:line="276" w:lineRule="auto"/>
      </w:pPr>
      <w:r>
        <w:rPr>
          <w:rFonts w:ascii="Calibri" w:hAnsi="Calibri"/>
          <w:color w:val="334155"/>
          <w:sz w:val="22"/>
        </w:rPr>
        <w:t>In digital lending, bad-faith borrowers often exploit consumer protection mechanisms by filing chargeback disputes or claiming unauthorized transactions after receiving funds:</w:t>
      </w:r>
    </w:p>
    <w:p>
      <w:pPr>
        <w:spacing w:before="60" w:after="80" w:line="276" w:lineRule="auto"/>
      </w:pPr>
      <w:r>
        <w:rPr>
          <w:rFonts w:ascii="Calibri" w:hAnsi="Calibri"/>
          <w:color w:val="334155"/>
          <w:sz w:val="22"/>
        </w:rPr>
        <w:t>Each chargeback dispute incurs an immediate -8 point penalty (capped at -20 points).</w:t>
      </w:r>
    </w:p>
    <w:p>
      <w:pPr>
        <w:spacing w:before="60" w:after="80" w:line="276" w:lineRule="auto"/>
      </w:pPr>
      <w:r>
        <w:rPr>
          <w:rFonts w:ascii="Calibri" w:hAnsi="Calibri"/>
          <w:color w:val="334155"/>
          <w:sz w:val="22"/>
        </w:rPr>
        <w:t>Each Non-Sufficient Funds (NSF) auto-debit bounce incurs -5 points (capped at -15 points).</w:t>
      </w:r>
    </w:p>
    <w:p>
      <w:pPr>
        <w:keepNext/>
        <w:spacing w:before="320" w:after="80"/>
      </w:pPr>
      <w:r>
        <w:rPr>
          <w:rFonts w:ascii="Calibri" w:hAnsi="Calibri"/>
          <w:b/>
          <w:color w:val="1E3A8A"/>
          <w:sz w:val="30"/>
        </w:rPr>
        <w:t>5. Digital Reachability &amp; Self-Curing Channels (+10 Points)</w:t>
      </w:r>
    </w:p>
    <w:p>
      <w:pPr>
        <w:spacing w:before="60" w:after="80" w:line="276" w:lineRule="auto"/>
      </w:pPr>
      <w:r>
        <w:rPr>
          <w:rFonts w:ascii="Calibri" w:hAnsi="Calibri"/>
          <w:color w:val="334155"/>
          <w:sz w:val="22"/>
        </w:rPr>
        <w:t>Borrowers who are easily reachable via formal channels are significantly cheaper to recover:</w:t>
      </w:r>
    </w:p>
    <w:p>
      <w:pPr>
        <w:spacing w:before="60" w:after="80" w:line="276" w:lineRule="auto"/>
      </w:pPr>
      <w:r>
        <w:rPr>
          <w:rFonts w:ascii="Calibri" w:hAnsi="Calibri"/>
          <w:color w:val="334155"/>
          <w:sz w:val="22"/>
        </w:rPr>
        <w:t>Postpaid Telecom Line (phone_type == "Postpaid"): +5 points bonus (The phone number is legally registered with a billing address; the borrower cannot easily discard it).</w:t>
      </w:r>
    </w:p>
    <w:p>
      <w:pPr>
        <w:spacing w:before="60" w:after="80" w:line="276" w:lineRule="auto"/>
      </w:pPr>
      <w:r>
        <w:rPr>
          <w:rFonts w:ascii="Calibri" w:hAnsi="Calibri"/>
          <w:color w:val="334155"/>
          <w:sz w:val="22"/>
        </w:rPr>
        <w:t>Active Mobile Banking App (has_mobile_banking): +5 points bonus (Enables 1-click in-app push notifications and instant debit card repayments, bypassing expensive human call-center agents).</w:t>
      </w:r>
    </w:p>
    <w:p>
      <w:pPr>
        <w:keepNext/>
        <w:spacing w:before="320" w:after="80"/>
      </w:pPr>
      <w:r>
        <w:rPr>
          <w:rFonts w:ascii="Calibri" w:hAnsi="Calibri"/>
          <w:b/>
          <w:color w:val="1E3A8A"/>
          <w:sz w:val="30"/>
        </w:rPr>
        <w:t>5. Dual Execution (ML Model + Calibrated Output)</w:t>
      </w:r>
    </w:p>
    <w:p>
      <w:pPr>
        <w:spacing w:before="60" w:after="80" w:line="276" w:lineRule="auto"/>
      </w:pPr>
      <w:r>
        <w:rPr>
          <w:rFonts w:ascii="Calibri" w:hAnsi="Calibri"/>
          <w:color w:val="334155"/>
          <w:sz w:val="22"/>
        </w:rPr>
        <w:t>In production, these features feed a dedicated LightGBM Regressor (lgb_pillar_collection_risk.joblib): x_collection = big[avg_dpd_12m, ; max_dpd_ever, ; overdraft_utilization, ; nsf_count_totalbig]</w:t>
      </w:r>
    </w:p>
    <w:p>
      <w:pPr>
        <w:spacing w:before="120" w:after="120"/>
        <w:ind w:left="432"/>
      </w:pPr>
      <w:r>
        <w:rPr>
          <w:rFonts w:ascii="Consolas" w:hAnsi="Consolas"/>
          <w:b/>
          <w:color w:val="0E7490"/>
          <w:sz w:val="21"/>
        </w:rPr>
        <w:t>The model predicts the expected number of collection touches widehatTouches and inverts it onto the standard credit scale: P11 Score = clip(100.0 - (widehatTouches ? 5.0), ; 0.0, ; 100.0)</w:t>
      </w:r>
    </w:p>
    <w:p>
      <w:pPr>
        <w:spacing w:before="60" w:after="80" w:line="276" w:lineRule="auto"/>
      </w:pPr>
      <w:r>
        <w:rPr>
          <w:rFonts w:ascii="Calibri" w:hAnsi="Calibri"/>
          <w:color w:val="334155"/>
          <w:sz w:val="22"/>
        </w:rPr>
        <w:t>Real-World Portfolio Example:</w:t>
      </w:r>
    </w:p>
    <w:p>
      <w:pPr>
        <w:spacing w:before="60" w:after="80" w:line="276" w:lineRule="auto"/>
      </w:pPr>
      <w:r>
        <w:rPr>
          <w:rFonts w:ascii="Calibri" w:hAnsi="Calibri"/>
          <w:color w:val="334155"/>
          <w:sz w:val="22"/>
        </w:rPr>
        <w:t>#1 Super-Prime Applicant (CUST0008856, Salman Dar):</w:t>
      </w:r>
    </w:p>
    <w:p>
      <w:pPr>
        <w:spacing w:before="60" w:after="80" w:line="276" w:lineRule="auto"/>
      </w:pPr>
      <w:r>
        <w:rPr>
          <w:rFonts w:ascii="Calibri" w:hAnsi="Calibri"/>
          <w:color w:val="334155"/>
          <w:sz w:val="22"/>
        </w:rPr>
        <w:t>0 DPD over 12 months.</w:t>
      </w:r>
    </w:p>
    <w:p>
      <w:pPr>
        <w:spacing w:before="60" w:after="80" w:line="276" w:lineRule="auto"/>
      </w:pPr>
      <w:r>
        <w:rPr>
          <w:rFonts w:ascii="Calibri" w:hAnsi="Calibri"/>
          <w:color w:val="334155"/>
          <w:sz w:val="22"/>
        </w:rPr>
        <w:t>Zero prior collection calls.</w:t>
      </w:r>
    </w:p>
    <w:p>
      <w:pPr>
        <w:spacing w:before="60" w:after="80" w:line="276" w:lineRule="auto"/>
      </w:pPr>
      <w:r>
        <w:rPr>
          <w:rFonts w:ascii="Calibri" w:hAnsi="Calibri"/>
          <w:color w:val="334155"/>
          <w:sz w:val="22"/>
        </w:rPr>
        <w:t>Active mobile banking and verified postpaid line.</w:t>
      </w:r>
    </w:p>
    <w:p>
      <w:pPr>
        <w:spacing w:before="60" w:after="80" w:line="276" w:lineRule="auto"/>
      </w:pPr>
      <w:r>
        <w:rPr>
          <w:rFonts w:ascii="Calibri" w:hAnsi="Calibri"/>
          <w:color w:val="334155"/>
          <w:sz w:val="22"/>
        </w:rPr>
        <w:t>Final P11 Score: 79.8 / 100 (Low collection friction; self-curing borrower).</w:t>
      </w:r>
    </w:p>
    <w:p>
      <w:pPr>
        <w:spacing w:before="60" w:after="80" w:line="276" w:lineRule="auto"/>
      </w:pPr>
      <w:r>
        <w:rPr>
          <w:rFonts w:ascii="Calibri" w:hAnsi="Calibri"/>
          <w:color w:val="334155"/>
          <w:sz w:val="22"/>
        </w:rPr>
        <w:t>Once the 11 Pillar Scores (P01-P11) are computed, the raw feature-engineering phase is complete. The system now enters the Staged Decision &amp; Underwriting Core.</w:t>
      </w:r>
    </w:p>
    <w:p>
      <w:pPr>
        <w:spacing w:before="60" w:after="80" w:line="276" w:lineRule="auto"/>
      </w:pPr>
      <w:r>
        <w:rPr>
          <w:rFonts w:ascii="Calibri" w:hAnsi="Calibri"/>
          <w:color w:val="334155"/>
          <w:sz w:val="22"/>
        </w:rPr>
        <w:t>Here is the exact step-by-step mathematical sequence that turns those 11 scores into an approved loan, limit, interest rate, and core banking contract:</w:t>
      </w:r>
    </w:p>
    <w:p>
      <w:pPr>
        <w:spacing w:before="60" w:after="80" w:line="276" w:lineRule="auto"/>
      </w:pPr>
      <w:r>
        <w:rPr>
          <w:rFonts w:ascii="Calibri" w:hAnsi="Calibri"/>
          <w:color w:val="334155"/>
          <w:sz w:val="22"/>
        </w:rPr>
        <w:t>mermaid</w:t>
      </w:r>
    </w:p>
    <w:p>
      <w:pPr>
        <w:spacing w:before="60" w:after="80" w:line="276" w:lineRule="auto"/>
      </w:pPr>
      <w:r>
        <w:rPr>
          <w:rFonts w:ascii="Calibri" w:hAnsi="Calibri"/>
          <w:color w:val="334155"/>
          <w:sz w:val="22"/>
        </w:rPr>
        <w:t>flowchart TD</w:t>
      </w:r>
    </w:p>
    <w:p>
      <w:pPr>
        <w:spacing w:before="60" w:after="80" w:line="276" w:lineRule="auto"/>
      </w:pPr>
      <w:r>
        <w:rPr>
          <w:rFonts w:ascii="Calibri" w:hAnsi="Calibri"/>
          <w:color w:val="334155"/>
          <w:sz w:val="22"/>
        </w:rPr>
        <w:t>A["11 Pillar Sub-Scores (P01 - P11)&lt;br/&gt;+ P12 Compliance Gate"] --&gt; B"1. Stage 0: Knockout Filters"</w:t>
      </w:r>
    </w:p>
    <w:p>
      <w:pPr>
        <w:spacing w:before="60" w:after="80" w:line="276" w:lineRule="auto"/>
      </w:pPr>
      <w:r>
        <w:rPr>
          <w:rFonts w:ascii="Calibri" w:hAnsi="Calibri"/>
          <w:color w:val="334155"/>
          <w:sz w:val="22"/>
        </w:rPr>
        <w:t>B -- "Failed (AML, Fraud, FOIR&gt;45%, Zero Inc)" --&gt; C["HARD DECLINE (Score=300, Grade G)&lt;br/&gt;No further processing"]</w:t>
      </w:r>
    </w:p>
    <w:p>
      <w:pPr>
        <w:spacing w:before="60" w:after="80" w:line="276" w:lineRule="auto"/>
      </w:pPr>
      <w:r>
        <w:rPr>
          <w:rFonts w:ascii="Calibri" w:hAnsi="Calibri"/>
          <w:color w:val="334155"/>
          <w:sz w:val="22"/>
        </w:rPr>
        <w:t>B -- "Passed" --&gt; D["2. Stacking Meta-Learner Ensemble&lt;br/&gt;LightGBM + XGBoost + Logistic Benchmark"]</w:t>
      </w:r>
    </w:p>
    <w:p>
      <w:pPr>
        <w:spacing w:before="60" w:after="80" w:line="276" w:lineRule="auto"/>
      </w:pPr>
      <w:r>
        <w:rPr>
          <w:rFonts w:ascii="Calibri" w:hAnsi="Calibri"/>
          <w:color w:val="334155"/>
          <w:sz w:val="22"/>
        </w:rPr>
        <w:t>D --&gt; E["12-Month Calibrated Probability of Default (PD)"]</w:t>
      </w:r>
    </w:p>
    <w:p>
      <w:pPr>
        <w:spacing w:before="120" w:after="120"/>
        <w:ind w:left="432"/>
      </w:pPr>
      <w:r>
        <w:rPr>
          <w:rFonts w:ascii="Consolas" w:hAnsi="Consolas"/>
          <w:b/>
          <w:color w:val="0E7490"/>
          <w:sz w:val="21"/>
        </w:rPr>
        <w:t>E --&gt; F["3. Points to Double the Odds (PDO) Engine&lt;br/&gt;Score = 503.73 + 57.71 * ln(Odds)"]</w:t>
      </w:r>
    </w:p>
    <w:p>
      <w:pPr>
        <w:spacing w:before="60" w:after="80" w:line="276" w:lineRule="auto"/>
      </w:pPr>
      <w:r>
        <w:rPr>
          <w:rFonts w:ascii="Calibri" w:hAnsi="Calibri"/>
          <w:color w:val="334155"/>
          <w:sz w:val="22"/>
        </w:rPr>
        <w:t>F --&gt; G["Composite Credit Score (300 - 900)"]</w:t>
      </w:r>
    </w:p>
    <w:p>
      <w:pPr>
        <w:spacing w:before="60" w:after="80" w:line="276" w:lineRule="auto"/>
      </w:pPr>
      <w:r>
        <w:rPr>
          <w:rFonts w:ascii="Calibri" w:hAnsi="Calibri"/>
          <w:color w:val="334155"/>
          <w:sz w:val="22"/>
        </w:rPr>
        <w:t>G --&gt; H["4. Table 2 Enterprise Decision Matrix&lt;br/&gt;Grade A to G + Underwriting Decision"]</w:t>
      </w:r>
    </w:p>
    <w:p>
      <w:pPr>
        <w:spacing w:before="120" w:after="120"/>
        <w:ind w:left="432"/>
      </w:pPr>
      <w:r>
        <w:rPr>
          <w:rFonts w:ascii="Consolas" w:hAnsi="Consolas"/>
          <w:b/>
          <w:color w:val="0E7490"/>
          <w:sz w:val="21"/>
        </w:rPr>
        <w:t>H --&gt; I["5. 4-Bound Multi-Constraint Limit Engine&lt;br/&gt;Limit = min(Affordability, Risk, Policy, Progression)"]</w:t>
      </w:r>
    </w:p>
    <w:p>
      <w:pPr>
        <w:spacing w:before="60" w:after="80" w:line="276" w:lineRule="auto"/>
      </w:pPr>
      <w:r>
        <w:rPr>
          <w:rFonts w:ascii="Calibri" w:hAnsi="Calibri"/>
          <w:color w:val="334155"/>
          <w:sz w:val="22"/>
        </w:rPr>
        <w:t>H --&gt; J["6. Risk-Based Pricing Engine (APR)&lt;br/&gt;APR = CoF + OpEx + ECL + Margin &lt;= 36% Cap"]</w:t>
      </w:r>
    </w:p>
    <w:p>
      <w:pPr>
        <w:spacing w:before="60" w:after="80" w:line="276" w:lineRule="auto"/>
      </w:pPr>
      <w:r>
        <w:rPr>
          <w:rFonts w:ascii="Calibri" w:hAnsi="Calibri"/>
          <w:color w:val="334155"/>
          <w:sz w:val="22"/>
        </w:rPr>
        <w:t>I &amp; J --&gt; K["7. Downstream Production Actions&lt;br/&gt;• IFRS 9 ECL Provisioning&lt;br/&gt;• TreeSHAP Explainability&lt;br/&gt;• Core Banking Ledger Disbursement&lt;br/&gt;• CAM Credit Memo Generation"]</w:t>
      </w:r>
    </w:p>
    <w:p>
      <w:pPr>
        <w:keepNext/>
        <w:spacing w:before="200" w:after="60"/>
      </w:pPr>
      <w:r>
        <w:rPr>
          <w:rFonts w:ascii="Calibri" w:hAnsi="Calibri"/>
          <w:b/>
          <w:color w:val="0F172A"/>
          <w:sz w:val="24"/>
        </w:rPr>
        <w:t>Step 1: Stage 0 Knockout Gates (Hard Refusal Rules)</w:t>
      </w:r>
    </w:p>
    <w:p>
      <w:pPr>
        <w:spacing w:before="60" w:after="80" w:line="276" w:lineRule="auto"/>
      </w:pPr>
      <w:r>
        <w:rPr>
          <w:rFonts w:ascii="Calibri" w:hAnsi="Calibri"/>
          <w:color w:val="334155"/>
          <w:sz w:val="22"/>
        </w:rPr>
        <w:t>Before running expensive multi-model machine learning, the applicant must pass 4 non-negotiable regulatory safety filters:</w:t>
      </w:r>
    </w:p>
    <w:p>
      <w:pPr>
        <w:keepNext/>
        <w:spacing w:before="320" w:after="80"/>
      </w:pPr>
      <w:r>
        <w:rPr>
          <w:rFonts w:ascii="Calibri" w:hAnsi="Calibri"/>
          <w:b/>
          <w:color w:val="1E3A8A"/>
          <w:sz w:val="30"/>
        </w:rPr>
        <w:t>P12 Compliance Check: Are they flagged on AML, OFAC, or terrorism sanctions lists?</w:t>
      </w:r>
    </w:p>
    <w:p>
      <w:pPr>
        <w:spacing w:before="60" w:after="80" w:line="276" w:lineRule="auto"/>
      </w:pPr>
      <w:r>
        <w:rPr>
          <w:rFonts w:ascii="Calibri" w:hAnsi="Calibri"/>
          <w:color w:val="334155"/>
          <w:sz w:val="22"/>
        </w:rPr>
        <w:t>Fraud Knockout: Was a hardware emulator, device spoofing, or syndicate ring detected?</w:t>
      </w:r>
    </w:p>
    <w:p>
      <w:pPr>
        <w:spacing w:before="60" w:after="80" w:line="276" w:lineRule="auto"/>
      </w:pPr>
      <w:r>
        <w:rPr>
          <w:rFonts w:ascii="Calibri" w:hAnsi="Calibri"/>
          <w:color w:val="334155"/>
          <w:sz w:val="22"/>
        </w:rPr>
        <w:t>Regulatory Debt Ceiling (FOIR): Does existing debt already exceed the central bank's 45% FOIR ceiling?</w:t>
      </w:r>
    </w:p>
    <w:p>
      <w:pPr>
        <w:spacing w:before="60" w:after="80" w:line="276" w:lineRule="auto"/>
      </w:pPr>
      <w:r>
        <w:rPr>
          <w:rFonts w:ascii="Calibri" w:hAnsi="Calibri"/>
          <w:color w:val="334155"/>
          <w:sz w:val="22"/>
        </w:rPr>
        <w:t>Zero-Income Gate: Is P?? ? 0 or monthly income zero?</w:t>
      </w:r>
    </w:p>
    <w:p>
      <w:pPr>
        <w:spacing w:before="120" w:after="120"/>
        <w:ind w:left="432"/>
      </w:pPr>
      <w:r>
        <w:rPr>
          <w:rFonts w:ascii="Consolas" w:hAnsi="Consolas"/>
          <w:b/>
          <w:color w:val="0E7490"/>
          <w:sz w:val="21"/>
        </w:rPr>
        <w:t>Rule: If ANY filter trips, the pipeline halts immediately. The borrower is assigned Score = 300, Grade = G, and Decision = DECLINED with an adverse action reason code.</w:t>
      </w:r>
    </w:p>
    <w:p>
      <w:pPr>
        <w:keepNext/>
        <w:spacing w:before="200" w:after="60"/>
      </w:pPr>
      <w:r>
        <w:rPr>
          <w:rFonts w:ascii="Calibri" w:hAnsi="Calibri"/>
          <w:b/>
          <w:color w:val="0F172A"/>
          <w:sz w:val="24"/>
        </w:rPr>
        <w:t>Step 2: Multi-Model Stacking Ensemble (Predicting Default Probability)</w:t>
      </w:r>
    </w:p>
    <w:p>
      <w:pPr>
        <w:spacing w:before="60" w:after="80" w:line="276" w:lineRule="auto"/>
      </w:pPr>
      <w:r>
        <w:rPr>
          <w:rFonts w:ascii="Calibri" w:hAnsi="Calibri"/>
          <w:color w:val="334155"/>
          <w:sz w:val="22"/>
        </w:rPr>
        <w:t>If all gates pass, the 11 pillar scores are concatenated with key raw financial metrics to form a feature vector z(x): z(x) = big[P_01, P_02, dots, P_11, ; Age, ; Savings Ratio, ; OD Utilization, ; Avg DPD, ; Payment Rate, ; NSF Countbig]</w:t>
      </w:r>
    </w:p>
    <w:p>
      <w:pPr>
        <w:spacing w:before="60" w:after="80" w:line="276" w:lineRule="auto"/>
      </w:pPr>
      <w:r>
        <w:rPr>
          <w:rFonts w:ascii="Calibri" w:hAnsi="Calibri"/>
          <w:color w:val="334155"/>
          <w:sz w:val="22"/>
        </w:rPr>
        <w:t>This vector feeds three diverse base learners simultaneously:</w:t>
      </w:r>
    </w:p>
    <w:p>
      <w:pPr>
        <w:spacing w:before="60" w:after="80" w:line="276" w:lineRule="auto"/>
      </w:pPr>
      <w:r>
        <w:rPr>
          <w:rFonts w:ascii="Calibri" w:hAnsi="Calibri"/>
          <w:color w:val="334155"/>
          <w:sz w:val="22"/>
        </w:rPr>
        <w:t>LightGBM Classifier: Imposes monotonic constraints (PD cannot decrease as DPD rises; PD cannot increase as income rises).</w:t>
      </w:r>
    </w:p>
    <w:p>
      <w:pPr>
        <w:spacing w:before="60" w:after="80" w:line="276" w:lineRule="auto"/>
      </w:pPr>
      <w:r>
        <w:rPr>
          <w:rFonts w:ascii="Calibri" w:hAnsi="Calibri"/>
          <w:color w:val="334155"/>
          <w:sz w:val="22"/>
        </w:rPr>
        <w:t>XGBoost Classifier: Captures complex cross-pillar interactions.</w:t>
      </w:r>
    </w:p>
    <w:p>
      <w:pPr>
        <w:spacing w:before="60" w:after="80" w:line="276" w:lineRule="auto"/>
      </w:pPr>
      <w:r>
        <w:rPr>
          <w:rFonts w:ascii="Calibri" w:hAnsi="Calibri"/>
          <w:color w:val="334155"/>
          <w:sz w:val="22"/>
        </w:rPr>
        <w:t>Logistic Regression Benchmark: Fits L2-regularized WoE features for regulatory auditability.</w:t>
      </w:r>
    </w:p>
    <w:p>
      <w:pPr>
        <w:spacing w:before="60" w:after="80" w:line="276" w:lineRule="auto"/>
      </w:pPr>
      <w:r>
        <w:rPr>
          <w:rFonts w:ascii="Calibri" w:hAnsi="Calibri"/>
          <w:color w:val="334155"/>
          <w:sz w:val="22"/>
        </w:rPr>
        <w:t>Their out-of-fold predictions feed the Stacking Meta-Learner: PD_calibrated = sigmabig(w_lgb cdot PD_lgb + w_xgb cdot PD_xgb + w_lr cdot PD_lr + bbig)</w:t>
      </w:r>
    </w:p>
    <w:p>
      <w:pPr>
        <w:spacing w:before="60" w:after="80" w:line="276" w:lineRule="auto"/>
      </w:pPr>
      <w:r>
        <w:rPr>
          <w:rFonts w:ascii="Calibri" w:hAnsi="Calibri"/>
          <w:color w:val="334155"/>
          <w:sz w:val="22"/>
        </w:rPr>
        <w:t>This outputs the applicant's 12-Month Calibrated Probability of Default (PD) (e.g., 0.24% for our #1 Super-Prime customer).</w:t>
      </w:r>
    </w:p>
    <w:p>
      <w:pPr>
        <w:keepNext/>
        <w:spacing w:before="200" w:after="60"/>
      </w:pPr>
      <w:r>
        <w:rPr>
          <w:rFonts w:ascii="Calibri" w:hAnsi="Calibri"/>
          <w:b/>
          <w:color w:val="0F172A"/>
          <w:sz w:val="24"/>
        </w:rPr>
        <w:t>Step 3: Points to Double the Odds (PDO) Score Formulation</w:t>
      </w:r>
    </w:p>
    <w:p>
      <w:pPr>
        <w:spacing w:before="60" w:after="80" w:line="276" w:lineRule="auto"/>
      </w:pPr>
      <w:r>
        <w:rPr>
          <w:rFonts w:ascii="Calibri" w:hAnsi="Calibri"/>
          <w:color w:val="334155"/>
          <w:sz w:val="22"/>
        </w:rPr>
        <w:t>The calibrated PD is transformed into an intuitive 300 - 900 institutional credit score using the closed-form logarithmic Odds formula specified in the production documentation:</w:t>
      </w:r>
    </w:p>
    <w:p>
      <w:pPr>
        <w:spacing w:before="120" w:after="120"/>
        <w:ind w:left="432"/>
      </w:pPr>
      <w:r>
        <w:rPr>
          <w:rFonts w:ascii="Consolas" w:hAnsi="Consolas"/>
          <w:b/>
          <w:color w:val="0E7490"/>
          <w:sz w:val="21"/>
        </w:rPr>
        <w:t>Odds = frac1 - PD_calibratedPD_calibrated Factor = (40 / ln(2)) = 57.7078, quad Offset = 660 - 57.7078 ? ln(15) = 503.727 Composite Score = clip(503.73 + 57.71 ? ln(Odds), ; 300, ; 900)</w:t>
      </w:r>
    </w:p>
    <w:p>
      <w:pPr>
        <w:spacing w:before="120" w:after="120"/>
        <w:ind w:left="432"/>
      </w:pPr>
      <w:r>
        <w:rPr>
          <w:rFonts w:ascii="Consolas" w:hAnsi="Consolas"/>
          <w:b/>
          <w:color w:val="0E7490"/>
          <w:sz w:val="21"/>
        </w:rPr>
        <w:t>Odds of 15:1 rightarrow Score = 660.</w:t>
      </w:r>
    </w:p>
    <w:p>
      <w:pPr>
        <w:spacing w:before="60" w:after="80" w:line="276" w:lineRule="auto"/>
      </w:pPr>
      <w:r>
        <w:rPr>
          <w:rFonts w:ascii="Calibri" w:hAnsi="Calibri"/>
          <w:color w:val="334155"/>
          <w:sz w:val="22"/>
        </w:rPr>
        <w:t>Every doubling of the odds adds 40 points to the score.</w:t>
      </w:r>
    </w:p>
    <w:p>
      <w:pPr>
        <w:keepNext/>
        <w:spacing w:before="200" w:after="60"/>
      </w:pPr>
      <w:r>
        <w:rPr>
          <w:rFonts w:ascii="Calibri" w:hAnsi="Calibri"/>
          <w:b/>
          <w:color w:val="0F172A"/>
          <w:sz w:val="24"/>
        </w:rPr>
        <w:t>Step 4: Table 2 Enterprise Decision Matrix &amp; Grade Assignment</w:t>
      </w:r>
    </w:p>
    <w:p>
      <w:pPr>
        <w:spacing w:before="60" w:after="80" w:line="276" w:lineRule="auto"/>
      </w:pPr>
      <w:r>
        <w:rPr>
          <w:rFonts w:ascii="Calibri" w:hAnsi="Calibri"/>
          <w:color w:val="334155"/>
          <w:sz w:val="22"/>
        </w:rPr>
        <w:t>The composite score and calibrated PD are matched against the bank's risk bands:</w:t>
      </w:r>
    </w:p>
    <w:p>
      <w:pPr>
        <w:keepNext/>
        <w:spacing w:before="200" w:after="60"/>
      </w:pPr>
      <w:r>
        <w:rPr>
          <w:rFonts w:ascii="Calibri" w:hAnsi="Calibri"/>
          <w:b/>
          <w:color w:val="0F172A"/>
          <w:sz w:val="24"/>
        </w:rPr>
        <w:t>Step 5: 4-Bound Loan Limit Assignment Engine</w:t>
      </w:r>
    </w:p>
    <w:p>
      <w:pPr>
        <w:spacing w:before="60" w:after="80" w:line="276" w:lineRule="auto"/>
      </w:pPr>
      <w:r>
        <w:rPr>
          <w:rFonts w:ascii="Calibri" w:hAnsi="Calibri"/>
          <w:color w:val="334155"/>
          <w:sz w:val="22"/>
        </w:rPr>
        <w:t>Approved applicants don't simply get what they ask for; their maximum loan size is constrained by the lowest of 4 protective mathematical bounds:</w:t>
      </w:r>
    </w:p>
    <w:p>
      <w:pPr>
        <w:spacing w:before="120" w:after="120"/>
        <w:ind w:left="432"/>
      </w:pPr>
      <w:r>
        <w:rPr>
          <w:rFonts w:ascii="Consolas" w:hAnsi="Consolas"/>
          <w:b/>
          <w:color w:val="0E7490"/>
          <w:sz w:val="21"/>
        </w:rPr>
        <w:t>Approved Limit = minbig(Bound 1, ; Bound 2, ; Bound 3, ; Bound 4big)</w:t>
      </w:r>
    </w:p>
    <w:p>
      <w:pPr>
        <w:spacing w:before="120" w:after="120"/>
        <w:ind w:left="432"/>
      </w:pPr>
      <w:r>
        <w:rPr>
          <w:rFonts w:ascii="Consolas" w:hAnsi="Consolas"/>
          <w:b/>
          <w:color w:val="0E7490"/>
          <w:sz w:val="21"/>
        </w:rPr>
        <w:t>Bound 1 (Affordability Cap):</w:t>
        <w:br/>
        <w:t>Max EMI = (P?? ? 0.45) - Existing Debt Service. Ensures new loan won't breach SBP's 45% FOIR limit.</w:t>
      </w:r>
    </w:p>
    <w:p>
      <w:pPr>
        <w:spacing w:before="60" w:after="80" w:line="276" w:lineRule="auto"/>
      </w:pPr>
      <w:r>
        <w:rPr>
          <w:rFonts w:ascii="Calibri" w:hAnsi="Calibri"/>
          <w:color w:val="334155"/>
          <w:sz w:val="22"/>
        </w:rPr>
        <w:t>Bound 2 (Risk-Grade Multiplier):</w:t>
        <w:br/>
        <w:t>k(Grade) ? P?? ? 12 ? 0.50 (where k: Grade A=1.5, B=1.2, C=0.8, D=0.5, E=0.25).</w:t>
      </w:r>
    </w:p>
    <w:p>
      <w:pPr>
        <w:keepNext/>
        <w:spacing w:before="200" w:after="60"/>
      </w:pPr>
      <w:r>
        <w:rPr>
          <w:rFonts w:ascii="Calibri" w:hAnsi="Calibri"/>
          <w:b/>
          <w:color w:val="0F172A"/>
          <w:sz w:val="24"/>
        </w:rPr>
        <w:t>Bound 3 (Policy Cap):</w:t>
        <w:br/>
        <w:t>Absolute portfolio ceiling (PKR 2,000,000).</w:t>
      </w:r>
    </w:p>
    <w:p>
      <w:pPr>
        <w:spacing w:before="60" w:after="80" w:line="276" w:lineRule="auto"/>
      </w:pPr>
      <w:r>
        <w:rPr>
          <w:rFonts w:ascii="Calibri" w:hAnsi="Calibri"/>
          <w:color w:val="334155"/>
          <w:sz w:val="22"/>
        </w:rPr>
        <w:t>Bound 4 (Graduation / Progression Cap):</w:t>
        <w:br/>
        <w:t>BaseFirstLoan (PKR 50k) ? 1.5^min(Clean Repaid Loans, 6).</w:t>
        <w:br/>
        <w:t>Protects the bank from over-exposing capital to a customer who hasn't proven repayment discipline yet.</w:t>
      </w:r>
    </w:p>
    <w:p>
      <w:pPr>
        <w:keepNext/>
        <w:spacing w:before="200" w:after="60"/>
      </w:pPr>
      <w:r>
        <w:rPr>
          <w:rFonts w:ascii="Calibri" w:hAnsi="Calibri"/>
          <w:b/>
          <w:color w:val="0F172A"/>
          <w:sz w:val="24"/>
        </w:rPr>
        <w:t>Step 6: Risk-Based Pricing Engine (APR)</w:t>
      </w:r>
    </w:p>
    <w:p>
      <w:pPr>
        <w:spacing w:before="60" w:after="80" w:line="276" w:lineRule="auto"/>
      </w:pPr>
      <w:r>
        <w:rPr>
          <w:rFonts w:ascii="Calibri" w:hAnsi="Calibri"/>
          <w:color w:val="334155"/>
          <w:sz w:val="22"/>
        </w:rPr>
        <w:t>The engine calculates an actuarially fair, risk-adjusted interest rate:</w:t>
      </w:r>
    </w:p>
    <w:p>
      <w:pPr>
        <w:spacing w:before="60" w:after="80" w:line="276" w:lineRule="auto"/>
      </w:pPr>
      <w:r>
        <w:rPr>
          <w:rFonts w:ascii="Calibri" w:hAnsi="Calibri"/>
          <w:color w:val="334155"/>
          <w:sz w:val="22"/>
        </w:rPr>
        <w:t>APR = Cost of Funds (8%) + OpEx (4%) + (PD ? LGD) + Capital Charge (4%) + Target Margin (6%)</w:t>
      </w:r>
    </w:p>
    <w:p>
      <w:pPr>
        <w:spacing w:before="60" w:after="80" w:line="276" w:lineRule="auto"/>
      </w:pPr>
      <w:r>
        <w:rPr>
          <w:rFonts w:ascii="Calibri" w:hAnsi="Calibri"/>
          <w:color w:val="334155"/>
          <w:sz w:val="22"/>
        </w:rPr>
        <w:t>Grade A (PD 0.24%): Risk premium is tiny (0.17%) rightarrow 22.17% APR.</w:t>
      </w:r>
    </w:p>
    <w:p>
      <w:pPr>
        <w:spacing w:before="60" w:after="80" w:line="276" w:lineRule="auto"/>
      </w:pPr>
      <w:r>
        <w:rPr>
          <w:rFonts w:ascii="Calibri" w:hAnsi="Calibri"/>
          <w:color w:val="334155"/>
          <w:sz w:val="22"/>
        </w:rPr>
        <w:t>Grade D (PD 8.5%): Risk premium is large (5.95%) rightarrow 27.95% APR.</w:t>
      </w:r>
    </w:p>
    <w:p>
      <w:pPr>
        <w:spacing w:before="60" w:after="80" w:line="276" w:lineRule="auto"/>
      </w:pPr>
      <w:r>
        <w:rPr>
          <w:rFonts w:ascii="Calibri" w:hAnsi="Calibri"/>
          <w:color w:val="334155"/>
          <w:sz w:val="22"/>
        </w:rPr>
        <w:t>Regulatory Cap: All rates are strictly capped at the State Bank of Pakistan (SBP) 36.0% usury ceiling.</w:t>
      </w:r>
    </w:p>
    <w:p>
      <w:pPr>
        <w:keepNext/>
        <w:spacing w:before="200" w:after="60"/>
      </w:pPr>
      <w:r>
        <w:rPr>
          <w:rFonts w:ascii="Calibri" w:hAnsi="Calibri"/>
          <w:b/>
          <w:color w:val="0F172A"/>
          <w:sz w:val="24"/>
        </w:rPr>
        <w:t>Step 7: Downstream Execution &amp; Core Banking Integration</w:t>
      </w:r>
    </w:p>
    <w:p>
      <w:pPr>
        <w:spacing w:before="60" w:after="80" w:line="276" w:lineRule="auto"/>
      </w:pPr>
      <w:r>
        <w:rPr>
          <w:rFonts w:ascii="Calibri" w:hAnsi="Calibri"/>
          <w:color w:val="334155"/>
          <w:sz w:val="22"/>
        </w:rPr>
        <w:t>Once limit and pricing are finalized:</w:t>
      </w:r>
    </w:p>
    <w:p>
      <w:pPr>
        <w:spacing w:before="60" w:after="80" w:line="276" w:lineRule="auto"/>
      </w:pPr>
      <w:r>
        <w:rPr>
          <w:rFonts w:ascii="Calibri" w:hAnsi="Calibri"/>
          <w:color w:val="334155"/>
          <w:sz w:val="22"/>
        </w:rPr>
        <w:t>IFRS 9 Expected Credit Loss (ECL): Assigns account to Stage 1, Stage 2 (SICR), or Stage 3, computing required loan-loss reserves under Base (50%), Adverse (30%), and Severe (20%) macroeconomic scenarios.</w:t>
      </w:r>
    </w:p>
    <w:p>
      <w:pPr>
        <w:spacing w:before="60" w:after="80" w:line="276" w:lineRule="auto"/>
      </w:pPr>
      <w:r>
        <w:rPr>
          <w:rFonts w:ascii="Calibri" w:hAnsi="Calibri"/>
          <w:color w:val="334155"/>
          <w:sz w:val="22"/>
        </w:rPr>
        <w:t>TreeSHAP Explainability: Generates a waterfall chart showing the top positive drivers (e.g., low overdraft) and negative risk drivers.</w:t>
      </w:r>
    </w:p>
    <w:p>
      <w:pPr>
        <w:spacing w:before="60" w:after="80" w:line="276" w:lineRule="auto"/>
      </w:pPr>
      <w:r>
        <w:rPr>
          <w:rFonts w:ascii="Calibri" w:hAnsi="Calibri"/>
          <w:color w:val="334155"/>
          <w:sz w:val="22"/>
        </w:rPr>
        <w:t>Disbursement Ledger: When approved, commits an immutable transaction record (PK-DISB-YYYYMMDD-XXXXX) into the core banking Parquet ledger.</w:t>
      </w:r>
    </w:p>
    <w:p>
      <w:pPr>
        <w:spacing w:before="60" w:after="80" w:line="276" w:lineRule="auto"/>
      </w:pPr>
      <w:r>
        <w:rPr>
          <w:rFonts w:ascii="Calibri" w:hAnsi="Calibri"/>
          <w:color w:val="334155"/>
          <w:sz w:val="22"/>
        </w:rPr>
        <w:t>Credit Assessment Memo (CAM): Auto-generates the formal institutional PDF credit memo for credit committee audit.</w:t>
      </w:r>
    </w:p>
    <w:p>
      <w:pPr>
        <w:spacing w:before="60" w:after="80" w:line="276" w:lineRule="auto"/>
      </w:pPr>
      <w:r>
        <w:rPr>
          <w:rFonts w:ascii="Calibri" w:hAnsi="Calibri"/>
          <w:color w:val="334155"/>
          <w:sz w:val="22"/>
        </w:rPr>
        <w:t>LIVE APPLICANT PAYLOAD (e.g., CUST0008856)</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 [0.0 ms] STAGE 0: KNOCKOUT GATES</w:t>
      </w:r>
    </w:p>
    <w:p>
      <w:pPr>
        <w:spacing w:before="60" w:after="80" w:line="276" w:lineRule="auto"/>
      </w:pPr>
      <w:r>
        <w:rPr>
          <w:rFonts w:ascii="Calibri" w:hAnsi="Calibri"/>
          <w:color w:val="334155"/>
          <w:sz w:val="22"/>
        </w:rPr>
        <w:t>│ • AML Sanctions List? ──► PASS</w:t>
      </w:r>
    </w:p>
    <w:p>
      <w:pPr>
        <w:spacing w:before="60" w:after="80" w:line="276" w:lineRule="auto"/>
      </w:pPr>
      <w:r>
        <w:rPr>
          <w:rFonts w:ascii="Calibri" w:hAnsi="Calibri"/>
          <w:color w:val="334155"/>
          <w:sz w:val="22"/>
        </w:rPr>
        <w:t>│ • Android Emulator? ──► PASS</w:t>
      </w:r>
    </w:p>
    <w:p>
      <w:pPr>
        <w:spacing w:before="60" w:after="80" w:line="276" w:lineRule="auto"/>
      </w:pPr>
      <w:r>
        <w:rPr>
          <w:rFonts w:ascii="Calibri" w:hAnsi="Calibri"/>
          <w:color w:val="334155"/>
          <w:sz w:val="22"/>
        </w:rPr>
        <w:t>│ • Existing FOIR &gt; 45%? ──► PASS (25.1% &lt;= 45%)</w:t>
      </w:r>
    </w:p>
    <w:p>
      <w:pPr>
        <w:spacing w:before="60" w:after="80" w:line="276" w:lineRule="auto"/>
      </w:pPr>
      <w:r>
        <w:rPr>
          <w:rFonts w:ascii="Calibri" w:hAnsi="Calibri"/>
          <w:color w:val="334155"/>
          <w:sz w:val="22"/>
        </w:rPr>
        <w:t>│ • Zero Monthly Income? ──► PASS (PKR 199,826 &gt; 0)</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 [2.5 ms] STAGE 1: 12-PILLAR SUB-SCORE ENGINES</w:t>
      </w:r>
    </w:p>
    <w:p>
      <w:pPr>
        <w:spacing w:before="60" w:after="80" w:line="276" w:lineRule="auto"/>
      </w:pPr>
      <w:r>
        <w:rPr>
          <w:rFonts w:ascii="Calibri" w:hAnsi="Calibri"/>
          <w:color w:val="334155"/>
          <w:sz w:val="22"/>
        </w:rPr>
        <w:t>│ • P01 (Identity Trust): 99.5 / 100</w:t>
      </w:r>
    </w:p>
    <w:p>
      <w:pPr>
        <w:spacing w:before="60" w:after="80" w:line="276" w:lineRule="auto"/>
      </w:pPr>
      <w:r>
        <w:rPr>
          <w:rFonts w:ascii="Calibri" w:hAnsi="Calibri"/>
          <w:color w:val="334155"/>
          <w:sz w:val="22"/>
        </w:rPr>
        <w:t>│ • P02 (Fraud Risk): 83.9 / 100</w:t>
      </w:r>
    </w:p>
    <w:p>
      <w:pPr>
        <w:spacing w:before="60" w:after="80" w:line="276" w:lineRule="auto"/>
      </w:pPr>
      <w:r>
        <w:rPr>
          <w:rFonts w:ascii="Calibri" w:hAnsi="Calibri"/>
          <w:color w:val="334155"/>
          <w:sz w:val="22"/>
        </w:rPr>
        <w:t>│ • P03 (Quantile Income): 86.3 / 100 (P10: 171k | P50: 199k | P90: 241k)</w:t>
      </w:r>
    </w:p>
    <w:p>
      <w:pPr>
        <w:spacing w:before="60" w:after="80" w:line="276" w:lineRule="auto"/>
      </w:pPr>
      <w:r>
        <w:rPr>
          <w:rFonts w:ascii="Calibri" w:hAnsi="Calibri"/>
          <w:color w:val="334155"/>
          <w:sz w:val="22"/>
        </w:rPr>
        <w:t>│ • P04 (Cash Flow): 60.9 / 100</w:t>
      </w:r>
    </w:p>
    <w:p>
      <w:pPr>
        <w:spacing w:before="60" w:after="80" w:line="276" w:lineRule="auto"/>
      </w:pPr>
      <w:r>
        <w:rPr>
          <w:rFonts w:ascii="Calibri" w:hAnsi="Calibri"/>
          <w:color w:val="334155"/>
          <w:sz w:val="22"/>
        </w:rPr>
        <w:t>│ • P05 (Affordability): 38.2 / 100</w:t>
      </w:r>
    </w:p>
    <w:p>
      <w:pPr>
        <w:spacing w:before="60" w:after="80" w:line="276" w:lineRule="auto"/>
      </w:pPr>
      <w:r>
        <w:rPr>
          <w:rFonts w:ascii="Calibri" w:hAnsi="Calibri"/>
          <w:color w:val="334155"/>
          <w:sz w:val="22"/>
        </w:rPr>
        <w:t>│ • P06 (Stability): 100.0 / 100 (15 yrs address tenure)</w:t>
      </w:r>
    </w:p>
    <w:p>
      <w:pPr>
        <w:spacing w:before="60" w:after="80" w:line="276" w:lineRule="auto"/>
      </w:pPr>
      <w:r>
        <w:rPr>
          <w:rFonts w:ascii="Calibri" w:hAnsi="Calibri"/>
          <w:color w:val="334155"/>
          <w:sz w:val="22"/>
        </w:rPr>
        <w:t>│ • P07 (Behavioral): 67.2 / 100</w:t>
      </w:r>
    </w:p>
    <w:p>
      <w:pPr>
        <w:spacing w:before="60" w:after="80" w:line="276" w:lineRule="auto"/>
      </w:pPr>
      <w:r>
        <w:rPr>
          <w:rFonts w:ascii="Calibri" w:hAnsi="Calibri"/>
          <w:color w:val="334155"/>
          <w:sz w:val="22"/>
        </w:rPr>
        <w:t>│ • P08 (Footprint): 70.3 / 100</w:t>
      </w:r>
    </w:p>
    <w:p>
      <w:pPr>
        <w:spacing w:before="60" w:after="80" w:line="276" w:lineRule="auto"/>
      </w:pPr>
      <w:r>
        <w:rPr>
          <w:rFonts w:ascii="Calibri" w:hAnsi="Calibri"/>
          <w:color w:val="334155"/>
          <w:sz w:val="22"/>
        </w:rPr>
        <w:t>│ • P09 (Bureau Proxy): 97.9 / 100 (0 DPD, low OD usage)</w:t>
      </w:r>
    </w:p>
    <w:p>
      <w:pPr>
        <w:spacing w:before="60" w:after="80" w:line="276" w:lineRule="auto"/>
      </w:pPr>
      <w:r>
        <w:rPr>
          <w:rFonts w:ascii="Calibri" w:hAnsi="Calibri"/>
          <w:color w:val="334155"/>
          <w:sz w:val="22"/>
        </w:rPr>
        <w:t>│ • P10 (Relationship): 25.3 / 100</w:t>
      </w:r>
    </w:p>
    <w:p>
      <w:pPr>
        <w:spacing w:before="60" w:after="80" w:line="276" w:lineRule="auto"/>
      </w:pPr>
      <w:r>
        <w:rPr>
          <w:rFonts w:ascii="Calibri" w:hAnsi="Calibri"/>
          <w:color w:val="334155"/>
          <w:sz w:val="22"/>
        </w:rPr>
        <w:t>│ • P11 (Collection Risk): 79.8 / 100</w:t>
      </w:r>
    </w:p>
    <w:p>
      <w:pPr>
        <w:spacing w:before="60" w:after="80" w:line="276" w:lineRule="auto"/>
      </w:pPr>
      <w:r>
        <w:rPr>
          <w:rFonts w:ascii="Calibri" w:hAnsi="Calibri"/>
          <w:color w:val="334155"/>
          <w:sz w:val="22"/>
        </w:rPr>
        <w:t>│ • P12 (Compliance): PASS</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 [5.0 ms] STAGE 2: MULTI-MODEL ENSEMBLE &amp; CALIBRATION</w:t>
      </w:r>
    </w:p>
    <w:p>
      <w:pPr>
        <w:spacing w:before="60" w:after="80" w:line="276" w:lineRule="auto"/>
      </w:pPr>
      <w:r>
        <w:rPr>
          <w:rFonts w:ascii="Calibri" w:hAnsi="Calibri"/>
          <w:color w:val="334155"/>
          <w:sz w:val="22"/>
        </w:rPr>
        <w:t>│ • Construct Input Vector: X ∈ ℝ¹⁷</w:t>
      </w:r>
    </w:p>
    <w:p>
      <w:pPr>
        <w:spacing w:before="60" w:after="80" w:line="276" w:lineRule="auto"/>
      </w:pPr>
      <w:r>
        <w:rPr>
          <w:rFonts w:ascii="Calibri" w:hAnsi="Calibri"/>
          <w:color w:val="334155"/>
          <w:sz w:val="22"/>
        </w:rPr>
        <w:t>│ • Model 1 (LightGBM): p̂_lgb = 0.0028</w:t>
      </w:r>
    </w:p>
    <w:p>
      <w:pPr>
        <w:spacing w:before="60" w:after="80" w:line="276" w:lineRule="auto"/>
      </w:pPr>
      <w:r>
        <w:rPr>
          <w:rFonts w:ascii="Calibri" w:hAnsi="Calibri"/>
          <w:color w:val="334155"/>
          <w:sz w:val="22"/>
        </w:rPr>
        <w:t>│ • Model 2 (XGBoost): p̂_xgb = 0.0025</w:t>
      </w:r>
    </w:p>
    <w:p>
      <w:pPr>
        <w:spacing w:before="60" w:after="80" w:line="276" w:lineRule="auto"/>
      </w:pPr>
      <w:r>
        <w:rPr>
          <w:rFonts w:ascii="Calibri" w:hAnsi="Calibri"/>
          <w:color w:val="334155"/>
          <w:sz w:val="22"/>
        </w:rPr>
        <w:t>│ • Model 3 (Logistic): p̂_lr = 0.0019</w:t>
      </w:r>
    </w:p>
    <w:p>
      <w:pPr>
        <w:spacing w:before="60" w:after="80" w:line="276" w:lineRule="auto"/>
      </w:pPr>
      <w:r>
        <w:rPr>
          <w:rFonts w:ascii="Calibri" w:hAnsi="Calibri"/>
          <w:color w:val="334155"/>
          <w:sz w:val="22"/>
        </w:rPr>
        <w:t>│ • Meta-Learner Stacking:</w:t>
      </w:r>
    </w:p>
    <w:p>
      <w:pPr>
        <w:spacing w:before="60" w:after="80" w:line="276" w:lineRule="auto"/>
      </w:pPr>
      <w:r>
        <w:rPr>
          <w:rFonts w:ascii="Calibri" w:hAnsi="Calibri"/>
          <w:color w:val="334155"/>
          <w:sz w:val="22"/>
        </w:rPr>
        <w:t>│ PD_cal = σ( w_1·p̂_lgb + w_2·p̂_xgb + w_3·p̂_lr + b )</w:t>
      </w:r>
    </w:p>
    <w:p>
      <w:pPr>
        <w:spacing w:before="120" w:after="120"/>
        <w:ind w:left="432"/>
      </w:pPr>
      <w:r>
        <w:rPr>
          <w:rFonts w:ascii="Consolas" w:hAnsi="Consolas"/>
          <w:b/>
          <w:color w:val="0E7490"/>
          <w:sz w:val="21"/>
        </w:rPr>
        <w:t>│ ──► Calibrated 12M PD = 0.0024 (0.24%)</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 [7.5 ms] STAGE 3: POINTS TO DOUBLE THE ODDS (PDO) SCORING</w:t>
      </w:r>
    </w:p>
    <w:p>
      <w:pPr>
        <w:spacing w:before="60" w:after="80" w:line="276" w:lineRule="auto"/>
      </w:pPr>
      <w:r>
        <w:rPr>
          <w:rFonts w:ascii="Calibri" w:hAnsi="Calibri"/>
          <w:color w:val="334155"/>
          <w:sz w:val="22"/>
        </w:rPr>
        <w:t>│ • Odds = (1 - 0.0024) / 0.0024 = 415.67 : 1</w:t>
      </w:r>
    </w:p>
    <w:p>
      <w:pPr>
        <w:spacing w:before="60" w:after="80" w:line="276" w:lineRule="auto"/>
      </w:pPr>
      <w:r>
        <w:rPr>
          <w:rFonts w:ascii="Calibri" w:hAnsi="Calibri"/>
          <w:color w:val="334155"/>
          <w:sz w:val="22"/>
        </w:rPr>
        <w:t>│ • Factor = 40 / ln(2) = 57.7078</w:t>
      </w:r>
    </w:p>
    <w:p>
      <w:pPr>
        <w:spacing w:before="60" w:after="80" w:line="276" w:lineRule="auto"/>
      </w:pPr>
      <w:r>
        <w:rPr>
          <w:rFonts w:ascii="Calibri" w:hAnsi="Calibri"/>
          <w:color w:val="334155"/>
          <w:sz w:val="22"/>
        </w:rPr>
        <w:t>│ • Offset = 660 - 57.7078 * ln(15) = 503.727</w:t>
      </w:r>
    </w:p>
    <w:p>
      <w:pPr>
        <w:spacing w:before="120" w:after="120"/>
        <w:ind w:left="432"/>
      </w:pPr>
      <w:r>
        <w:rPr>
          <w:rFonts w:ascii="Consolas" w:hAnsi="Consolas"/>
          <w:b/>
          <w:color w:val="0E7490"/>
          <w:sz w:val="21"/>
        </w:rPr>
        <w:t>│ • Raw Score = 503.727 + 57.7078 * ln(415.67) = 851.68</w:t>
      </w:r>
    </w:p>
    <w:p>
      <w:pPr>
        <w:spacing w:before="120" w:after="120"/>
        <w:ind w:left="432"/>
      </w:pPr>
      <w:r>
        <w:rPr>
          <w:rFonts w:ascii="Consolas" w:hAnsi="Consolas"/>
          <w:b/>
          <w:color w:val="0E7490"/>
          <w:sz w:val="21"/>
        </w:rPr>
        <w:t>│ ──► Composite Credit Score = 851 / 900</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 [9.0 ms] STAGE 4: TABLE 2 DECISION MATRIX &amp; RISK GRADING</w:t>
      </w:r>
    </w:p>
    <w:p>
      <w:pPr>
        <w:spacing w:before="60" w:after="80" w:line="276" w:lineRule="auto"/>
      </w:pPr>
      <w:r>
        <w:rPr>
          <w:rFonts w:ascii="Calibri" w:hAnsi="Calibri"/>
          <w:color w:val="334155"/>
          <w:sz w:val="22"/>
        </w:rPr>
        <w:t>│ • Score: 851 (&gt;= 780) &amp; PD: 0.24% (&lt; 1.5%)</w:t>
      </w:r>
    </w:p>
    <w:p>
      <w:pPr>
        <w:spacing w:before="60" w:after="80" w:line="276" w:lineRule="auto"/>
      </w:pPr>
      <w:r>
        <w:rPr>
          <w:rFonts w:ascii="Calibri" w:hAnsi="Calibri"/>
          <w:color w:val="334155"/>
          <w:sz w:val="22"/>
        </w:rPr>
        <w:t>│ ──► Credit Grade: GRADE A (Super Prime)</w:t>
      </w:r>
    </w:p>
    <w:p>
      <w:pPr>
        <w:spacing w:before="60" w:after="80" w:line="276" w:lineRule="auto"/>
      </w:pPr>
      <w:r>
        <w:rPr>
          <w:rFonts w:ascii="Calibri" w:hAnsi="Calibri"/>
          <w:color w:val="334155"/>
          <w:sz w:val="22"/>
        </w:rPr>
        <w:t>│ ──► Underwriting Decision: APPROVED ✅</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 [11.0 ms] STAGE 5: 4-BOUND MULTI-CONSTRAINT LIMIT ENGINE</w:t>
      </w:r>
    </w:p>
    <w:p>
      <w:pPr>
        <w:spacing w:before="120" w:after="120"/>
        <w:ind w:left="432"/>
      </w:pPr>
      <w:r>
        <w:rPr>
          <w:rFonts w:ascii="Consolas" w:hAnsi="Consolas"/>
          <w:b/>
          <w:color w:val="0E7490"/>
          <w:sz w:val="21"/>
        </w:rPr>
        <w:t>│ • Bound 1 (Affordability): Max EMI = (199k * 0.45) - 50k = 39.9k ──► Limit: PKR 666,000</w:t>
      </w:r>
    </w:p>
    <w:p>
      <w:pPr>
        <w:spacing w:before="60" w:after="80" w:line="276" w:lineRule="auto"/>
      </w:pPr>
      <w:r>
        <w:rPr>
          <w:rFonts w:ascii="Calibri" w:hAnsi="Calibri"/>
          <w:color w:val="334155"/>
          <w:sz w:val="22"/>
        </w:rPr>
        <w:t>│ • Bound 2 (Risk Cap): 1.5 * 199k * 12 * 0.50 ──► Limit: PKR 1,791,000</w:t>
      </w:r>
    </w:p>
    <w:p>
      <w:pPr>
        <w:spacing w:before="60" w:after="80" w:line="276" w:lineRule="auto"/>
      </w:pPr>
      <w:r>
        <w:rPr>
          <w:rFonts w:ascii="Calibri" w:hAnsi="Calibri"/>
          <w:color w:val="334155"/>
          <w:sz w:val="22"/>
        </w:rPr>
        <w:t>│ • Bound 3 (Policy Cap): Institutional Ceiling ──► Limit: PKR 2,000,000</w:t>
      </w:r>
    </w:p>
    <w:p>
      <w:pPr>
        <w:spacing w:before="60" w:after="80" w:line="276" w:lineRule="auto"/>
      </w:pPr>
      <w:r>
        <w:rPr>
          <w:rFonts w:ascii="Calibri" w:hAnsi="Calibri"/>
          <w:color w:val="334155"/>
          <w:sz w:val="22"/>
        </w:rPr>
        <w:t>│ • Bound 4 (Progression): Base (PKR 50k) * 1.5^(Cycle 1) ──► Limit: PKR 75,000</w:t>
      </w:r>
    </w:p>
    <w:p>
      <w:pPr>
        <w:spacing w:before="120" w:after="120"/>
        <w:ind w:left="432"/>
      </w:pPr>
      <w:r>
        <w:rPr>
          <w:rFonts w:ascii="Consolas" w:hAnsi="Consolas"/>
          <w:b/>
          <w:color w:val="0E7490"/>
          <w:sz w:val="21"/>
        </w:rPr>
        <w:t>│ ──► Approved Final Limit = min(666k, 1.79M, 2.0M, 75k) = PKR 75,000</w:t>
      </w:r>
    </w:p>
    <w:p>
      <w:pPr>
        <w:spacing w:before="120" w:after="120"/>
        <w:ind w:left="432"/>
      </w:pPr>
      <w:r>
        <w:rPr>
          <w:rFonts w:ascii="Consolas" w:hAnsi="Consolas"/>
          <w:b/>
          <w:color w:val="0E7490"/>
          <w:sz w:val="21"/>
        </w:rPr>
        <w:t>│ ──► Revolving Card Limit = PKR 38,000 (50% of loan limit)</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 [12.5 ms] STAGE 6: ACTUARIAL RISK-BASED PRICING ENGINE (APR)</w:t>
      </w:r>
    </w:p>
    <w:p>
      <w:pPr>
        <w:spacing w:before="60" w:after="80" w:line="276" w:lineRule="auto"/>
      </w:pPr>
      <w:r>
        <w:rPr>
          <w:rFonts w:ascii="Calibri" w:hAnsi="Calibri"/>
          <w:color w:val="334155"/>
          <w:sz w:val="22"/>
        </w:rPr>
        <w:t>│ • Cost of Funds (CoF): 8.00%</w:t>
      </w:r>
    </w:p>
    <w:p>
      <w:pPr>
        <w:spacing w:before="60" w:after="80" w:line="276" w:lineRule="auto"/>
      </w:pPr>
      <w:r>
        <w:rPr>
          <w:rFonts w:ascii="Calibri" w:hAnsi="Calibri"/>
          <w:color w:val="334155"/>
          <w:sz w:val="22"/>
        </w:rPr>
        <w:t>│ • OpEx: 4.00%</w:t>
      </w:r>
    </w:p>
    <w:p>
      <w:pPr>
        <w:spacing w:before="60" w:after="80" w:line="276" w:lineRule="auto"/>
      </w:pPr>
      <w:r>
        <w:rPr>
          <w:rFonts w:ascii="Calibri" w:hAnsi="Calibri"/>
          <w:color w:val="334155"/>
          <w:sz w:val="22"/>
        </w:rPr>
        <w:t>│ • Credit Loss Risk (ECL): 0.24% * 70% LGD = 0.17%</w:t>
      </w:r>
    </w:p>
    <w:p>
      <w:pPr>
        <w:spacing w:before="60" w:after="80" w:line="276" w:lineRule="auto"/>
      </w:pPr>
      <w:r>
        <w:rPr>
          <w:rFonts w:ascii="Calibri" w:hAnsi="Calibri"/>
          <w:color w:val="334155"/>
          <w:sz w:val="22"/>
        </w:rPr>
        <w:t>│ • Capital Charge: 4.00%</w:t>
      </w:r>
    </w:p>
    <w:p>
      <w:pPr>
        <w:spacing w:before="60" w:after="80" w:line="276" w:lineRule="auto"/>
      </w:pPr>
      <w:r>
        <w:rPr>
          <w:rFonts w:ascii="Calibri" w:hAnsi="Calibri"/>
          <w:color w:val="334155"/>
          <w:sz w:val="22"/>
        </w:rPr>
        <w:t>│ • Target Margin: 6.00%</w:t>
      </w:r>
    </w:p>
    <w:p>
      <w:pPr>
        <w:spacing w:before="60" w:after="80" w:line="276" w:lineRule="auto"/>
      </w:pPr>
      <w:r>
        <w:rPr>
          <w:rFonts w:ascii="Calibri" w:hAnsi="Calibri"/>
          <w:color w:val="334155"/>
          <w:sz w:val="22"/>
        </w:rPr>
        <w:t>│ • Sum = 22.17% &lt;= 36.0% (State Bank Usury Cap)</w:t>
      </w:r>
    </w:p>
    <w:p>
      <w:pPr>
        <w:spacing w:before="60" w:after="80" w:line="276" w:lineRule="auto"/>
      </w:pPr>
      <w:r>
        <w:rPr>
          <w:rFonts w:ascii="Calibri" w:hAnsi="Calibri"/>
          <w:color w:val="334155"/>
          <w:sz w:val="22"/>
        </w:rPr>
        <w:t>│ ──► Risk-Adjusted APR = 22.17% (Prime Tier)</w:t>
      </w:r>
    </w:p>
    <w:p>
      <w:pPr>
        <w:spacing w:before="60" w:after="80" w:line="276" w:lineRule="auto"/>
      </w:pPr>
      <w:r>
        <w:rPr>
          <w:rFonts w:ascii="Calibri" w:hAnsi="Calibri"/>
          <w:color w:val="334155"/>
          <w:sz w:val="22"/>
        </w:rPr>
        <w:t>│</w:t>
      </w:r>
    </w:p>
    <w:p>
      <w:pPr>
        <w:spacing w:before="60" w:after="80" w:line="276" w:lineRule="auto"/>
      </w:pPr>
      <w:r>
        <w:rPr>
          <w:rFonts w:ascii="Calibri" w:hAnsi="Calibri"/>
          <w:color w:val="334155"/>
          <w:sz w:val="22"/>
        </w:rPr>
        <w:t>└─► [14.7 ms] STAGE 7: PRODUCTION DISPATCH &amp; CORE LEDGER</w:t>
      </w:r>
    </w:p>
    <w:p>
      <w:pPr>
        <w:spacing w:before="60" w:after="80" w:line="276" w:lineRule="auto"/>
      </w:pPr>
      <w:r>
        <w:rPr>
          <w:rFonts w:ascii="Calibri" w:hAnsi="Calibri"/>
          <w:color w:val="334155"/>
          <w:sz w:val="22"/>
        </w:rPr>
        <w:t>• IFRS 9 Staging: Stage 1 (12M ECL provision = PKR 126.00)</w:t>
      </w:r>
    </w:p>
    <w:p>
      <w:pPr>
        <w:spacing w:before="60" w:after="80" w:line="276" w:lineRule="auto"/>
      </w:pPr>
      <w:r>
        <w:rPr>
          <w:rFonts w:ascii="Calibri" w:hAnsi="Calibri"/>
          <w:color w:val="334155"/>
          <w:sz w:val="22"/>
        </w:rPr>
        <w:t>• TreeSHAP Explainability: Top driver = High stability (-2.1% risk)</w:t>
      </w:r>
    </w:p>
    <w:p>
      <w:pPr>
        <w:spacing w:before="60" w:after="80" w:line="276" w:lineRule="auto"/>
      </w:pPr>
      <w:r>
        <w:rPr>
          <w:rFonts w:ascii="Calibri" w:hAnsi="Calibri"/>
          <w:color w:val="334155"/>
          <w:sz w:val="22"/>
        </w:rPr>
        <w:t>• Commit to Core Ledger: PK-DISB-20260914-XXXXX (Parquet)</w:t>
      </w:r>
    </w:p>
    <w:p>
      <w:pPr>
        <w:spacing w:before="60" w:after="80" w:line="276" w:lineRule="auto"/>
      </w:pPr>
      <w:r>
        <w:rPr>
          <w:rFonts w:ascii="Calibri" w:hAnsi="Calibri"/>
          <w:color w:val="334155"/>
          <w:sz w:val="22"/>
        </w:rPr>
        <w:t>• Response returned to API caller in 14.7 milliseconds!</w:t>
      </w:r>
    </w:p>
    <w:p>
      <w:pPr>
        <w:keepNext/>
        <w:spacing w:before="320" w:after="80"/>
      </w:pPr>
      <w:r>
        <w:rPr>
          <w:rFonts w:ascii="Calibri" w:hAnsi="Calibri"/>
          <w:b/>
          <w:color w:val="1E3A8A"/>
          <w:sz w:val="30"/>
        </w:rPr>
        <w:t>1. P01: Identity Trust (Rules + Gradient Boosting)</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Rules: Deterministic boolean checks (e.g., Is applicant age ? 18 and ? 75? Does the CNIC pass the Luhn-style checksum? Is the phone number registered to this CNIC?).</w:t>
      </w:r>
    </w:p>
    <w:p>
      <w:pPr>
        <w:spacing w:before="60" w:after="80" w:line="276" w:lineRule="auto"/>
      </w:pPr>
      <w:r>
        <w:rPr>
          <w:rFonts w:ascii="Calibri" w:hAnsi="Calibri"/>
          <w:color w:val="334155"/>
          <w:sz w:val="22"/>
        </w:rPr>
        <w:t>Gradient Boosting (LightGBM): Evaluates non-linear cross-correlations among identity variables (e.g., ratio of email age to applicant age, discrepancy between graduation year and current employment start date).</w:t>
      </w:r>
    </w:p>
    <w:p>
      <w:pPr>
        <w:spacing w:before="60" w:after="80" w:line="276" w:lineRule="auto"/>
      </w:pPr>
      <w:r>
        <w:rPr>
          <w:rFonts w:ascii="Calibri" w:hAnsi="Calibri"/>
          <w:color w:val="334155"/>
          <w:sz w:val="22"/>
        </w:rPr>
        <w:t>Purpose in our project: Detects synthetic identity fraud (fake people created from stolen real credentials) before evaluating any credit risk.</w:t>
      </w:r>
    </w:p>
    <w:p>
      <w:pPr>
        <w:spacing w:before="60" w:after="80" w:line="276" w:lineRule="auto"/>
      </w:pPr>
      <w:r>
        <w:rPr>
          <w:rFonts w:ascii="Calibri" w:hAnsi="Calibri"/>
          <w:color w:val="334155"/>
          <w:sz w:val="22"/>
        </w:rPr>
        <w:t>Where &amp; How it's used: In</w:t>
      </w:r>
    </w:p>
    <w:p>
      <w:pPr>
        <w:spacing w:before="60" w:after="80" w:line="276" w:lineRule="auto"/>
      </w:pPr>
      <w:r>
        <w:rPr>
          <w:rFonts w:ascii="Calibri" w:hAnsi="Calibri"/>
          <w:color w:val="334155"/>
          <w:sz w:val="22"/>
        </w:rPr>
        <w:t>scoring/pillars/p01_identity_trust.py, if rule checks fail, it sets an immediate trust penalty; otherwise, LightGBM predicts a continuous score from 0 (fake identity) to 100 (government-verified, long-tenured identity).</w:t>
      </w:r>
    </w:p>
    <w:p>
      <w:pPr>
        <w:keepNext/>
        <w:spacing w:before="320" w:after="80"/>
      </w:pPr>
      <w:r>
        <w:rPr>
          <w:rFonts w:ascii="Calibri" w:hAnsi="Calibri"/>
          <w:b/>
          <w:color w:val="1E3A8A"/>
          <w:sz w:val="30"/>
        </w:rPr>
        <w:t>2. P02: Fraud Risk (GBM + Isolation Forest + GNN)</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Isolation Forest: An unsupervised anomaly detection algorithm that isolates outliers by randomly partitioning feature space. An applicant with unusual device telemetry requires very few tree splits to be isolated.</w:t>
      </w:r>
    </w:p>
    <w:p>
      <w:pPr>
        <w:spacing w:before="60" w:after="80" w:line="276" w:lineRule="auto"/>
      </w:pPr>
      <w:r>
        <w:rPr>
          <w:rFonts w:ascii="Calibri" w:hAnsi="Calibri"/>
          <w:color w:val="334155"/>
          <w:sz w:val="22"/>
        </w:rPr>
        <w:t>Graph Neural Network (GNN) / Entity Graph: Connects applicants by shared edges (same Wi-Fi BSSID, same IMEI, same bank account, or same phone number). Detects organized syndicates ("fraud rings") attempting multiple loans simultaneously.</w:t>
      </w:r>
    </w:p>
    <w:p>
      <w:pPr>
        <w:spacing w:before="60" w:after="80" w:line="276" w:lineRule="auto"/>
      </w:pPr>
      <w:r>
        <w:rPr>
          <w:rFonts w:ascii="Calibri" w:hAnsi="Calibri"/>
          <w:color w:val="334155"/>
          <w:sz w:val="22"/>
        </w:rPr>
        <w:t>GBM (Gradient Boosting): Combines the graph community score, anomaly score, and device flags (dev_is_rooted, dev_emulator_detected, app_cross_lender_velocity_30d) into a calibrated fraud probability.</w:t>
      </w:r>
    </w:p>
    <w:p>
      <w:pPr>
        <w:spacing w:before="60" w:after="80" w:line="276" w:lineRule="auto"/>
      </w:pPr>
      <w:r>
        <w:rPr>
          <w:rFonts w:ascii="Calibri" w:hAnsi="Calibri"/>
          <w:color w:val="334155"/>
          <w:sz w:val="22"/>
        </w:rPr>
        <w:t>Purpose in our project: Prevents coordinated bot attacks, GPS spoofing, and professional bust-out fraud.</w:t>
      </w:r>
    </w:p>
    <w:p>
      <w:pPr>
        <w:spacing w:before="60" w:after="80" w:line="276" w:lineRule="auto"/>
      </w:pPr>
      <w:r>
        <w:rPr>
          <w:rFonts w:ascii="Calibri" w:hAnsi="Calibri"/>
          <w:color w:val="334155"/>
          <w:sz w:val="22"/>
        </w:rPr>
        <w:t>Where &amp; How it's used: In</w:t>
      </w:r>
    </w:p>
    <w:p>
      <w:pPr>
        <w:spacing w:before="60" w:after="80" w:line="276" w:lineRule="auto"/>
      </w:pPr>
      <w:r>
        <w:rPr>
          <w:rFonts w:ascii="Calibri" w:hAnsi="Calibri"/>
          <w:color w:val="334155"/>
          <w:sz w:val="22"/>
        </w:rPr>
        <w:t>scoring/pillars/p02_fraud_risk.py. If dev_is_rooted=True or dev_emulator_detected=True, it triggers a Hard Knockout (Score rightarrow 0, instant decline).</w:t>
      </w:r>
    </w:p>
    <w:p>
      <w:pPr>
        <w:keepNext/>
        <w:spacing w:before="320" w:after="80"/>
      </w:pPr>
      <w:r>
        <w:rPr>
          <w:rFonts w:ascii="Calibri" w:hAnsi="Calibri"/>
          <w:b/>
          <w:color w:val="1E3A8A"/>
          <w:sz w:val="30"/>
        </w:rPr>
        <w:t>3. P03: Income Estimation (LightGBM Regressor (Quantile))</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Standard regression models predict the mean (mathbbE[Y|X]), which is distorted by self-reported salary exaggeration.</w:t>
      </w:r>
    </w:p>
    <w:p>
      <w:pPr>
        <w:spacing w:before="60" w:after="80" w:line="276" w:lineRule="auto"/>
      </w:pPr>
      <w:r>
        <w:rPr>
          <w:rFonts w:ascii="Calibri" w:hAnsi="Calibri"/>
          <w:color w:val="334155"/>
          <w:sz w:val="22"/>
        </w:rPr>
        <w:t>Quantile Regression with Pinball Loss: Trains three separate LightGBM regressors at distinct percentiles:</w:t>
      </w:r>
    </w:p>
    <w:p>
      <w:pPr>
        <w:spacing w:before="60" w:after="80" w:line="276" w:lineRule="auto"/>
      </w:pPr>
      <w:r>
        <w:rPr>
          <w:rFonts w:ascii="Calibri" w:hAnsi="Calibri"/>
          <w:color w:val="334155"/>
          <w:sz w:val="22"/>
        </w:rPr>
        <w:t>alpha = 0.10 (P?? Income): Conservative "worst-case" floor income.</w:t>
      </w:r>
    </w:p>
    <w:p>
      <w:pPr>
        <w:spacing w:before="60" w:after="80" w:line="276" w:lineRule="auto"/>
      </w:pPr>
      <w:r>
        <w:rPr>
          <w:rFonts w:ascii="Calibri" w:hAnsi="Calibri"/>
          <w:color w:val="334155"/>
          <w:sz w:val="22"/>
        </w:rPr>
        <w:t>alpha = 0.50 (P?? Income): Median expected income.</w:t>
      </w:r>
    </w:p>
    <w:p>
      <w:pPr>
        <w:spacing w:before="60" w:after="80" w:line="276" w:lineRule="auto"/>
      </w:pPr>
      <w:r>
        <w:rPr>
          <w:rFonts w:ascii="Calibri" w:hAnsi="Calibri"/>
          <w:color w:val="334155"/>
          <w:sz w:val="22"/>
        </w:rPr>
        <w:t>alpha = 0.90 (P?? Income): Upper-bound ceiling income.</w:t>
      </w:r>
    </w:p>
    <w:p>
      <w:pPr>
        <w:spacing w:before="60" w:after="80" w:line="276" w:lineRule="auto"/>
      </w:pPr>
      <w:r>
        <w:rPr>
          <w:rFonts w:ascii="Calibri" w:hAnsi="Calibri"/>
          <w:color w:val="334155"/>
          <w:sz w:val="22"/>
        </w:rPr>
        <w:t>Purpose in our project: Ensures the bank underwrites based on provable cash flows rather than the borrower's declared salary.</w:t>
      </w:r>
    </w:p>
    <w:p>
      <w:pPr>
        <w:spacing w:before="60" w:after="80" w:line="276" w:lineRule="auto"/>
      </w:pPr>
      <w:r>
        <w:rPr>
          <w:rFonts w:ascii="Calibri" w:hAnsi="Calibri"/>
          <w:color w:val="334155"/>
          <w:sz w:val="22"/>
        </w:rPr>
        <w:t>Where &amp; How it's used: In</w:t>
      </w:r>
    </w:p>
    <w:p>
      <w:pPr>
        <w:spacing w:before="60" w:after="80" w:line="276" w:lineRule="auto"/>
      </w:pPr>
      <w:r>
        <w:rPr>
          <w:rFonts w:ascii="Calibri" w:hAnsi="Calibri"/>
          <w:color w:val="334155"/>
          <w:sz w:val="22"/>
        </w:rPr>
        <w:t>scoring/pillars/p03_income.py and</w:t>
      </w:r>
    </w:p>
    <w:p>
      <w:pPr>
        <w:spacing w:before="60" w:after="80" w:line="276" w:lineRule="auto"/>
      </w:pPr>
      <w:r>
        <w:rPr>
          <w:rFonts w:ascii="Calibri" w:hAnsi="Calibri"/>
          <w:color w:val="334155"/>
          <w:sz w:val="22"/>
        </w:rPr>
        <w:t>training/train_quantile_models.py. The conservative P?? income directly feeds Bound 1 (Affordability Bound) in the 4-Bound Limit Engine!</w:t>
      </w:r>
    </w:p>
    <w:p>
      <w:pPr>
        <w:keepNext/>
        <w:spacing w:before="320" w:after="80"/>
      </w:pPr>
      <w:r>
        <w:rPr>
          <w:rFonts w:ascii="Calibri" w:hAnsi="Calibri"/>
          <w:b/>
          <w:color w:val="1E3A8A"/>
          <w:sz w:val="30"/>
        </w:rPr>
        <w:t>4. P04: Cash Flow Health (GBM on Cash-Flow Features)</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Uses LightGBM trained on 12-month rolling banking time series:</w:t>
      </w:r>
    </w:p>
    <w:p>
      <w:pPr>
        <w:spacing w:before="60" w:after="80" w:line="276" w:lineRule="auto"/>
      </w:pPr>
      <w:r>
        <w:rPr>
          <w:rFonts w:ascii="Calibri" w:hAnsi="Calibri"/>
          <w:color w:val="334155"/>
          <w:sz w:val="22"/>
        </w:rPr>
        <w:t>Salary deposit punctuality (day-of-month variance).</w:t>
      </w:r>
    </w:p>
    <w:p>
      <w:pPr>
        <w:spacing w:before="60" w:after="80" w:line="276" w:lineRule="auto"/>
      </w:pPr>
      <w:r>
        <w:rPr>
          <w:rFonts w:ascii="Calibri" w:hAnsi="Calibri"/>
          <w:color w:val="334155"/>
          <w:sz w:val="22"/>
        </w:rPr>
        <w:t>Inflow-to-Outflow velocity ratio ((Credits / Debits)).</w:t>
      </w:r>
    </w:p>
    <w:p>
      <w:pPr>
        <w:spacing w:before="60" w:after="80" w:line="276" w:lineRule="auto"/>
      </w:pPr>
      <w:r>
        <w:rPr>
          <w:rFonts w:ascii="Calibri" w:hAnsi="Calibri"/>
          <w:color w:val="334155"/>
          <w:sz w:val="22"/>
        </w:rPr>
        <w:t>Non-Sufficient Funds (NSF) bounce counts and overdraft utilization.</w:t>
      </w:r>
    </w:p>
    <w:p>
      <w:pPr>
        <w:spacing w:before="60" w:after="80" w:line="276" w:lineRule="auto"/>
      </w:pPr>
      <w:r>
        <w:rPr>
          <w:rFonts w:ascii="Calibri" w:hAnsi="Calibri"/>
          <w:color w:val="334155"/>
          <w:sz w:val="22"/>
        </w:rPr>
        <w:t>Purpose in our project: Evaluates liquidity headroom. A borrower earning PKR 500,000 who spends PKR 495,000 every month is a higher default risk than someone earning PKR 100,000 who saves PKR 30,000.</w:t>
      </w:r>
    </w:p>
    <w:p>
      <w:pPr>
        <w:spacing w:before="60" w:after="80" w:line="276" w:lineRule="auto"/>
      </w:pPr>
      <w:r>
        <w:rPr>
          <w:rFonts w:ascii="Calibri" w:hAnsi="Calibri"/>
          <w:color w:val="334155"/>
          <w:sz w:val="22"/>
        </w:rPr>
        <w:t>Where &amp; How it's used: In</w:t>
      </w:r>
    </w:p>
    <w:p>
      <w:pPr>
        <w:spacing w:before="60" w:after="80" w:line="276" w:lineRule="auto"/>
      </w:pPr>
      <w:r>
        <w:rPr>
          <w:rFonts w:ascii="Calibri" w:hAnsi="Calibri"/>
          <w:color w:val="334155"/>
          <w:sz w:val="22"/>
        </w:rPr>
        <w:t>scoring/pillars/p04_cash_flow.py. Produces a 0-100 cash flow buffer rating.</w:t>
      </w:r>
    </w:p>
    <w:p>
      <w:pPr>
        <w:keepNext/>
        <w:spacing w:before="320" w:after="80"/>
      </w:pPr>
      <w:r>
        <w:rPr>
          <w:rFonts w:ascii="Calibri" w:hAnsi="Calibri"/>
          <w:b/>
          <w:color w:val="1E3A8A"/>
          <w:sz w:val="30"/>
        </w:rPr>
        <w:t>5. P05: Affordability (Deterministic Formulas + GBM)</w:t>
      </w:r>
    </w:p>
    <w:p>
      <w:pPr>
        <w:spacing w:before="60" w:after="80" w:line="276" w:lineRule="auto"/>
      </w:pPr>
      <w:r>
        <w:rPr>
          <w:rFonts w:ascii="Calibri" w:hAnsi="Calibri"/>
          <w:color w:val="334155"/>
          <w:sz w:val="22"/>
        </w:rPr>
        <w:t>What the architecture means:</w:t>
      </w:r>
    </w:p>
    <w:p>
      <w:pPr>
        <w:spacing w:before="120" w:after="120"/>
        <w:ind w:left="432"/>
      </w:pPr>
      <w:r>
        <w:rPr>
          <w:rFonts w:ascii="Consolas" w:hAnsi="Consolas"/>
          <w:b/>
          <w:color w:val="0E7490"/>
          <w:sz w:val="21"/>
        </w:rPr>
        <w:t>Deterministic Formulas: Enforces central bank statutory rules: FOIR = (Total Existing Monthly Debt Obligations / Verified Monthly Income) ? 45.0% Max EMI = (Income ? 0.45) - Existing Debt</w:t>
      </w:r>
    </w:p>
    <w:p>
      <w:pPr>
        <w:spacing w:before="60" w:after="80" w:line="276" w:lineRule="auto"/>
      </w:pPr>
      <w:r>
        <w:rPr>
          <w:rFonts w:ascii="Calibri" w:hAnsi="Calibri"/>
          <w:color w:val="334155"/>
          <w:sz w:val="22"/>
        </w:rPr>
        <w:t>GBM: Predicts the borrower's disposable income elasticity (how their surplus shrinks during macroeconomic inflation or utility rate hikes).</w:t>
      </w:r>
    </w:p>
    <w:p>
      <w:pPr>
        <w:spacing w:before="60" w:after="80" w:line="276" w:lineRule="auto"/>
      </w:pPr>
      <w:r>
        <w:rPr>
          <w:rFonts w:ascii="Calibri" w:hAnsi="Calibri"/>
          <w:color w:val="334155"/>
          <w:sz w:val="22"/>
        </w:rPr>
        <w:t>Purpose in our project: Prevents borrower over-indebtedness and guarantees 100% compliance with State Bank of Pakistan (SBP) Consumer Protection Regulations.</w:t>
      </w:r>
    </w:p>
    <w:p>
      <w:pPr>
        <w:spacing w:before="60" w:after="80" w:line="276" w:lineRule="auto"/>
      </w:pPr>
      <w:r>
        <w:rPr>
          <w:rFonts w:ascii="Calibri" w:hAnsi="Calibri"/>
          <w:color w:val="334155"/>
          <w:sz w:val="22"/>
        </w:rPr>
        <w:t>Where &amp; How it's used: In</w:t>
      </w:r>
    </w:p>
    <w:p>
      <w:pPr>
        <w:spacing w:before="60" w:after="80" w:line="276" w:lineRule="auto"/>
      </w:pPr>
      <w:r>
        <w:rPr>
          <w:rFonts w:ascii="Calibri" w:hAnsi="Calibri"/>
          <w:color w:val="334155"/>
          <w:sz w:val="22"/>
        </w:rPr>
        <w:t>scoring/pillars/p05_affordability.py and</w:t>
      </w:r>
    </w:p>
    <w:p>
      <w:pPr>
        <w:spacing w:before="60" w:after="80" w:line="276" w:lineRule="auto"/>
      </w:pPr>
      <w:r>
        <w:rPr>
          <w:rFonts w:ascii="Calibri" w:hAnsi="Calibri"/>
          <w:color w:val="334155"/>
          <w:sz w:val="22"/>
        </w:rPr>
        <w:t>scoring/policy_engine.py. If existing debt pushes FOIR &gt; 45%, it caps the affordable loan amount to PKR 0.</w:t>
      </w:r>
    </w:p>
    <w:p>
      <w:pPr>
        <w:keepNext/>
        <w:spacing w:before="320" w:after="80"/>
      </w:pPr>
      <w:r>
        <w:rPr>
          <w:rFonts w:ascii="Calibri" w:hAnsi="Calibri"/>
          <w:b/>
          <w:color w:val="1E3A8A"/>
          <w:sz w:val="30"/>
        </w:rPr>
        <w:t>6. P06: Stability (GBM)</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A Gradient Boosted Machine trained on tenure indicators:</w:t>
      </w:r>
    </w:p>
    <w:p>
      <w:pPr>
        <w:spacing w:before="60" w:after="80" w:line="276" w:lineRule="auto"/>
      </w:pPr>
      <w:r>
        <w:rPr>
          <w:rFonts w:ascii="Calibri" w:hAnsi="Calibri"/>
          <w:color w:val="334155"/>
          <w:sz w:val="22"/>
        </w:rPr>
        <w:t>current_job_tenure (years in current company).</w:t>
      </w:r>
    </w:p>
    <w:p>
      <w:pPr>
        <w:spacing w:before="60" w:after="80" w:line="276" w:lineRule="auto"/>
      </w:pPr>
      <w:r>
        <w:rPr>
          <w:rFonts w:ascii="Calibri" w:hAnsi="Calibri"/>
          <w:color w:val="334155"/>
          <w:sz w:val="22"/>
        </w:rPr>
        <w:t>years_at_address (residential permanence).</w:t>
      </w:r>
    </w:p>
    <w:p>
      <w:pPr>
        <w:spacing w:before="60" w:after="80" w:line="276" w:lineRule="auto"/>
      </w:pPr>
      <w:r>
        <w:rPr>
          <w:rFonts w:ascii="Calibri" w:hAnsi="Calibri"/>
          <w:color w:val="334155"/>
          <w:sz w:val="22"/>
        </w:rPr>
        <w:t>Employer size, industry vulnerability, and contract permanence (Permanent vs Daily Wage).</w:t>
      </w:r>
    </w:p>
    <w:p>
      <w:pPr>
        <w:spacing w:before="60" w:after="80" w:line="276" w:lineRule="auto"/>
      </w:pPr>
      <w:r>
        <w:rPr>
          <w:rFonts w:ascii="Calibri" w:hAnsi="Calibri"/>
          <w:color w:val="334155"/>
          <w:sz w:val="22"/>
        </w:rPr>
        <w:t>Purpose in our project: Differentiates transient gig-workers with volatile income from stable salaried professionals with long tenures.</w:t>
      </w:r>
    </w:p>
    <w:p>
      <w:pPr>
        <w:spacing w:before="60" w:after="80" w:line="276" w:lineRule="auto"/>
      </w:pPr>
      <w:r>
        <w:rPr>
          <w:rFonts w:ascii="Calibri" w:hAnsi="Calibri"/>
          <w:color w:val="334155"/>
          <w:sz w:val="22"/>
        </w:rPr>
        <w:t>Where &amp; How it's used: In</w:t>
      </w:r>
    </w:p>
    <w:p>
      <w:pPr>
        <w:spacing w:before="60" w:after="80" w:line="276" w:lineRule="auto"/>
      </w:pPr>
      <w:r>
        <w:rPr>
          <w:rFonts w:ascii="Calibri" w:hAnsi="Calibri"/>
          <w:color w:val="334155"/>
          <w:sz w:val="22"/>
        </w:rPr>
        <w:t>scoring/pillars/p06_stability.py.</w:t>
      </w:r>
    </w:p>
    <w:p>
      <w:pPr>
        <w:keepNext/>
        <w:spacing w:before="320" w:after="80"/>
      </w:pPr>
      <w:r>
        <w:rPr>
          <w:rFonts w:ascii="Calibri" w:hAnsi="Calibri"/>
          <w:b/>
          <w:color w:val="1E3A8A"/>
          <w:sz w:val="30"/>
        </w:rPr>
        <w:t>7. P07: Behavioral Risk (GBM + Sequence Model (GRU))</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Gated Recurrent Unit (GRU): A recurrent neural network that processes chronological in-app keystroke and sensor events:</w:t>
      </w:r>
    </w:p>
    <w:p>
      <w:pPr>
        <w:spacing w:before="60" w:after="80" w:line="276" w:lineRule="auto"/>
      </w:pPr>
      <w:r>
        <w:rPr>
          <w:rFonts w:ascii="Calibri" w:hAnsi="Calibri"/>
          <w:color w:val="334155"/>
          <w:sz w:val="22"/>
        </w:rPr>
        <w:t>Typing speed (words per minute).</w:t>
      </w:r>
    </w:p>
    <w:p>
      <w:pPr>
        <w:spacing w:before="60" w:after="80" w:line="276" w:lineRule="auto"/>
      </w:pPr>
      <w:r>
        <w:rPr>
          <w:rFonts w:ascii="Calibri" w:hAnsi="Calibri"/>
          <w:color w:val="334155"/>
          <w:sz w:val="22"/>
        </w:rPr>
        <w:t>Hesitation duration before entering CNIC and income numbers.</w:t>
      </w:r>
    </w:p>
    <w:p>
      <w:pPr>
        <w:spacing w:before="60" w:after="80" w:line="276" w:lineRule="auto"/>
      </w:pPr>
      <w:r>
        <w:rPr>
          <w:rFonts w:ascii="Calibri" w:hAnsi="Calibri"/>
          <w:color w:val="334155"/>
          <w:sz w:val="22"/>
        </w:rPr>
        <w:t>Field copy-pasting detection (fraudsters copy-paste stolen CNICs; genuine users type from memory).</w:t>
      </w:r>
    </w:p>
    <w:p>
      <w:pPr>
        <w:spacing w:before="60" w:after="80" w:line="276" w:lineRule="auto"/>
      </w:pPr>
      <w:r>
        <w:rPr>
          <w:rFonts w:ascii="Calibri" w:hAnsi="Calibri"/>
          <w:color w:val="334155"/>
          <w:sz w:val="22"/>
        </w:rPr>
        <w:t>Screen swipe velocity and accelerometer shake.</w:t>
      </w:r>
    </w:p>
    <w:p>
      <w:pPr>
        <w:spacing w:before="60" w:after="80" w:line="276" w:lineRule="auto"/>
      </w:pPr>
      <w:r>
        <w:rPr>
          <w:rFonts w:ascii="Calibri" w:hAnsi="Calibri"/>
          <w:color w:val="334155"/>
          <w:sz w:val="22"/>
        </w:rPr>
        <w:t>GBM: Aggregates the GRU sequence embedding with high-level application form time metrics (app_form_abandonment_count, app_application_duration_sec).</w:t>
      </w:r>
    </w:p>
    <w:p>
      <w:pPr>
        <w:spacing w:before="60" w:after="80" w:line="276" w:lineRule="auto"/>
      </w:pPr>
      <w:r>
        <w:rPr>
          <w:rFonts w:ascii="Calibri" w:hAnsi="Calibri"/>
          <w:color w:val="334155"/>
          <w:sz w:val="22"/>
        </w:rPr>
        <w:t>Purpose in our project: Passive psychometric risk scoring. Catches fraudulent or distressed applicants purely from how they interact with their phone screen, requiring zero extra questions.</w:t>
      </w:r>
    </w:p>
    <w:p>
      <w:pPr>
        <w:spacing w:before="60" w:after="80" w:line="276" w:lineRule="auto"/>
      </w:pPr>
      <w:r>
        <w:rPr>
          <w:rFonts w:ascii="Calibri" w:hAnsi="Calibri"/>
          <w:color w:val="334155"/>
          <w:sz w:val="22"/>
        </w:rPr>
        <w:t>Where &amp; How it's used: In</w:t>
      </w:r>
    </w:p>
    <w:p>
      <w:pPr>
        <w:spacing w:before="60" w:after="80" w:line="276" w:lineRule="auto"/>
      </w:pPr>
      <w:r>
        <w:rPr>
          <w:rFonts w:ascii="Calibri" w:hAnsi="Calibri"/>
          <w:color w:val="334155"/>
          <w:sz w:val="22"/>
        </w:rPr>
        <w:t>scoring/pillars/p07_behavioral.py.</w:t>
      </w:r>
    </w:p>
    <w:p>
      <w:pPr>
        <w:keepNext/>
        <w:spacing w:before="320" w:after="80"/>
      </w:pPr>
      <w:r>
        <w:rPr>
          <w:rFonts w:ascii="Calibri" w:hAnsi="Calibri"/>
          <w:b/>
          <w:color w:val="1E3A8A"/>
          <w:sz w:val="30"/>
        </w:rPr>
        <w:t>8. P08: Digital Footprint (GBM)</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A gradient boosted model that evaluates alternative digital exhaust:</w:t>
      </w:r>
    </w:p>
    <w:p>
      <w:pPr>
        <w:spacing w:before="60" w:after="80" w:line="276" w:lineRule="auto"/>
      </w:pPr>
      <w:r>
        <w:rPr>
          <w:rFonts w:ascii="Calibri" w:hAnsi="Calibri"/>
          <w:color w:val="334155"/>
          <w:sz w:val="22"/>
        </w:rPr>
        <w:t>Telco SIM tenure (tel_sim_age_months).</w:t>
      </w:r>
    </w:p>
    <w:p>
      <w:pPr>
        <w:spacing w:before="60" w:after="80" w:line="276" w:lineRule="auto"/>
      </w:pPr>
      <w:r>
        <w:rPr>
          <w:rFonts w:ascii="Calibri" w:hAnsi="Calibri"/>
          <w:color w:val="334155"/>
          <w:sz w:val="22"/>
        </w:rPr>
        <w:t>Mobile line type (Postpaid vs Prepaid).</w:t>
      </w:r>
    </w:p>
    <w:p>
      <w:pPr>
        <w:spacing w:before="60" w:after="80" w:line="276" w:lineRule="auto"/>
      </w:pPr>
      <w:r>
        <w:rPr>
          <w:rFonts w:ascii="Calibri" w:hAnsi="Calibri"/>
          <w:color w:val="334155"/>
          <w:sz w:val="22"/>
        </w:rPr>
        <w:t>Average monthly mobile data consumption and recharge frequency.</w:t>
      </w:r>
    </w:p>
    <w:p>
      <w:pPr>
        <w:spacing w:before="60" w:after="80" w:line="276" w:lineRule="auto"/>
      </w:pPr>
      <w:r>
        <w:rPr>
          <w:rFonts w:ascii="Calibri" w:hAnsi="Calibri"/>
          <w:color w:val="334155"/>
          <w:sz w:val="22"/>
        </w:rPr>
        <w:t>Mobile wallet activity (JazzCash / Easypaisa turnover).</w:t>
      </w:r>
    </w:p>
    <w:p>
      <w:pPr>
        <w:spacing w:before="60" w:after="80" w:line="276" w:lineRule="auto"/>
      </w:pPr>
      <w:r>
        <w:rPr>
          <w:rFonts w:ascii="Calibri" w:hAnsi="Calibri"/>
          <w:color w:val="334155"/>
          <w:sz w:val="22"/>
        </w:rPr>
        <w:t>Purpose in our project: Serves as the primary credit scoring engine for "Thin-File" and unbanked applicants who have no formal bank accounts or credit bureau histories.</w:t>
      </w:r>
    </w:p>
    <w:p>
      <w:pPr>
        <w:spacing w:before="60" w:after="80" w:line="276" w:lineRule="auto"/>
      </w:pPr>
      <w:r>
        <w:rPr>
          <w:rFonts w:ascii="Calibri" w:hAnsi="Calibri"/>
          <w:color w:val="334155"/>
          <w:sz w:val="22"/>
        </w:rPr>
        <w:t>Where &amp; How it's used: In</w:t>
      </w:r>
    </w:p>
    <w:p>
      <w:pPr>
        <w:spacing w:before="60" w:after="80" w:line="276" w:lineRule="auto"/>
      </w:pPr>
      <w:r>
        <w:rPr>
          <w:rFonts w:ascii="Calibri" w:hAnsi="Calibri"/>
          <w:color w:val="334155"/>
          <w:sz w:val="22"/>
        </w:rPr>
        <w:t>scoring/pillars/p08_digital_footprint.py.</w:t>
      </w:r>
    </w:p>
    <w:p>
      <w:pPr>
        <w:keepNext/>
        <w:spacing w:before="320" w:after="80"/>
      </w:pPr>
      <w:r>
        <w:rPr>
          <w:rFonts w:ascii="Calibri" w:hAnsi="Calibri"/>
          <w:b/>
          <w:color w:val="1E3A8A"/>
          <w:sz w:val="30"/>
        </w:rPr>
        <w:t>9. P09: Bureau Proxy (WoE Scorecard + GBM)</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Weight of Evidence (WoE) Scorecard: The gold-standard regulatory banking method for credit bureaus. Bins delinquency variables and assigns monotonic Information Value (IV) weights: WoE_i = ln? ft( (% Non-Defaulters_i / % Defaulters_i) )</w:t>
      </w:r>
    </w:p>
    <w:p>
      <w:pPr>
        <w:spacing w:before="60" w:after="80" w:line="276" w:lineRule="auto"/>
      </w:pPr>
      <w:r>
        <w:rPr>
          <w:rFonts w:ascii="Calibri" w:hAnsi="Calibri"/>
          <w:color w:val="334155"/>
          <w:sz w:val="22"/>
        </w:rPr>
        <w:t>GBM: Integrates cross-lender credit inquiry velocity (app_cross_lender_velocity_30d), worst historical DPD, and active loan counts.</w:t>
      </w:r>
    </w:p>
    <w:p>
      <w:pPr>
        <w:spacing w:before="60" w:after="80" w:line="276" w:lineRule="auto"/>
      </w:pPr>
      <w:r>
        <w:rPr>
          <w:rFonts w:ascii="Calibri" w:hAnsi="Calibri"/>
          <w:color w:val="334155"/>
          <w:sz w:val="22"/>
        </w:rPr>
        <w:t>Purpose in our project: Simulates a formal credit bureau report (e.g. Tasdeeq, DataCheck, or Equifax) using internal surrogate indicators and utility payment punctuality.</w:t>
      </w:r>
    </w:p>
    <w:p>
      <w:pPr>
        <w:spacing w:before="60" w:after="80" w:line="276" w:lineRule="auto"/>
      </w:pPr>
      <w:r>
        <w:rPr>
          <w:rFonts w:ascii="Calibri" w:hAnsi="Calibri"/>
          <w:color w:val="334155"/>
          <w:sz w:val="22"/>
        </w:rPr>
        <w:t>Where &amp; How it's used: In</w:t>
      </w:r>
    </w:p>
    <w:p>
      <w:pPr>
        <w:spacing w:before="60" w:after="80" w:line="276" w:lineRule="auto"/>
      </w:pPr>
      <w:r>
        <w:rPr>
          <w:rFonts w:ascii="Calibri" w:hAnsi="Calibri"/>
          <w:color w:val="334155"/>
          <w:sz w:val="22"/>
        </w:rPr>
        <w:t>scoring/pillars/p09_bureau_proxy.py.</w:t>
      </w:r>
    </w:p>
    <w:p>
      <w:pPr>
        <w:keepNext/>
        <w:spacing w:before="320" w:after="80"/>
      </w:pPr>
      <w:r>
        <w:rPr>
          <w:rFonts w:ascii="Calibri" w:hAnsi="Calibri"/>
          <w:b/>
          <w:color w:val="1E3A8A"/>
          <w:sz w:val="30"/>
        </w:rPr>
        <w:t>10. P10: Relationship (GBM + Survival Model)</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Survival Analysis (Cox Proportional Hazards / Kaplan-Meier): Models the probability of customer churn and the time-to-event for loan default across multiple cycles.</w:t>
      </w:r>
    </w:p>
    <w:p>
      <w:pPr>
        <w:spacing w:before="60" w:after="80" w:line="276" w:lineRule="auto"/>
      </w:pPr>
      <w:r>
        <w:rPr>
          <w:rFonts w:ascii="Calibri" w:hAnsi="Calibri"/>
          <w:color w:val="334155"/>
          <w:sz w:val="22"/>
        </w:rPr>
        <w:t>GBM: Combines customer tenure with the bank, savings account balance, and Prior Repaid Clean Cycles.</w:t>
      </w:r>
    </w:p>
    <w:p>
      <w:pPr>
        <w:spacing w:before="60" w:after="80" w:line="276" w:lineRule="auto"/>
      </w:pPr>
      <w:r>
        <w:rPr>
          <w:rFonts w:ascii="Calibri" w:hAnsi="Calibri"/>
          <w:color w:val="334155"/>
          <w:sz w:val="22"/>
        </w:rPr>
        <w:t>Purpose in our project: Rewards loyal, existing banking customers with higher credit limits and lower interest rates.</w:t>
      </w:r>
    </w:p>
    <w:p>
      <w:pPr>
        <w:spacing w:before="60" w:after="80" w:line="276" w:lineRule="auto"/>
      </w:pPr>
      <w:r>
        <w:rPr>
          <w:rFonts w:ascii="Calibri" w:hAnsi="Calibri"/>
          <w:color w:val="334155"/>
          <w:sz w:val="22"/>
        </w:rPr>
        <w:t>Where &amp; How it's used: In</w:t>
      </w:r>
    </w:p>
    <w:p>
      <w:pPr>
        <w:spacing w:before="120" w:after="120"/>
        <w:ind w:left="432"/>
      </w:pPr>
      <w:r>
        <w:rPr>
          <w:rFonts w:ascii="Consolas" w:hAnsi="Consolas"/>
          <w:b/>
          <w:color w:val="0E7490"/>
          <w:sz w:val="21"/>
        </w:rPr>
        <w:t>scoring/pillars/p10_relationship.py. Its output feeds Bound 4 (The Graduation / Relationship Bound) in the 4-Bound Limit Engine: Bound 4 = PKR 50,000 ? 1.5^min(Clean Cycles, 6)</w:t>
      </w:r>
    </w:p>
    <w:p>
      <w:pPr>
        <w:keepNext/>
        <w:spacing w:before="320" w:after="80"/>
      </w:pPr>
      <w:r>
        <w:rPr>
          <w:rFonts w:ascii="Calibri" w:hAnsi="Calibri"/>
          <w:b/>
          <w:color w:val="1E3A8A"/>
          <w:sz w:val="30"/>
        </w:rPr>
        <w:t>11. P11: Collection Risk (Markov Roll-Rate + GBM)</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Markov Chain Roll-Rate Transition Matrix: Models the probabilistic transition of delinquent loans from one delinquency bucket to the next: Current longrightarrow 30 DPD longrightarrow 60 DPD longrightarrow 90 DPD (Default) and specifically computes the reverse Cure Probability (30 DPD rightarrow Current).</w:t>
      </w:r>
    </w:p>
    <w:p>
      <w:pPr>
        <w:spacing w:before="60" w:after="80" w:line="276" w:lineRule="auto"/>
      </w:pPr>
      <w:r>
        <w:rPr>
          <w:rFonts w:ascii="Calibri" w:hAnsi="Calibri"/>
          <w:color w:val="334155"/>
          <w:sz w:val="22"/>
        </w:rPr>
        <w:t>GBM: Predicts how responsive the customer will be if they fall into arrears (e.g., historical early repayment behavior, contactability score).</w:t>
      </w:r>
    </w:p>
    <w:p>
      <w:pPr>
        <w:spacing w:before="60" w:after="80" w:line="276" w:lineRule="auto"/>
      </w:pPr>
      <w:r>
        <w:rPr>
          <w:rFonts w:ascii="Calibri" w:hAnsi="Calibri"/>
          <w:color w:val="334155"/>
          <w:sz w:val="22"/>
        </w:rPr>
        <w:t>Purpose in our project: Estimates Loss Given Default (LGD). Even if two borrowers have the same PD, the one who is likely to cure has a lower collection risk and qualifies for a larger loan.</w:t>
      </w:r>
    </w:p>
    <w:p>
      <w:pPr>
        <w:spacing w:before="60" w:after="80" w:line="276" w:lineRule="auto"/>
      </w:pPr>
      <w:r>
        <w:rPr>
          <w:rFonts w:ascii="Calibri" w:hAnsi="Calibri"/>
          <w:color w:val="334155"/>
          <w:sz w:val="22"/>
        </w:rPr>
        <w:t>Where &amp; How it's used: In</w:t>
      </w:r>
    </w:p>
    <w:p>
      <w:pPr>
        <w:spacing w:before="60" w:after="80" w:line="276" w:lineRule="auto"/>
      </w:pPr>
      <w:r>
        <w:rPr>
          <w:rFonts w:ascii="Calibri" w:hAnsi="Calibri"/>
          <w:color w:val="334155"/>
          <w:sz w:val="22"/>
        </w:rPr>
        <w:t>scoring/pillars/p11_collection_risk.py. Directly feeds into the IFRS 9 Stage 2 / Stage 3 ECL Loss Calculation.</w:t>
      </w:r>
    </w:p>
    <w:p>
      <w:pPr>
        <w:keepNext/>
        <w:spacing w:before="320" w:after="80"/>
      </w:pPr>
      <w:r>
        <w:rPr>
          <w:rFonts w:ascii="Calibri" w:hAnsi="Calibri"/>
          <w:b/>
          <w:color w:val="1E3A8A"/>
          <w:sz w:val="30"/>
        </w:rPr>
        <w:t>12. P12: Compliance (Deterministic Rules)</w:t>
      </w:r>
    </w:p>
    <w:p>
      <w:pPr>
        <w:spacing w:before="60" w:after="80" w:line="276" w:lineRule="auto"/>
      </w:pPr>
      <w:r>
        <w:rPr>
          <w:rFonts w:ascii="Calibri" w:hAnsi="Calibri"/>
          <w:color w:val="334155"/>
          <w:sz w:val="22"/>
        </w:rPr>
        <w:t>What the architecture means:</w:t>
      </w:r>
    </w:p>
    <w:p>
      <w:pPr>
        <w:spacing w:before="60" w:after="80" w:line="276" w:lineRule="auto"/>
      </w:pPr>
      <w:r>
        <w:rPr>
          <w:rFonts w:ascii="Calibri" w:hAnsi="Calibri"/>
          <w:color w:val="334155"/>
          <w:sz w:val="22"/>
        </w:rPr>
        <w:t>Zero Machine Learning (Deterministic Strict Rules): ML cannot be used here because regulatory compliance is non-negotiable.</w:t>
      </w:r>
    </w:p>
    <w:p>
      <w:pPr>
        <w:spacing w:before="60" w:after="80" w:line="276" w:lineRule="auto"/>
      </w:pPr>
      <w:r>
        <w:rPr>
          <w:rFonts w:ascii="Calibri" w:hAnsi="Calibri"/>
          <w:color w:val="334155"/>
          <w:sz w:val="22"/>
        </w:rPr>
        <w:t>Exact matching against:</w:t>
      </w:r>
    </w:p>
    <w:p>
      <w:pPr>
        <w:spacing w:before="60" w:after="80" w:line="276" w:lineRule="auto"/>
      </w:pPr>
      <w:r>
        <w:rPr>
          <w:rFonts w:ascii="Calibri" w:hAnsi="Calibri"/>
          <w:color w:val="334155"/>
          <w:sz w:val="22"/>
        </w:rPr>
        <w:t>Politically Exposed Persons (is_pep).</w:t>
      </w:r>
    </w:p>
    <w:p>
      <w:pPr>
        <w:spacing w:before="60" w:after="80" w:line="276" w:lineRule="auto"/>
      </w:pPr>
      <w:r>
        <w:rPr>
          <w:rFonts w:ascii="Calibri" w:hAnsi="Calibri"/>
          <w:color w:val="334155"/>
          <w:sz w:val="22"/>
        </w:rPr>
        <w:t>Anti-Money Laundering (has_aml_flag).</w:t>
      </w:r>
    </w:p>
    <w:p>
      <w:pPr>
        <w:spacing w:before="60" w:after="80" w:line="276" w:lineRule="auto"/>
      </w:pPr>
      <w:r>
        <w:rPr>
          <w:rFonts w:ascii="Calibri" w:hAnsi="Calibri"/>
          <w:color w:val="334155"/>
          <w:sz w:val="22"/>
        </w:rPr>
        <w:t>NACTA / UN / OFAC Sanctions lists (is_sanctioned).</w:t>
      </w:r>
    </w:p>
    <w:p>
      <w:pPr>
        <w:spacing w:before="60" w:after="80" w:line="276" w:lineRule="auto"/>
      </w:pPr>
      <w:r>
        <w:rPr>
          <w:rFonts w:ascii="Calibri" w:hAnsi="Calibri"/>
          <w:color w:val="334155"/>
          <w:sz w:val="22"/>
        </w:rPr>
        <w:t>Purpose in our project: Regulatory defense. Protects the bank from money laundering fines, criminal liability, and central bank sanctions.</w:t>
      </w:r>
    </w:p>
    <w:p>
      <w:pPr>
        <w:spacing w:before="60" w:after="80" w:line="276" w:lineRule="auto"/>
      </w:pPr>
      <w:r>
        <w:rPr>
          <w:rFonts w:ascii="Calibri" w:hAnsi="Calibri"/>
          <w:color w:val="334155"/>
          <w:sz w:val="22"/>
        </w:rPr>
        <w:t>Where &amp; How it's used: In</w:t>
      </w:r>
    </w:p>
    <w:p>
      <w:pPr>
        <w:spacing w:before="120" w:after="120"/>
        <w:ind w:left="432"/>
      </w:pPr>
      <w:r>
        <w:rPr>
          <w:rFonts w:ascii="Consolas" w:hAnsi="Consolas"/>
          <w:b/>
          <w:color w:val="0E7490"/>
          <w:sz w:val="21"/>
        </w:rPr>
        <w:t>scoring/pillars/p12_compliance.py. If any sanction rule triggers, it executes an Immediate Hard Knockout (Score = 300, Grade = E, Limit = 0, Decision = DECLINE).</w:t>
      </w:r>
    </w:p>
    <w:p>
      <w:pPr>
        <w:spacing w:before="60" w:after="80" w:line="276" w:lineRule="auto"/>
      </w:pPr>
      <w:r>
        <w:rPr>
          <w:rFonts w:ascii="Calibri" w:hAnsi="Calibri"/>
          <w:color w:val="334155"/>
          <w:sz w:val="22"/>
        </w:rPr>
        <w:t>How All 12 Flow Into the Master Engine (Section 9 of HDD)</w:t>
      </w:r>
    </w:p>
    <w:p>
      <w:pPr>
        <w:spacing w:before="60" w:after="80" w:line="276" w:lineRule="auto"/>
      </w:pPr>
      <w:r>
        <w:rPr>
          <w:rFonts w:ascii="Calibri" w:hAnsi="Calibri"/>
          <w:color w:val="334155"/>
          <w:sz w:val="22"/>
        </w:rPr>
        <w:t>Once P01 through P11 produce their 11 scores (0 to 100) and P12 confirms compliance:</w:t>
      </w:r>
    </w:p>
    <w:p>
      <w:pPr>
        <w:spacing w:before="60" w:after="80" w:line="276" w:lineRule="auto"/>
      </w:pPr>
      <w:r>
        <w:rPr>
          <w:rFonts w:ascii="Calibri" w:hAnsi="Calibri"/>
          <w:color w:val="334155"/>
          <w:sz w:val="22"/>
        </w:rPr>
        <w:t>The Meta-Stacking Ensemble (</w:t>
      </w:r>
    </w:p>
    <w:p>
      <w:pPr>
        <w:spacing w:before="60" w:after="80" w:line="276" w:lineRule="auto"/>
      </w:pPr>
      <w:r>
        <w:rPr>
          <w:rFonts w:ascii="Calibri" w:hAnsi="Calibri"/>
          <w:color w:val="334155"/>
          <w:sz w:val="22"/>
        </w:rPr>
        <w:t>models/pd_meta_learner.joblib) takes all 11 scores and outputs the unified 12-month Probability of Default (PD).</w:t>
      </w:r>
    </w:p>
    <w:p>
      <w:pPr>
        <w:spacing w:before="60" w:after="80" w:line="276" w:lineRule="auto"/>
      </w:pPr>
      <w:r>
        <w:rPr>
          <w:rFonts w:ascii="Calibri" w:hAnsi="Calibri"/>
          <w:color w:val="334155"/>
          <w:sz w:val="22"/>
        </w:rPr>
        <w:t>The PDO Calibrator maps PD to the standard Three-Digit FICO-style Credit Score (300 to 850) and Credit Grade (A, B, C, D, E).</w:t>
      </w:r>
    </w:p>
    <w:p>
      <w:pPr>
        <w:spacing w:before="120" w:after="120"/>
        <w:ind w:left="432"/>
      </w:pPr>
      <w:r>
        <w:rPr>
          <w:rFonts w:ascii="Consolas" w:hAnsi="Consolas"/>
          <w:b/>
          <w:color w:val="0E7490"/>
          <w:sz w:val="21"/>
        </w:rPr>
        <w:t>The 4-Bound Limit Engine evaluates: Final Limit = min(Bound 1 Affordability, , Bound 2 Risk Cap, , Bound 3 Policy Cap, , Bound 4 Progression Ladder)</w:t>
      </w:r>
    </w:p>
    <w:p>
      <w:pPr>
        <w:spacing w:before="60" w:after="80" w:line="276" w:lineRule="auto"/>
      </w:pPr>
      <w:r>
        <w:rPr>
          <w:rFonts w:ascii="Calibri" w:hAnsi="Calibri"/>
          <w:color w:val="334155"/>
          <w:sz w:val="22"/>
        </w:rPr>
        <w:t>TreeSHAP generates the top 5 positive and negative adverse action reason codes for regulatory transparency.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