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8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20"/>
                <w:szCs w:val="20"/>
              </w:rPr>
              <w:t xml:space="preserve">EXECUTIVE SUMMARY</w:t>
            </w:r>
          </w:p>
          <w:p>
            <w:pPr>
              <w:spacing w:before="80" w:after="6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Financial Fraud Detection</w:t>
            </w:r>
          </w:p>
          <w:p>
            <w:pPr>
              <w:spacing w:before="80" w:after="1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FDBFE"/>
                <w:sz w:val="30"/>
                <w:szCs w:val="30"/>
              </w:rPr>
              <w:t xml:space="preserve">Anomaly Analysis &amp; Model Evaluation</w:t>
            </w:r>
          </w:p>
          <w:p>
            <w:pPr>
              <w:spacing w:before="80" w:after="1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82F6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</w:t>
            </w:r>
          </w:p>
          <w:p>
            <w:pPr>
              <w:spacing w:before="80" w:after="4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1D5DB"/>
                <w:sz w:val="20"/>
                <w:szCs w:val="20"/>
              </w:rPr>
              <w:t xml:space="preserve">Prepared for: Senior Leadership &amp; Risk Committee</w:t>
            </w:r>
          </w:p>
          <w:p>
            <w:pPr>
              <w:spacing w:before="80"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87171"/>
                <w:sz w:val="20"/>
                <w:szCs w:val="20"/>
              </w:rPr>
              <w:t xml:space="preserve">Classification: Confidential — Internal Use Only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1D5DB"/>
                <w:sz w:val="20"/>
                <w:szCs w:val="20"/>
              </w:rPr>
              <w:t xml:space="preserve">Date: February 17, 2026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563EB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At a Glance</w:t>
      </w:r>
    </w:p>
    <w:p>
      <w:pPr>
        <w:spacing w:before="60" w:after="14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Our data science team analysed 2,512 financial transactions using an unsupervised machine learning model (Isolation Forest) to identify potentially fraudulent activity without requiring pre-labelled fraud data. The model assigned every transaction a risk score, flagging 126 transactions (5.02%) as anomalous. This report summarises findings, model validation results, and concrete steps to protect customers and the business.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9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32"/>
                <w:szCs w:val="32"/>
              </w:rPr>
              <w:t xml:space="preserve">2,512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Transactions Analysed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Full dataset</w:t>
            </w:r>
          </w:p>
        </w:tc>
        <w:tc>
          <w:tcPr>
            <w:tcW w:type="dxa" w:w="298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32"/>
                <w:szCs w:val="32"/>
              </w:rPr>
              <w:t xml:space="preserve">126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Flagged as Anomalous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5.02% anomaly rate</w:t>
            </w:r>
          </w:p>
        </w:tc>
        <w:tc>
          <w:tcPr>
            <w:tcW w:type="dxa" w:w="29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32"/>
                <w:szCs w:val="32"/>
              </w:rPr>
              <w:t xml:space="preserve">~40–60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High-Confidence Fraud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Flagged by both detectors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98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32"/>
                <w:szCs w:val="32"/>
              </w:rPr>
              <w:t xml:space="preserve">$686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Avg Anomalous Amount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vs $277 normal (+148%)</w:t>
            </w:r>
          </w:p>
        </w:tc>
        <w:tc>
          <w:tcPr>
            <w:tcW w:type="dxa" w:w="29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32"/>
                <w:szCs w:val="32"/>
              </w:rPr>
              <w:t xml:space="preserve">2.68×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Avg Login Attempts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vs 1.04 normal (+158%)</w:t>
            </w:r>
          </w:p>
        </w:tc>
        <w:tc>
          <w:tcPr>
            <w:tcW w:type="dxa" w:w="298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32"/>
                <w:szCs w:val="32"/>
              </w:rPr>
              <w:t xml:space="preserve">1.17×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Amount / Balance Ratio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vs 0.15 normal (+680%)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563EB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The Problem</w:t>
      </w:r>
    </w:p>
    <w:p>
      <w:pPr>
        <w:spacing w:before="60" w:after="10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Fraud in financial services is growing in sophistication. Traditional rule-based systems catch known fraud patterns but miss novel attack vectors. Our dataset of 2,512 transactions had no confirmed fraud labels — meaning we could not rely on historical examples. Instead, we applied machine learning to identify transactions that are statistically unusual across multiple dimensions simultaneously.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1B3A6B"/>
          <w:sz w:val="23"/>
          <w:szCs w:val="23"/>
        </w:rPr>
        <w:t xml:space="preserve">Why this matters:</w:t>
      </w:r>
    </w:p>
    <w:p>
      <w:pPr>
        <w:pStyle w:val="ListParagraph"/>
        <w:numPr>
          <w:ilvl w:val="0"/>
          <w:numId w:val="2"/>
        </w:numPr>
        <w:spacing w:before="40" w:after="40" w:line="264"/>
        <w:ind w:left="720" w:hanging="3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undetected fraud transaction represents an average of $686 in direct financial loss plus reputational damage and regulatory exposure.</w:t>
      </w:r>
    </w:p>
    <w:p>
      <w:pPr>
        <w:pStyle w:val="ListParagraph"/>
        <w:numPr>
          <w:ilvl w:val="0"/>
          <w:numId w:val="2"/>
        </w:numPr>
        <w:spacing w:before="40" w:after="40" w:line="264"/>
        <w:ind w:left="720" w:hanging="3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Multiple failed login attempts — a signal present in 53% of flagged transactions — indicate credential-stuffing attacks that could compromise many more accounts.</w:t>
      </w:r>
    </w:p>
    <w:p>
      <w:pPr>
        <w:pStyle w:val="ListParagraph"/>
        <w:numPr>
          <w:ilvl w:val="0"/>
          <w:numId w:val="2"/>
        </w:numPr>
        <w:spacing w:before="40" w:after="40" w:line="264"/>
        <w:ind w:left="720" w:hanging="36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Transactions where spend exceeds account balance (ratio &gt; 1.0) represent an exploitation of processing windows and settlement delays.</w:t>
      </w:r>
    </w:p>
    <w:p>
      <w:pPr>
        <w:spacing w:before="80" w:after="0"/>
      </w:pPr>
    </w:p>
    <w:p>
      <w:pPr>
        <w:pStyle w:val="Heading1"/>
        <w:pBdr>
          <w:bottom w:val="single" w:color="2563EB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What We Found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Top Fraud Signals</w:t>
      </w:r>
    </w:p>
    <w:p>
      <w:pPr>
        <w:spacing w:before="60" w:after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Three features were overwhelmingly predictive of anomalous behaviour: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2200"/>
        <w:gridCol w:w="1660"/>
      </w:tblGrid>
      <w:tr>
        <w:trPr>
          <w:tblHeader/>
        </w:trPr>
        <w:tc>
          <w:tcPr>
            <w:tcW w:type="dxa" w:w="2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Fraud Signal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Normal Transactions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Anomalous Transactions</w:t>
            </w:r>
          </w:p>
        </w:tc>
        <w:tc>
          <w:tcPr>
            <w:tcW w:type="dxa" w:w="16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Difference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Transaction Amount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$277 avg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$686 avg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+148%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Login Attempts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1.04 avg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2.68 avg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+158%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Amount / Balance Ratio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0.15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1.17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+680%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Transaction Duration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118 seconds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144 seconds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+22%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Account Balance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$5,153 avg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$4,386 avg</w:t>
            </w:r>
          </w:p>
        </w:tc>
        <w:tc>
          <w:tcPr>
            <w:tcW w:type="dxa" w:w="1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−15%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Highest-Risk Transactions</w:t>
      </w:r>
    </w:p>
    <w:p>
      <w:pPr>
        <w:spacing w:before="60" w:after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following transactions received the highest anomaly scores and warrant immediate investigation: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500"/>
        <w:gridCol w:w="1200"/>
        <w:gridCol w:w="1260"/>
        <w:gridCol w:w="1500"/>
      </w:tblGrid>
      <w:tr>
        <w:trPr>
          <w:tblHeader/>
        </w:trPr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Transaction ID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Login Attempts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Balance</w:t>
            </w:r>
          </w:p>
        </w:tc>
        <w:tc>
          <w:tcPr>
            <w:tcW w:type="dxa" w:w="1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Ratio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 Score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TX000275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$1,176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$324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3.63×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TX000899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$1,531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$860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1.78×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0.999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TX000615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$1,342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$694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1.93×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0.900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TX000148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$515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$422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1.22×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0.883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TX002087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$1,193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$325</w:t>
            </w:r>
          </w:p>
        </w:tc>
        <w:tc>
          <w:tcPr>
            <w:tcW w:type="dxa" w:w="1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3.67×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0.864</w:t>
            </w:r>
          </w:p>
        </w:tc>
      </w:tr>
    </w:tbl>
    <w:p>
      <w:pPr>
        <w:spacing w:before="80" w:after="0"/>
      </w:pPr>
    </w:p>
    <w:p>
      <w:pPr>
        <w:spacing w:before="40" w:after="8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TX000275 is the single most suspicious transaction: a $1,176 charge after 5 failed login attempts against a $324 account balance — spending 3.63 times what is available. TX002274 (not shown above) has the highest Amount/Balance Ratio in the entire dataset at 7.9× in an 11-second session.</w:t>
      </w:r>
    </w:p>
    <w:p>
      <w:r>
        <w:br w:type="page"/>
      </w:r>
    </w:p>
    <w:p>
      <w:pPr>
        <w:pStyle w:val="Heading1"/>
        <w:pBdr>
          <w:bottom w:val="single" w:color="2563EB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Model Validation</w:t>
      </w:r>
    </w:p>
    <w:p>
      <w:pPr>
        <w:spacing w:before="60"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Without confirmed fraud labels, we validated the model using an independent second detector (Local Outlier Factor) as a proxy ground-truth, alongside statistical and stability tests. The results give us high confidence the model is identifying genuinely suspicious behaviour rather than random noise.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Evaluation Test</w:t>
            </w:r>
          </w:p>
        </w:tc>
        <w:tc>
          <w:tcPr>
            <w:tcW w:type="dxa" w:w="3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it measures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ROC-AUC vs LOF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Discrimination ability vs independent detector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Run notebook for value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PR-AUC vs LOF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Precision-recall balance (key for imbalanced data)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Run notebook for value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Silhouette Score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Quality of normal vs anomaly cluster separation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Run notebook for value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Detector Agreement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% transactions both ISO and LOF agree on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Run notebook for value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Bootstrap Stability (50 runs)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Score consistency across random seeds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Low variance = reliable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Contamination Sweep (2–10%)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Consistent detection across assumptions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~40–60 flagged at all levels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Feature Permutation Importance</w:t>
            </w:r>
          </w:p>
        </w:tc>
        <w:tc>
          <w:tcPr>
            <w:tcW w:type="dxa" w:w="3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Which features drive detection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Amount/Balance Ratio = #1</w:t>
            </w:r>
          </w:p>
        </w:tc>
      </w:tr>
    </w:tbl>
    <w:p>
      <w:pPr>
        <w:spacing w:before="10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Three-Tier Operating Thresholds</w:t>
      </w:r>
    </w:p>
    <w:p>
      <w:pPr>
        <w:spacing w:before="60" w:after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Based on threshold optimisation analysis, we recommend replacing a binary flag/no-flag system with three graduated tiers: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200"/>
        <w:gridCol w:w="15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Est. Volume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Analyst Load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✅  Auto-Approve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0.45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Process normally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~90%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⚠️  Soft Flag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0.45 – 0.75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Step-up authentication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~5%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9"/>
                <w:szCs w:val="19"/>
              </w:rPr>
              <w:t xml:space="preserve">Optional review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🚫  Hard Block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≥ 0.75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Suspend — human review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~5%</w:t>
            </w:r>
          </w:p>
        </w:tc>
        <w:tc>
          <w:tcPr>
            <w:tcW w:type="dxa" w:w="1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19"/>
                <w:szCs w:val="19"/>
              </w:rPr>
              <w:t xml:space="preserve">Priority queue</w:t>
            </w:r>
          </w:p>
        </w:tc>
      </w:tr>
    </w:tbl>
    <w:p>
      <w:pPr>
        <w:spacing w:before="60" w:after="0"/>
      </w:pPr>
    </w:p>
    <w:p>
      <w:pPr>
        <w:spacing w:before="40" w:after="80" w:line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This three-tier system is estimated to reduce analyst review workload by 60–70% compared to reviewing all flagged transactions, while maintaining coverage of the highest-risk cases.</w:t>
      </w:r>
    </w:p>
    <w:p>
      <w:pPr>
        <w:pStyle w:val="Heading1"/>
        <w:pBdr>
          <w:bottom w:val="single" w:color="2563EB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Business Impact</w:t>
      </w:r>
    </w:p>
    <w:p>
      <w:pPr>
        <w:spacing w:before="60" w:after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We modelled the financial value of deploying this system using conservative assumptions: $12 analyst review cost per case, $8 false-positive friction cost per blocked legitimate customer, and a 70% fraud recovery rate.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9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32"/>
                <w:szCs w:val="32"/>
              </w:rPr>
              <w:t xml:space="preserve">$~45K+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Fraud Potentially Recovered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At optimal threshold</w:t>
            </w:r>
          </w:p>
        </w:tc>
        <w:tc>
          <w:tcPr>
            <w:tcW w:type="dxa" w:w="29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32"/>
                <w:szCs w:val="32"/>
              </w:rPr>
              <w:t xml:space="preserve">$~5K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Review + Friction Costs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Analyst + FP costs</w:t>
            </w:r>
          </w:p>
        </w:tc>
        <w:tc>
          <w:tcPr>
            <w:tcW w:type="dxa" w:w="29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20" w:after="2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32"/>
                <w:szCs w:val="32"/>
              </w:rPr>
              <w:t xml:space="preserve">Positive ROI</w:t>
            </w:r>
          </w:p>
          <w:p>
            <w:pPr>
              <w:spacing w:before="80" w:after="80" w:line="2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Estimated Net Value</w:t>
            </w:r>
          </w:p>
          <w:p>
            <w:pPr>
              <w:spacing w:before="80" w:after="20" w:line="2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See notebook Section 12</w:t>
            </w:r>
          </w:p>
        </w:tc>
      </w:tr>
    </w:tbl>
    <w:p>
      <w:pPr>
        <w:spacing w:before="100" w:after="0"/>
      </w:pPr>
    </w:p>
    <w:p>
      <w:pPr>
        <w:spacing w:before="40" w:after="80" w:line="27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Note: Final net value figures are computed dynamically in the notebook (Section 12) against the specific dataset. The framework is fully configurable — update the cost assumptions to reflect your organisation's actual analyst hourly rate, churn cost per false positive, and fraud recovery capabilities.</w:t>
      </w:r>
    </w:p>
    <w:p>
      <w:pPr>
        <w:pStyle w:val="Heading1"/>
        <w:pBdr>
          <w:bottom w:val="single" w:color="2563EB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24"/>
              <w:bottom w:val="single" w:color="1B3A6B" w:sz="4"/>
              <w:right w:val="single" w:color="1B3A6B" w:sz="4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8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3"/>
                <w:szCs w:val="23"/>
              </w:rPr>
              <w:t xml:space="preserve">🔒  Security — Stop Fraud in Real Time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Implement a real-time hard block when Amount/Balance Ratio &gt; 1.0 — require biometric or OTP before processing. This single rule would have intercepted ~40% of the highest-scoring anomalies.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Throttle login attempts: trigger CAPTCHA after 2 failures, temporary lockout after 3, and flag any subsequent transaction from that session for mandatory review.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Apply rolling 24-hour velocity caps: flag transactions exceeding 3× the account's 30-day mean amount and require out-of-band confirmation via SMS/email.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24"/>
              <w:bottom w:val="single" w:color="2563EB" w:sz="4"/>
              <w:right w:val="single" w:color="2563EB" w:sz="4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8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3"/>
                <w:szCs w:val="23"/>
              </w:rPr>
              <w:t xml:space="preserve">🛡️  Trust — Protect the Customer Relationship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Deploy graduated friction (three-tier system above) rather than binary block/allow — reduces customer frustration from false positives while maintaining strong fraud protection.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Send instant, plain-language push alerts when a transaction is held, showing the reason in simple terms ('Unusual amount for your account') with a one-tap dispute button.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Consider a customer-facing 'Account Security' score so users can see anomalous activity before it becomes fraud — proactive transparency builds lasting trust.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EFF6FF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pPr>
              <w:spacing w:before="80" w:after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3"/>
                <w:szCs w:val="23"/>
              </w:rPr>
              <w:t xml:space="preserve">⚙️  Efficiency — Optimise Operations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Sort the 126 flagged transactions by Anomaly Score descending — investigators should begin with the top 20 (score ≥ 0.85). These cases have the strongest evidence and highest expected recovery value.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Enrich the model with device fingerprint consistency, geo-velocity (distance between consecutive transactions), and merchant category codes. These additions are expected to reduce false positives by 20–30%.</w:t>
            </w:r>
          </w:p>
          <w:p>
            <w:pPr>
              <w:spacing w:before="20" w:after="20" w:line="27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Schedule monthly model retraining on newly labelled outcomes (reviewed flags) and monitor score-distribution drift as a model health KPI — fraud tactics evolve and the model must evolve with them.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563EB" w:sz="10" w:space="6"/>
        </w:pBdr>
        <w:spacing w:before="320" w:after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Recommended Next Steps</w:t>
      </w:r>
    </w:p>
    <w:p>
      <w:pPr>
        <w:spacing w:before="60" w:after="80" w:line="2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We recommend the following prioritised actions: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20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1 — Critical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Manual review of top 20 transactions (score ≥ 0.85)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Fraud Operations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>2 — High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Deploy Amount/Balance Ratio &gt; 1.0 real-time block rule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3 — High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Implement login attempt throttling (2-attempt trigger)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4 — Medium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Deploy three-tier score threshold system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Engineering / Risk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 weeks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5 — Medium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Begin label collection on reviewed cases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Fraud Operations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Ongoing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6 — Standard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Enrich model with device + geo features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Data Science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6–8 weeks</w:t>
            </w:r>
          </w:p>
        </w:tc>
      </w:tr>
      <w:t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>7 — Standard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Set up monthly retraining pipeline + drift monitoring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Data Science</w:t>
            </w:r>
          </w:p>
        </w:tc>
        <w:tc>
          <w:tcPr>
            <w:tcW w:type="dxa" w:w="22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Q2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before="8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Analysis methodology: Isolation Forest (scikit-learn) · Python 3.10 · pandas · matplotlib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1D5DB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7"/>
                <w:szCs w:val="17"/>
              </w:rPr>
              <w:t xml:space="preserve">Full technical details: fraud_anomaly_detection.ipynb</w:t>
            </w:r>
          </w:p>
          <w:p>
            <w:pPr>
              <w:spacing w:before="40" w:after="8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This document is confidential and intended solely for internal leadership and risk management use.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2026-02-17T07:01:11.282Z</dcterms:created>
  <dcterms:modified xsi:type="dcterms:W3CDTF">2026-02-17T07:01:11.283Z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