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276" w:lineRule="auto"/>
      </w:pPr>
      <w:r>
        <w:rPr>
          <w:rFonts w:ascii="NanumGothic" w:hAnsi="NanumGothic" w:eastAsia="NanumGothic"/>
          <w:b/>
          <w:color w:val="233847"/>
          <w:sz w:val="42"/>
        </w:rPr>
        <w:t>주식 증여계약서</w:t>
      </w:r>
    </w:p>
    <w:p>
      <w:pPr>
        <w:spacing w:after="200" w:before="0" w:line="276" w:lineRule="auto"/>
      </w:pPr>
      <w:r>
        <w:rPr>
          <w:rFonts w:ascii="NanumGothic" w:hAnsi="NanumGothic" w:eastAsia="NanumGothic"/>
          <w:b w:val="0"/>
          <w:color w:val="66717A"/>
          <w:sz w:val="18"/>
        </w:rPr>
        <w:t>[대괄호] 부분을 실제 사실과 합의 내용으로 바꾸고, 적용 범위를 먼저 확인하세요.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4082"/>
        <w:gridCol w:w="4082"/>
      </w:tblGrid>
      <w:tr>
        <w:trPr>
          <w:cantSplit/>
          <w:tblHeader/>
        </w:trPr>
        <w:tc>
          <w:tcPr>
            <w:tcW w:type="dxa" w:w="1587"/>
            <w:vAlign w:val="center"/>
            <w:shd w:fill="23384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4082"/>
            <w:vAlign w:val="center"/>
            <w:shd w:fill="23384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/>
                <w:color w:val="FFFFFF"/>
                <w:sz w:val="19"/>
              </w:rPr>
              <w:t>증여자 (갑)</w:t>
            </w:r>
          </w:p>
        </w:tc>
        <w:tc>
          <w:tcPr>
            <w:tcW w:type="dxa" w:w="4082"/>
            <w:vAlign w:val="center"/>
            <w:shd w:fill="23384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/>
                <w:color w:val="FFFFFF"/>
                <w:sz w:val="19"/>
              </w:rPr>
              <w:t>수증자 (을)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5F1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9"/>
              </w:rPr>
              <w:t>성명</w:t>
            </w:r>
          </w:p>
        </w:tc>
        <w:tc>
          <w:tcPr>
            <w:tcW w:type="dxa" w:w="4082"/>
            <w:vAlign w:val="center"/>
            <w:shd w:fill="F5F1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9"/>
              </w:rPr>
              <w:t>[증여자 성명]</w:t>
            </w:r>
          </w:p>
        </w:tc>
        <w:tc>
          <w:tcPr>
            <w:tcW w:type="dxa" w:w="4082"/>
            <w:vAlign w:val="center"/>
            <w:shd w:fill="F5F1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9"/>
              </w:rPr>
              <w:t>[수증자 성명]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9"/>
              </w:rPr>
              <w:t>생년월일</w:t>
            </w:r>
          </w:p>
        </w:tc>
        <w:tc>
          <w:tcPr>
            <w:tcW w:type="dxa" w:w="4082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9"/>
              </w:rPr>
              <w:t>[생년월일]</w:t>
            </w:r>
          </w:p>
        </w:tc>
        <w:tc>
          <w:tcPr>
            <w:tcW w:type="dxa" w:w="4082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9"/>
              </w:rPr>
              <w:t>[생년월일]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5F1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9"/>
              </w:rPr>
              <w:t>주소</w:t>
            </w:r>
          </w:p>
        </w:tc>
        <w:tc>
          <w:tcPr>
            <w:tcW w:type="dxa" w:w="4082"/>
            <w:vAlign w:val="center"/>
            <w:shd w:fill="F5F1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9"/>
              </w:rPr>
              <w:t>[주소]</w:t>
            </w:r>
          </w:p>
        </w:tc>
        <w:tc>
          <w:tcPr>
            <w:tcW w:type="dxa" w:w="4082"/>
            <w:vAlign w:val="center"/>
            <w:shd w:fill="F5F1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9"/>
              </w:rPr>
              <w:t>[주소]</w:t>
            </w:r>
          </w:p>
        </w:tc>
      </w:tr>
    </w:tbl>
    <w:p>
      <w:pPr>
        <w:spacing w:after="20" w:before="0" w:line="276" w:lineRule="auto"/>
      </w:pPr>
      <w:r>
        <w:rPr>
          <w:rFonts w:ascii="NanumGothic" w:hAnsi="NanumGothic" w:eastAsia="NanumGothic"/>
          <w:b w:val="0"/>
          <w:color w:val="233847"/>
          <w:sz w:val="6"/>
        </w:rPr>
      </w:r>
    </w:p>
    <w:p>
      <w:pPr>
        <w:spacing w:after="100" w:before="0" w:line="276" w:lineRule="auto"/>
      </w:pPr>
      <w:r>
        <w:rPr>
          <w:rFonts w:ascii="NanumGothic" w:hAnsi="NanumGothic" w:eastAsia="NanumGothic"/>
          <w:b w:val="0"/>
          <w:color w:val="A34531"/>
          <w:sz w:val="18"/>
        </w:rPr>
        <w:t>적용 범위: 주식의 무상 이전을 준비하는 참고 초안. 주권 발행·전자등록·정관·주주 간 약정 등에 따른 실제 이전 요건은 별도 확인합니다.</w:t>
      </w:r>
    </w:p>
    <w:p>
      <w:pPr>
        <w:keepNext/>
        <w:spacing w:after="100" w:before="160" w:line="276" w:lineRule="auto"/>
      </w:pPr>
      <w:r>
        <w:rPr>
          <w:rFonts w:ascii="NanumGothic" w:hAnsi="NanumGothic" w:eastAsia="NanumGothic"/>
          <w:b/>
          <w:color w:val="233847"/>
          <w:sz w:val="23"/>
        </w:rPr>
        <w:t>제1조  증여와 승낙</w:t>
      </w:r>
    </w:p>
    <w:p>
      <w:pPr>
        <w:spacing w:after="100" w:before="0" w:line="276" w:lineRule="auto"/>
      </w:pPr>
      <w:r>
        <w:rPr>
          <w:rFonts w:ascii="NanumGothic" w:hAnsi="NanumGothic" w:eastAsia="NanumGothic"/>
          <w:b w:val="0"/>
          <w:color w:val="233847"/>
          <w:sz w:val="21"/>
        </w:rPr>
        <w:t>갑은 아래 표시한 주식을 을에게 무상으로 증여하고, 을은 이를 승낙한다.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7313"/>
      </w:tblGrid>
      <w:tr>
        <w:trPr>
          <w:cantSplit/>
          <w:tblHeader/>
        </w:trPr>
        <w:tc>
          <w:tcPr>
            <w:tcW w:type="dxa" w:w="2438"/>
            <w:vAlign w:val="center"/>
            <w:shd w:fill="23384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표시 항목</w:t>
            </w:r>
          </w:p>
        </w:tc>
        <w:tc>
          <w:tcPr>
            <w:tcW w:type="dxa" w:w="7313"/>
            <w:vAlign w:val="center"/>
            <w:shd w:fill="23384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합의 내용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5F1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8"/>
              </w:rPr>
              <w:t>발행회사</w:t>
            </w:r>
          </w:p>
        </w:tc>
        <w:tc>
          <w:tcPr>
            <w:tcW w:type="dxa" w:w="7313"/>
            <w:vAlign w:val="center"/>
            <w:shd w:fill="F5F1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8"/>
              </w:rPr>
              <w:t>[상호·본점·법인등록번호 (로컬 작성)]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8"/>
              </w:rPr>
              <w:t>종류·수량</w:t>
            </w:r>
          </w:p>
        </w:tc>
        <w:tc>
          <w:tcPr>
            <w:tcW w:type="dxa" w:w="731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8"/>
              </w:rPr>
              <w:t>[주식 종류·주식수]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5F1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8"/>
              </w:rPr>
              <w:t>1주당 액면금액</w:t>
            </w:r>
          </w:p>
        </w:tc>
        <w:tc>
          <w:tcPr>
            <w:tcW w:type="dxa" w:w="7313"/>
            <w:vAlign w:val="center"/>
            <w:shd w:fill="F5F1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8"/>
              </w:rPr>
              <w:t>[원. 액면주식인 경우]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8"/>
              </w:rPr>
              <w:t>식별 방법</w:t>
            </w:r>
          </w:p>
        </w:tc>
        <w:tc>
          <w:tcPr>
            <w:tcW w:type="dxa" w:w="731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8"/>
              </w:rPr>
              <w:t>[주권번호 또는 계좌·전자등록 등]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5F1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8"/>
              </w:rPr>
              <w:t>현재 권리·제한</w:t>
            </w:r>
          </w:p>
        </w:tc>
        <w:tc>
          <w:tcPr>
            <w:tcW w:type="dxa" w:w="7313"/>
            <w:vAlign w:val="center"/>
            <w:shd w:fill="F5F1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8"/>
              </w:rPr>
              <w:t>[담보·양도제한·승인 필요 여부]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8"/>
              </w:rPr>
              <w:t>이전 예정일</w:t>
            </w:r>
          </w:p>
        </w:tc>
        <w:tc>
          <w:tcPr>
            <w:tcW w:type="dxa" w:w="731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8"/>
              </w:rPr>
              <w:t>[YYYY-MM-DD]</w:t>
            </w:r>
          </w:p>
        </w:tc>
      </w:tr>
    </w:tbl>
    <w:p>
      <w:pPr>
        <w:spacing w:after="20" w:before="0" w:line="276" w:lineRule="auto"/>
      </w:pPr>
      <w:r>
        <w:rPr>
          <w:rFonts w:ascii="NanumGothic" w:hAnsi="NanumGothic" w:eastAsia="NanumGothic"/>
          <w:b w:val="0"/>
          <w:color w:val="233847"/>
          <w:sz w:val="6"/>
        </w:rPr>
      </w:r>
    </w:p>
    <w:p>
      <w:pPr>
        <w:keepNext/>
        <w:spacing w:after="100" w:before="160" w:line="276" w:lineRule="auto"/>
      </w:pPr>
      <w:r>
        <w:rPr>
          <w:rFonts w:ascii="NanumGothic" w:hAnsi="NanumGothic" w:eastAsia="NanumGothic"/>
          <w:b/>
          <w:color w:val="233847"/>
          <w:sz w:val="23"/>
        </w:rPr>
        <w:t>제2조  이전 이행과 주주명부</w:t>
      </w:r>
    </w:p>
    <w:p>
      <w:pPr>
        <w:spacing w:after="100" w:before="0" w:line="276" w:lineRule="auto"/>
      </w:pPr>
      <w:r>
        <w:rPr>
          <w:rFonts w:ascii="NanumGothic" w:hAnsi="NanumGothic" w:eastAsia="NanumGothic"/>
          <w:b w:val="0"/>
          <w:color w:val="233847"/>
          <w:sz w:val="21"/>
        </w:rPr>
        <w:t>당사자는 대상 주식의 실제 상태에 맞는 인도·계좌대체 등 이전 방법과 필요한 승인 여부를 확인하여 이행한다. 회사에 대한 주주권 행사에 필요한 명의개서 등 절차도 별도로 확인하고 협력한다.</w:t>
      </w:r>
    </w:p>
    <w:p>
      <w:pPr>
        <w:keepNext/>
        <w:spacing w:after="100" w:before="160" w:line="276" w:lineRule="auto"/>
      </w:pPr>
      <w:r>
        <w:rPr>
          <w:rFonts w:ascii="NanumGothic" w:hAnsi="NanumGothic" w:eastAsia="NanumGothic"/>
          <w:b/>
          <w:color w:val="233847"/>
          <w:sz w:val="23"/>
        </w:rPr>
        <w:t>제3조  평가와 신고</w:t>
      </w:r>
    </w:p>
    <w:p>
      <w:pPr>
        <w:spacing w:after="100" w:before="0" w:line="276" w:lineRule="auto"/>
      </w:pPr>
      <w:r>
        <w:rPr>
          <w:rFonts w:ascii="NanumGothic" w:hAnsi="NanumGothic" w:eastAsia="NanumGothic"/>
          <w:b w:val="0"/>
          <w:color w:val="233847"/>
          <w:sz w:val="21"/>
        </w:rPr>
        <w:t>주식수 및 액면금액과 세무상 평가액은 구분한다. 당사자는 증여일·재산평가·과거 증여·신고 필요를 검토하고, 가업승계 특례는 별도로 요건을 확인한다.</w:t>
      </w:r>
    </w:p>
    <w:p>
      <w:pPr>
        <w:keepNext/>
        <w:spacing w:after="100" w:before="160" w:line="276" w:lineRule="auto"/>
      </w:pPr>
      <w:r>
        <w:rPr>
          <w:rFonts w:ascii="NanumGothic" w:hAnsi="NanumGothic" w:eastAsia="NanumGothic"/>
          <w:b/>
          <w:color w:val="233847"/>
          <w:sz w:val="23"/>
        </w:rPr>
        <w:t>제4조  부수 권리와 추가 합의</w:t>
      </w:r>
    </w:p>
    <w:p>
      <w:pPr>
        <w:spacing w:after="100" w:before="0" w:line="276" w:lineRule="auto"/>
      </w:pPr>
      <w:r>
        <w:rPr>
          <w:rFonts w:ascii="NanumGothic" w:hAnsi="NanumGothic" w:eastAsia="NanumGothic"/>
          <w:b w:val="0"/>
          <w:color w:val="233847"/>
          <w:sz w:val="21"/>
        </w:rPr>
        <w:t>[배당 등 부수 권리의 귀속과 특약]</w:t>
      </w:r>
    </w:p>
    <w:p>
      <w:pPr>
        <w:spacing w:after="160" w:before="0" w:line="276" w:lineRule="auto"/>
      </w:pPr>
      <w:r>
        <w:rPr>
          <w:rFonts w:ascii="NanumGothic" w:hAnsi="NanumGothic" w:eastAsia="NanumGothic"/>
          <w:b/>
          <w:color w:val="233847"/>
          <w:sz w:val="21"/>
        </w:rPr>
        <w:t>작성일: [YYYY년 MM월 DD일]</w:t>
      </w:r>
    </w:p>
    <w:p>
      <w:pPr>
        <w:spacing w:after="180" w:before="0" w:line="276" w:lineRule="auto"/>
      </w:pPr>
      <w:r>
        <w:rPr>
          <w:rFonts w:ascii="NanumGothic" w:hAnsi="NanumGothic" w:eastAsia="NanumGothic"/>
          <w:b w:val="0"/>
          <w:color w:val="233847"/>
          <w:sz w:val="21"/>
        </w:rPr>
        <w:t>갑  [증여자 성명]    (서명 또는 날인:                         )</w:t>
      </w:r>
    </w:p>
    <w:p>
      <w:pPr>
        <w:spacing w:after="180" w:before="0" w:line="276" w:lineRule="auto"/>
      </w:pPr>
      <w:r>
        <w:rPr>
          <w:rFonts w:ascii="NanumGothic" w:hAnsi="NanumGothic" w:eastAsia="NanumGothic"/>
          <w:b w:val="0"/>
          <w:color w:val="233847"/>
          <w:sz w:val="21"/>
        </w:rPr>
        <w:t>을  [수증자 성명]    (서명 또는 날인:                         )</w:t>
      </w:r>
    </w:p>
    <w:p>
      <w:r>
        <w:br w:type="page"/>
      </w:r>
    </w:p>
    <w:p>
      <w:pPr>
        <w:spacing w:after="80" w:before="0" w:line="276" w:lineRule="auto"/>
      </w:pPr>
      <w:r>
        <w:rPr>
          <w:rFonts w:ascii="NanumGothic" w:hAnsi="NanumGothic" w:eastAsia="NanumGothic"/>
          <w:b/>
          <w:color w:val="233847"/>
          <w:sz w:val="36"/>
        </w:rPr>
        <w:t>작성 안내 · 적용 범위</w:t>
      </w:r>
    </w:p>
    <w:p>
      <w:pPr>
        <w:spacing w:after="180" w:before="0" w:line="276" w:lineRule="auto"/>
      </w:pPr>
      <w:r>
        <w:rPr>
          <w:rFonts w:ascii="NanumGothic" w:hAnsi="NanumGothic" w:eastAsia="NanumGothic"/>
          <w:b/>
          <w:color w:val="A34531"/>
          <w:sz w:val="22"/>
        </w:rPr>
        <w:t>주식 증여계약서</w:t>
      </w:r>
    </w:p>
    <w:p>
      <w:pPr>
        <w:spacing w:after="160" w:before="0" w:line="276" w:lineRule="auto"/>
      </w:pPr>
      <w:r>
        <w:rPr>
          <w:rFonts w:ascii="NanumGothic" w:hAnsi="NanumGothic" w:eastAsia="NanumGothic"/>
          <w:b w:val="0"/>
          <w:color w:val="66717A"/>
          <w:sz w:val="18"/>
        </w:rPr>
        <w:t>이 안내쪽은 계약·협의의 본문이 아닙니다. 본문·별지를 작성하기 전에 읽고, 실제 서명본에서는 안내쪽을 별도로 보관하세요.</w:t>
      </w:r>
    </w:p>
    <w:p>
      <w:pPr>
        <w:keepNext/>
        <w:spacing w:after="100" w:before="160" w:line="276" w:lineRule="auto"/>
      </w:pPr>
      <w:r>
        <w:rPr>
          <w:rFonts w:ascii="NanumGothic" w:hAnsi="NanumGothic" w:eastAsia="NanumGothic"/>
          <w:b/>
          <w:color w:val="233847"/>
          <w:sz w:val="23"/>
        </w:rPr>
        <w:t>1. 이 양식이 다루는 범위</w:t>
      </w:r>
    </w:p>
    <w:p>
      <w:pPr>
        <w:spacing w:after="100" w:before="0" w:line="276" w:lineRule="auto"/>
      </w:pPr>
      <w:r>
        <w:rPr>
          <w:rFonts w:ascii="NanumGothic" w:hAnsi="NanumGothic" w:eastAsia="NanumGothic"/>
          <w:b w:val="0"/>
          <w:color w:val="233847"/>
          <w:sz w:val="21"/>
        </w:rPr>
        <w:t>현금 증여계약서로 대체하기 어려운 주식의 발행회사·종류·주식수·이전 절차를 명확히 하기 위한 자체 참고 양식입니다.</w:t>
      </w:r>
    </w:p>
    <w:p>
      <w:pPr>
        <w:keepNext/>
        <w:spacing w:after="100" w:before="160" w:line="276" w:lineRule="auto"/>
      </w:pPr>
      <w:r>
        <w:rPr>
          <w:rFonts w:ascii="NanumGothic" w:hAnsi="NanumGothic" w:eastAsia="NanumGothic"/>
          <w:b/>
          <w:color w:val="233847"/>
          <w:sz w:val="23"/>
        </w:rPr>
        <w:t>2. 작성 순서</w:t>
      </w:r>
    </w:p>
    <w:p>
      <w:pPr>
        <w:spacing w:after="120" w:before="0" w:line="276" w:lineRule="auto"/>
      </w:pPr>
      <w:r>
        <w:rPr>
          <w:rFonts w:ascii="NanumGothic" w:hAnsi="NanumGothic" w:eastAsia="NanumGothic"/>
          <w:b w:val="0"/>
          <w:color w:val="233847"/>
          <w:sz w:val="20"/>
        </w:rPr>
        <w:t>1) 대상 회사와 증여 주식수를 현재 주주명부·증권자료와 대조합니다.</w:t>
      </w:r>
    </w:p>
    <w:p>
      <w:pPr>
        <w:spacing w:after="120" w:before="0" w:line="276" w:lineRule="auto"/>
      </w:pPr>
      <w:r>
        <w:rPr>
          <w:rFonts w:ascii="NanumGothic" w:hAnsi="NanumGothic" w:eastAsia="NanumGothic"/>
          <w:b w:val="0"/>
          <w:color w:val="233847"/>
          <w:sz w:val="20"/>
        </w:rPr>
        <w:t>2) 주권 발행·전자등록 상태와 정관·주주 간 약정 등을 확인하고 적합한 이전·명의개서 절차를 정합니다.</w:t>
      </w:r>
    </w:p>
    <w:p>
      <w:pPr>
        <w:spacing w:after="120" w:before="0" w:line="276" w:lineRule="auto"/>
      </w:pPr>
      <w:r>
        <w:rPr>
          <w:rFonts w:ascii="NanumGothic" w:hAnsi="NanumGothic" w:eastAsia="NanumGothic"/>
          <w:b w:val="0"/>
          <w:color w:val="233847"/>
          <w:sz w:val="20"/>
        </w:rPr>
        <w:t>3) 증여세 신고자료 및 가업승계 특례를 검토하는 경우 그 별도 신청자료를 준비합니다. [NTS-G]</w:t>
      </w:r>
    </w:p>
    <w:p>
      <w:pPr>
        <w:keepNext/>
        <w:spacing w:after="100" w:before="160" w:line="276" w:lineRule="auto"/>
      </w:pPr>
      <w:r>
        <w:rPr>
          <w:rFonts w:ascii="NanumGothic" w:hAnsi="NanumGothic" w:eastAsia="NanumGothic"/>
          <w:b/>
          <w:color w:val="233847"/>
          <w:sz w:val="23"/>
        </w:rPr>
        <w:t>3. 사용 전 확인</w:t>
      </w:r>
    </w:p>
    <w:p>
      <w:pPr>
        <w:spacing w:after="120" w:before="0" w:line="276" w:lineRule="auto"/>
      </w:pPr>
      <w:r>
        <w:rPr>
          <w:rFonts w:ascii="NanumGothic" w:hAnsi="NanumGothic" w:eastAsia="NanumGothic"/>
          <w:b w:val="0"/>
          <w:color w:val="233847"/>
          <w:sz w:val="19"/>
        </w:rPr>
        <w:t>• 주주명부 변경만으로 모든 상황의 주식 이전 요건이 충족된다고 전제하지 않습니다.</w:t>
      </w:r>
    </w:p>
    <w:p>
      <w:pPr>
        <w:spacing w:after="120" w:before="0" w:line="276" w:lineRule="auto"/>
      </w:pPr>
      <w:r>
        <w:rPr>
          <w:rFonts w:ascii="NanumGothic" w:hAnsi="NanumGothic" w:eastAsia="NanumGothic"/>
          <w:b w:val="0"/>
          <w:color w:val="233847"/>
          <w:sz w:val="19"/>
        </w:rPr>
        <w:t>• 액면금액에 주식수를 곱한 값을 세법상 시가나 증여재산가액으로 확정하지 않습니다.</w:t>
      </w:r>
    </w:p>
    <w:p>
      <w:pPr>
        <w:spacing w:after="120" w:before="0" w:line="276" w:lineRule="auto"/>
      </w:pPr>
      <w:r>
        <w:rPr>
          <w:rFonts w:ascii="NanumGothic" w:hAnsi="NanumGothic" w:eastAsia="NanumGothic"/>
          <w:b w:val="0"/>
          <w:color w:val="233847"/>
          <w:sz w:val="19"/>
        </w:rPr>
        <w:t>• 스톡옵션·조합지분·해외주식·신탁·명의신탁 정리 등에는 이 양식을 그대로 적용하지 마세요.</w:t>
      </w:r>
    </w:p>
    <w:p>
      <w:pPr>
        <w:keepNext/>
        <w:spacing w:after="100" w:before="160" w:line="276" w:lineRule="auto"/>
      </w:pPr>
      <w:r>
        <w:rPr>
          <w:rFonts w:ascii="NanumGothic" w:hAnsi="NanumGothic" w:eastAsia="NanumGothic"/>
          <w:b/>
          <w:color w:val="233847"/>
          <w:sz w:val="23"/>
        </w:rPr>
        <w:t>4. 출처와 작성 책임의 구분</w:t>
      </w:r>
    </w:p>
    <w:p>
      <w:pPr>
        <w:spacing w:after="160" w:before="0" w:line="276" w:lineRule="auto"/>
      </w:pPr>
      <w:r>
        <w:rPr>
          <w:rFonts w:ascii="NanumGothic" w:hAnsi="NanumGothic" w:eastAsia="NanumGothic"/>
          <w:b w:val="0"/>
          <w:color w:val="233847"/>
          <w:sz w:val="18"/>
        </w:rPr>
        <w:t>아래 공식 안내의 서류 용도·확인 항목을 참고했습니다. 본문의 조항, 배열, 가상 예시는 자산승계360용으로 새로 작성한 참고 초안이며 기관 원본의 복제본이 아닙니다. 개별 사건의 법률·세무 검토는 완료되지 않았습니다.</w:t>
      </w:r>
    </w:p>
    <w:p>
      <w:pPr>
        <w:spacing w:after="60" w:before="0" w:line="276" w:lineRule="auto"/>
      </w:pPr>
      <w:r>
        <w:rPr>
          <w:rFonts w:ascii="NanumGothic" w:hAnsi="NanumGothic" w:eastAsia="NanumGothic"/>
          <w:b w:val="0"/>
          <w:color w:val="233847"/>
          <w:sz w:val="18"/>
        </w:rPr>
      </w:r>
      <w:hyperlink r:id="rId11">
        <w:r>
          <w:rPr>
            <w:color w:val="235C80"/>
          </w:rPr>
          <w:t>[NTS-G] 국세청 — 증여세 신고납부기한·제출대상서류</w:t>
        </w:r>
      </w:hyperlink>
    </w:p>
    <w:p>
      <w:pPr>
        <w:spacing w:after="120" w:before="0" w:line="276" w:lineRule="auto"/>
      </w:pPr>
      <w:r>
        <w:rPr>
          <w:rFonts w:ascii="NanumGothic" w:hAnsi="NanumGothic" w:eastAsia="NanumGothic"/>
          <w:b w:val="0"/>
          <w:color w:val="66717A"/>
          <w:sz w:val="16"/>
        </w:rPr>
        <w:t>https://www.nts.go.kr/nts/cm/cntnts/cntntsView.do?cntntsId=7727&amp;mi=2339</w:t>
      </w:r>
    </w:p>
    <w:p>
      <w:pPr>
        <w:spacing w:after="60" w:before="0" w:line="276" w:lineRule="auto"/>
      </w:pPr>
      <w:r>
        <w:rPr>
          <w:rFonts w:ascii="NanumGothic" w:hAnsi="NanumGothic" w:eastAsia="NanumGothic"/>
          <w:b w:val="0"/>
          <w:color w:val="233847"/>
          <w:sz w:val="18"/>
        </w:rPr>
      </w:r>
      <w:hyperlink r:id="rId12">
        <w:r>
          <w:rPr>
            <w:color w:val="235C80"/>
          </w:rPr>
          <w:t>[NTS-B] 국세청 — 가업상속공제 신고서 제출 안내</w:t>
        </w:r>
      </w:hyperlink>
    </w:p>
    <w:p>
      <w:pPr>
        <w:spacing w:after="120" w:before="0" w:line="276" w:lineRule="auto"/>
      </w:pPr>
      <w:r>
        <w:rPr>
          <w:rFonts w:ascii="NanumGothic" w:hAnsi="NanumGothic" w:eastAsia="NanumGothic"/>
          <w:b w:val="0"/>
          <w:color w:val="66717A"/>
          <w:sz w:val="16"/>
        </w:rPr>
        <w:t>https://www.nts.go.kr/nts/cm/cntnts/cntntsView.do?cntntsId=238919&amp;mi=40344</w:t>
      </w:r>
    </w:p>
    <w:p>
      <w:pPr>
        <w:spacing w:after="100" w:before="0" w:line="276" w:lineRule="auto"/>
      </w:pPr>
      <w:r>
        <w:rPr>
          <w:rFonts w:ascii="NanumGothic" w:hAnsi="NanumGothic" w:eastAsia="NanumGothic"/>
          <w:b w:val="0"/>
          <w:color w:val="66717A"/>
          <w:sz w:val="16"/>
        </w:rPr>
        <w:t>공식 안내 확인일 2026-09-13 | 최종 사용 시점의 법령·서식·제출기관 요구사항 재확인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077" w:bottom="964" w:left="107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anumGothic" w:hAnsi="NanumGothic" w:eastAsia="NanumGothic"/>
        <w:b w:val="0"/>
        <w:color w:val="66717A"/>
        <w:sz w:val="16"/>
      </w:rPr>
      <w:t xml:space="preserve">AS360-F04  |  v1.0 · 2026-09-13  |  전문가 검토 전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NanumGothic" w:hAnsi="NanumGothic" w:eastAsia="NanumGothic"/>
        <w:b/>
        <w:color w:val="233847"/>
        <w:sz w:val="18"/>
      </w:rPr>
      <w:t>자산승계 360  /  문서 자료실</w:t>
    </w:r>
    <w:r>
      <w:t xml:space="preserve">    </w:t>
    </w:r>
    <w:r>
      <w:rPr>
        <w:rFonts w:ascii="NanumGothic" w:hAnsi="NanumGothic" w:eastAsia="NanumGothic"/>
        <w:b w:val="0"/>
        <w:color w:val="A34531"/>
        <w:sz w:val="16"/>
      </w:rPr>
      <w:t>편집용 빈 양식 · 자체 참고 초안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Gothic" w:hAnsi="NanumGothic" w:eastAsia="Nanum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nts.go.kr/nts/cm/cntnts/cntntsView.do?cntntsId=7727&amp;mi=2339" TargetMode="External"/><Relationship Id="rId12" Type="http://schemas.openxmlformats.org/officeDocument/2006/relationships/hyperlink" Target="https://www.nts.go.kr/nts/cm/cntnts/cntntsView.do?cntntsId=238919&amp;mi=4034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주식 증여계약서</dc:title>
  <dc:subject>공식 안내를 참고하여 작성한 자체 양식. 기관 원본 및 전문가 승인본이 아님.</dc:subject>
  <dc:creator>자산승계360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