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A88"/>
          <w:sz w:val="34"/>
          <w:szCs w:val="34"/>
        </w:rPr>
        <w:t xml:space="preserve">CONTRAT DE MAINTENANCE FISCALE</w:t>
      </w:r>
    </w:p>
    <w:p>
      <w:pPr>
        <w:spacing w:after="300"/>
        <w:jc w:val="center"/>
      </w:pPr>
      <w:r>
        <w:rPr>
          <w:i/>
          <w:iCs/>
          <w:color w:val="1F2937"/>
          <w:sz w:val="22"/>
          <w:szCs w:val="22"/>
        </w:rPr>
        <w:t xml:space="preserve">Intervention d'urgence — Module S-MDF &amp; Signature Électronique NACEF</w:t>
      </w:r>
    </w:p>
    <w:p>
      <w:pPr>
        <w:pStyle w:val="Heading1"/>
        <w:spacing w:after="160" w:before="320"/>
      </w:pPr>
      <w:r>
        <w:rPr>
          <w:b/>
          <w:bCs/>
          <w:color w:val="2E5A88"/>
          <w:sz w:val="26"/>
          <w:szCs w:val="26"/>
        </w:rPr>
        <w:t xml:space="preserve">Entre les soussignés</w:t>
      </w:r>
    </w:p>
    <w:p>
      <w:pPr>
        <w:spacing w:after="100"/>
      </w:pPr>
      <w:r>
        <w:rPr>
          <w:b/>
          <w:bCs/>
          <w:sz w:val="21"/>
          <w:szCs w:val="21"/>
        </w:rPr>
        <w:t xml:space="preserve">Le Prestataire : </w:t>
      </w:r>
      <w:r>
        <w:rPr>
          <w:sz w:val="21"/>
          <w:szCs w:val="21"/>
        </w:rPr>
        <w:t xml:space="preserve">……………………………………………, dont le siège est situé à ……………………………, immatriculé sous le n° ……………………, représenté par ……………………………, ci-après désigné « le Prestataire »</w:t>
      </w:r>
    </w:p>
    <w:p>
      <w:pPr>
        <w:spacing w:after="140" w:line="300"/>
      </w:pPr>
      <w:r>
        <w:rPr>
          <w:sz w:val="21"/>
          <w:szCs w:val="21"/>
        </w:rPr>
        <w:t xml:space="preserve"/>
      </w:r>
    </w:p>
    <w:p>
      <w:pPr>
        <w:spacing w:after="140"/>
        <w:jc w:val="center"/>
      </w:pPr>
      <w:r>
        <w:rPr>
          <w:b/>
          <w:bCs/>
          <w:sz w:val="21"/>
          <w:szCs w:val="21"/>
        </w:rPr>
        <w:t xml:space="preserve">ET</w:t>
      </w:r>
    </w:p>
    <w:p>
      <w:pPr>
        <w:spacing w:after="100"/>
      </w:pPr>
      <w:r>
        <w:rPr>
          <w:b/>
          <w:bCs/>
          <w:sz w:val="21"/>
          <w:szCs w:val="21"/>
        </w:rPr>
        <w:t xml:space="preserve">Le Client : </w:t>
      </w:r>
      <w:r>
        <w:rPr>
          <w:sz w:val="21"/>
          <w:szCs w:val="21"/>
        </w:rPr>
        <w:t xml:space="preserve">……………………………………………, dont le siège est situé à ……………………………, immatriculé sous le n° ……………………, représenté par ……………………………, ci-après désigné « le Client »</w:t>
      </w:r>
    </w:p>
    <w:p>
      <w:pPr>
        <w:spacing w:after="140" w:line="300"/>
      </w:pPr>
      <w:r>
        <w:rPr>
          <w:sz w:val="21"/>
          <w:szCs w:val="21"/>
        </w:rPr>
        <w:t xml:space="preserve">Ci-après désignés ensemble « les Parties ».</w:t>
      </w:r>
    </w:p>
    <w:p>
      <w:pPr>
        <w:pStyle w:val="Heading1"/>
        <w:spacing w:after="160" w:before="320"/>
      </w:pPr>
      <w:r>
        <w:rPr>
          <w:b/>
          <w:bCs/>
          <w:color w:val="2E5A88"/>
          <w:sz w:val="26"/>
          <w:szCs w:val="26"/>
        </w:rPr>
        <w:t xml:space="preserve">Article 1 — Objet du contrat</w:t>
      </w:r>
    </w:p>
    <w:p>
      <w:pPr>
        <w:spacing w:after="140" w:line="300"/>
      </w:pPr>
      <w:r>
        <w:rPr>
          <w:sz w:val="21"/>
          <w:szCs w:val="21"/>
        </w:rPr>
        <w:t xml:space="preserve">Le présent contrat a pour objet de définir les conditions dans lesquelles le Prestataire assure la maintenance corrective, préventive et l'assistance technique du Client concernant :</w:t>
      </w:r>
    </w:p>
    <w:p>
      <w:pPr>
        <w:pStyle w:val="ListParagraph"/>
        <w:numPr>
          <w:ilvl w:val="0"/>
          <w:numId w:val="2"/>
        </w:numPr>
        <w:spacing w:after="80" w:line="280"/>
      </w:pPr>
      <w:r>
        <w:rPr>
          <w:sz w:val="21"/>
          <w:szCs w:val="21"/>
        </w:rPr>
        <w:t xml:space="preserve">le module de Suivi et Modification des Déclarations Fiscales (S-MDF) ;</w:t>
      </w:r>
    </w:p>
    <w:p>
      <w:pPr>
        <w:pStyle w:val="ListParagraph"/>
        <w:numPr>
          <w:ilvl w:val="0"/>
          <w:numId w:val="2"/>
        </w:numPr>
        <w:spacing w:after="80" w:line="280"/>
      </w:pPr>
      <w:r>
        <w:rPr>
          <w:sz w:val="21"/>
          <w:szCs w:val="21"/>
        </w:rPr>
        <w:t xml:space="preserve">le processus de signature électronique des factures et déclarations via le système NACEF (National Authentication and Certification Electronic Framework) ;</w:t>
      </w:r>
    </w:p>
    <w:p>
      <w:pPr>
        <w:pStyle w:val="ListParagraph"/>
        <w:numPr>
          <w:ilvl w:val="0"/>
          <w:numId w:val="2"/>
        </w:numPr>
        <w:spacing w:after="80" w:line="280"/>
      </w:pPr>
      <w:r>
        <w:rPr>
          <w:sz w:val="21"/>
          <w:szCs w:val="21"/>
        </w:rPr>
        <w:t xml:space="preserve">les interfaces, intégrations et flux de données associés à ces deux composants.</w:t>
      </w:r>
    </w:p>
    <w:p>
      <w:pPr>
        <w:spacing w:after="140" w:line="300"/>
      </w:pPr>
      <w:r>
        <w:rPr>
          <w:sz w:val="21"/>
          <w:szCs w:val="21"/>
        </w:rPr>
        <w:t xml:space="preserve">Le présent contrat garantit notamment une intervention d'urgence en cas d'incident bloquant affectant le S-MDF ou le processus de signature NACEF, empêchant le Client d'émettre, transmettre ou faire valider ses documents fiscaux.</w:t>
      </w:r>
    </w:p>
    <w:p>
      <w:pPr>
        <w:pStyle w:val="Heading1"/>
        <w:spacing w:after="160" w:before="320"/>
      </w:pPr>
      <w:r>
        <w:rPr>
          <w:b/>
          <w:bCs/>
          <w:color w:val="2E5A88"/>
          <w:sz w:val="26"/>
          <w:szCs w:val="26"/>
        </w:rPr>
        <w:t xml:space="preserve">Article 2 — Définitions</w:t>
      </w:r>
    </w:p>
    <w:p>
      <w:pPr>
        <w:pStyle w:val="ListParagraph"/>
        <w:numPr>
          <w:ilvl w:val="0"/>
          <w:numId w:val="2"/>
        </w:numPr>
        <w:spacing w:after="80" w:line="280"/>
      </w:pPr>
      <w:r>
        <w:rPr>
          <w:sz w:val="21"/>
          <w:szCs w:val="21"/>
        </w:rPr>
        <w:t xml:space="preserve">« Incident bloquant » : dysfonctionnement empêchant totalement l'utilisation du S-MDF ou du processus de signature NACEF, sans solution de contournement immédiate, et ayant un impact direct sur les obligations fiscales du Client (déclaration, facturation, signature électronique).</w:t>
      </w:r>
    </w:p>
    <w:p>
      <w:pPr>
        <w:pStyle w:val="ListParagraph"/>
        <w:numPr>
          <w:ilvl w:val="0"/>
          <w:numId w:val="2"/>
        </w:numPr>
        <w:spacing w:after="80" w:line="280"/>
      </w:pPr>
      <w:r>
        <w:rPr>
          <w:sz w:val="21"/>
          <w:szCs w:val="21"/>
        </w:rPr>
        <w:t xml:space="preserve">« Incident majeur » : dysfonctionnement dégradant significativement le service sans le rendre totalement inopérant, ou disposant d'une solution de contournement temporaire.</w:t>
      </w:r>
    </w:p>
    <w:p>
      <w:pPr>
        <w:pStyle w:val="ListParagraph"/>
        <w:numPr>
          <w:ilvl w:val="0"/>
          <w:numId w:val="2"/>
        </w:numPr>
        <w:spacing w:after="80" w:line="280"/>
      </w:pPr>
      <w:r>
        <w:rPr>
          <w:sz w:val="21"/>
          <w:szCs w:val="21"/>
        </w:rPr>
        <w:t xml:space="preserve">« Incident mineur » : anomalie n'affectant pas la production ni la conformité fiscale du Client.</w:t>
      </w:r>
    </w:p>
    <w:p>
      <w:pPr>
        <w:pStyle w:val="ListParagraph"/>
        <w:numPr>
          <w:ilvl w:val="0"/>
          <w:numId w:val="2"/>
        </w:numPr>
        <w:spacing w:after="80" w:line="280"/>
      </w:pPr>
      <w:r>
        <w:rPr>
          <w:sz w:val="21"/>
          <w:szCs w:val="21"/>
        </w:rPr>
        <w:t xml:space="preserve">« Heures ouvrées » : du lundi au vendredi, de 8h30 à 17h30 (heure de Tunis), hors jours fériés.</w:t>
      </w:r>
    </w:p>
    <w:p>
      <w:pPr>
        <w:pStyle w:val="Heading1"/>
        <w:spacing w:after="160" w:before="320"/>
      </w:pPr>
      <w:r>
        <w:rPr>
          <w:b/>
          <w:bCs/>
          <w:color w:val="2E5A88"/>
          <w:sz w:val="26"/>
          <w:szCs w:val="26"/>
        </w:rPr>
        <w:t xml:space="preserve">Article 3 — Obligations du Prestataire</w:t>
      </w:r>
    </w:p>
    <w:p>
      <w:pPr>
        <w:spacing w:after="140" w:line="300"/>
      </w:pPr>
      <w:r>
        <w:rPr>
          <w:sz w:val="21"/>
          <w:szCs w:val="21"/>
        </w:rPr>
        <w:t xml:space="preserve">Le Prestataire s'engage à :</w:t>
      </w:r>
    </w:p>
    <w:p>
      <w:pPr>
        <w:pStyle w:val="ListParagraph"/>
        <w:numPr>
          <w:ilvl w:val="0"/>
          <w:numId w:val="2"/>
        </w:numPr>
        <w:spacing w:after="80" w:line="280"/>
      </w:pPr>
      <w:r>
        <w:rPr>
          <w:sz w:val="21"/>
          <w:szCs w:val="21"/>
        </w:rPr>
        <w:t xml:space="preserve">maintenir en condition opérationnelle le module S-MDF et l'intégration au processus de signature NACEF ;</w:t>
      </w:r>
    </w:p>
    <w:p>
      <w:pPr>
        <w:pStyle w:val="ListParagraph"/>
        <w:numPr>
          <w:ilvl w:val="0"/>
          <w:numId w:val="2"/>
        </w:numPr>
        <w:spacing w:after="80" w:line="280"/>
      </w:pPr>
      <w:r>
        <w:rPr>
          <w:sz w:val="21"/>
          <w:szCs w:val="21"/>
        </w:rPr>
        <w:t xml:space="preserve">assurer une astreinte technique permettant la prise en charge des incidents bloquants dans les délais prévus à l'Article 4 ;</w:t>
      </w:r>
    </w:p>
    <w:p>
      <w:pPr>
        <w:pStyle w:val="ListParagraph"/>
        <w:numPr>
          <w:ilvl w:val="0"/>
          <w:numId w:val="2"/>
        </w:numPr>
        <w:spacing w:after="80" w:line="280"/>
      </w:pPr>
      <w:r>
        <w:rPr>
          <w:sz w:val="21"/>
          <w:szCs w:val="21"/>
        </w:rPr>
        <w:t xml:space="preserve">appliquer les correctifs, mises à jour réglementaires et évolutions imposées par les autorités fiscales tunisiennes ou l'opérateur NACEF ;</w:t>
      </w:r>
    </w:p>
    <w:p>
      <w:pPr>
        <w:pStyle w:val="ListParagraph"/>
        <w:numPr>
          <w:ilvl w:val="0"/>
          <w:numId w:val="2"/>
        </w:numPr>
        <w:spacing w:after="80" w:line="280"/>
      </w:pPr>
      <w:r>
        <w:rPr>
          <w:sz w:val="21"/>
          <w:szCs w:val="21"/>
        </w:rPr>
        <w:t xml:space="preserve">informer le Client de toute maintenance planifiée susceptible d'interrompre le service, avec un préavis raisonnable ;</w:t>
      </w:r>
    </w:p>
    <w:p>
      <w:pPr>
        <w:pStyle w:val="ListParagraph"/>
        <w:numPr>
          <w:ilvl w:val="0"/>
          <w:numId w:val="2"/>
        </w:numPr>
        <w:spacing w:after="80" w:line="280"/>
      </w:pPr>
      <w:r>
        <w:rPr>
          <w:sz w:val="21"/>
          <w:szCs w:val="21"/>
        </w:rPr>
        <w:t xml:space="preserve">fournir un rapport d'incident après toute intervention d'urgence, précisant la cause, la résolution et les mesures préventives.</w:t>
      </w:r>
    </w:p>
    <w:p>
      <w:pPr>
        <w:pStyle w:val="Heading1"/>
        <w:spacing w:after="160" w:before="320"/>
      </w:pPr>
      <w:r>
        <w:rPr>
          <w:b/>
          <w:bCs/>
          <w:color w:val="2E5A88"/>
          <w:sz w:val="26"/>
          <w:szCs w:val="26"/>
        </w:rPr>
        <w:t xml:space="preserve">Article 4 — Niveaux de service (SLA) et délais d'intervention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shd w:fill="2E5A88" w:val="clear"/>
            <w:tcMar>
              <w:top w:type="dxa" w:w="100"/>
              <w:left w:type="dxa" w:w="120"/>
              <w:bottom w:type="dxa" w:w="100"/>
              <w:right w:type="dxa" w:w="120"/>
            </w:tcMar>
          </w:tcPr>
          <w:p>
            <w:r>
              <w:rPr>
                <w:b/>
                <w:bCs/>
                <w:color w:val="FFFFFF"/>
                <w:sz w:val="20"/>
                <w:szCs w:val="20"/>
              </w:rPr>
              <w:t xml:space="preserve">Type d'incident</w:t>
            </w:r>
          </w:p>
        </w:tc>
        <w:tc>
          <w:tcPr>
            <w:tcW w:type="dxa" w:w="2320"/>
            <w:shd w:fill="2E5A88" w:val="clear"/>
            <w:tcMar>
              <w:top w:type="dxa" w:w="100"/>
              <w:left w:type="dxa" w:w="120"/>
              <w:bottom w:type="dxa" w:w="100"/>
              <w:right w:type="dxa" w:w="120"/>
            </w:tcMar>
          </w:tcPr>
          <w:p>
            <w:r>
              <w:rPr>
                <w:b/>
                <w:bCs/>
                <w:color w:val="FFFFFF"/>
                <w:sz w:val="20"/>
                <w:szCs w:val="20"/>
              </w:rPr>
              <w:t xml:space="preserve">Délai de prise en charge</w:t>
            </w:r>
          </w:p>
        </w:tc>
        <w:tc>
          <w:tcPr>
            <w:tcW w:type="dxa" w:w="2320"/>
            <w:shd w:fill="2E5A88" w:val="clear"/>
            <w:tcMar>
              <w:top w:type="dxa" w:w="100"/>
              <w:left w:type="dxa" w:w="120"/>
              <w:bottom w:type="dxa" w:w="100"/>
              <w:right w:type="dxa" w:w="120"/>
            </w:tcMar>
          </w:tcPr>
          <w:p>
            <w:r>
              <w:rPr>
                <w:b/>
                <w:bCs/>
                <w:color w:val="FFFFFF"/>
                <w:sz w:val="20"/>
                <w:szCs w:val="20"/>
              </w:rPr>
              <w:t xml:space="preserve">Délai de diagnostic</w:t>
            </w:r>
          </w:p>
        </w:tc>
        <w:tc>
          <w:tcPr>
            <w:tcW w:type="dxa" w:w="2320"/>
            <w:shd w:fill="2E5A88" w:val="clear"/>
            <w:tcMar>
              <w:top w:type="dxa" w:w="100"/>
              <w:left w:type="dxa" w:w="120"/>
              <w:bottom w:type="dxa" w:w="100"/>
              <w:right w:type="dxa" w:w="120"/>
            </w:tcMar>
          </w:tcPr>
          <w:p>
            <w:r>
              <w:rPr>
                <w:b/>
                <w:bCs/>
                <w:color w:val="FFFFFF"/>
                <w:sz w:val="20"/>
                <w:szCs w:val="20"/>
              </w:rPr>
              <w:t xml:space="preserve">Délai de résolution / contournement</w:t>
            </w:r>
          </w:p>
        </w:tc>
      </w:tr>
      <w:tr>
        <w:tc>
          <w:tcPr>
            <w:tcW w:type="dxa" w:w="2400"/>
            <w:tcMar>
              <w:top w:type="dxa" w:w="100"/>
              <w:left w:type="dxa" w:w="120"/>
              <w:bottom w:type="dxa" w:w="100"/>
              <w:right w:type="dxa" w:w="120"/>
            </w:tcMar>
          </w:tcPr>
          <w:p>
            <w:r>
              <w:rPr>
                <w:b w:val="false"/>
                <w:bCs w:val="false"/>
                <w:color w:val="1F2937"/>
                <w:sz w:val="20"/>
                <w:szCs w:val="20"/>
              </w:rPr>
              <w:t xml:space="preserve">Bloquant (S-MDF / NACEF)</w:t>
            </w:r>
          </w:p>
        </w:tc>
        <w:tc>
          <w:tcPr>
            <w:tcW w:type="dxa" w:w="2320"/>
            <w:tcMar>
              <w:top w:type="dxa" w:w="100"/>
              <w:left w:type="dxa" w:w="120"/>
              <w:bottom w:type="dxa" w:w="100"/>
              <w:right w:type="dxa" w:w="120"/>
            </w:tcMar>
          </w:tcPr>
          <w:p>
            <w:r>
              <w:rPr>
                <w:b w:val="false"/>
                <w:bCs w:val="false"/>
                <w:color w:val="1F2937"/>
                <w:sz w:val="20"/>
                <w:szCs w:val="20"/>
              </w:rPr>
              <w:t xml:space="preserve">30 minutes, 24h/24 et 7j/7</w:t>
            </w:r>
          </w:p>
        </w:tc>
        <w:tc>
          <w:tcPr>
            <w:tcW w:type="dxa" w:w="2320"/>
            <w:tcMar>
              <w:top w:type="dxa" w:w="100"/>
              <w:left w:type="dxa" w:w="120"/>
              <w:bottom w:type="dxa" w:w="100"/>
              <w:right w:type="dxa" w:w="120"/>
            </w:tcMar>
          </w:tcPr>
          <w:p>
            <w:r>
              <w:rPr>
                <w:b w:val="false"/>
                <w:bCs w:val="false"/>
                <w:color w:val="1F2937"/>
                <w:sz w:val="20"/>
                <w:szCs w:val="20"/>
              </w:rPr>
              <w:t xml:space="preserve">2 heures</w:t>
            </w:r>
          </w:p>
        </w:tc>
        <w:tc>
          <w:tcPr>
            <w:tcW w:type="dxa" w:w="2320"/>
            <w:tcMar>
              <w:top w:type="dxa" w:w="100"/>
              <w:left w:type="dxa" w:w="120"/>
              <w:bottom w:type="dxa" w:w="100"/>
              <w:right w:type="dxa" w:w="120"/>
            </w:tcMar>
          </w:tcPr>
          <w:p>
            <w:r>
              <w:rPr>
                <w:b w:val="false"/>
                <w:bCs w:val="false"/>
                <w:color w:val="1F2937"/>
                <w:sz w:val="20"/>
                <w:szCs w:val="20"/>
              </w:rPr>
              <w:t xml:space="preserve">4 heures ouvrées</w:t>
            </w:r>
          </w:p>
        </w:tc>
      </w:tr>
      <w:tr>
        <w:tc>
          <w:tcPr>
            <w:tcW w:type="dxa" w:w="2400"/>
            <w:tcMar>
              <w:top w:type="dxa" w:w="100"/>
              <w:left w:type="dxa" w:w="120"/>
              <w:bottom w:type="dxa" w:w="100"/>
              <w:right w:type="dxa" w:w="120"/>
            </w:tcMar>
          </w:tcPr>
          <w:p>
            <w:r>
              <w:rPr>
                <w:b w:val="false"/>
                <w:bCs w:val="false"/>
                <w:color w:val="1F2937"/>
                <w:sz w:val="20"/>
                <w:szCs w:val="20"/>
              </w:rPr>
              <w:t xml:space="preserve">Majeur</w:t>
            </w:r>
          </w:p>
        </w:tc>
        <w:tc>
          <w:tcPr>
            <w:tcW w:type="dxa" w:w="2320"/>
            <w:tcMar>
              <w:top w:type="dxa" w:w="100"/>
              <w:left w:type="dxa" w:w="120"/>
              <w:bottom w:type="dxa" w:w="100"/>
              <w:right w:type="dxa" w:w="120"/>
            </w:tcMar>
          </w:tcPr>
          <w:p>
            <w:r>
              <w:rPr>
                <w:b w:val="false"/>
                <w:bCs w:val="false"/>
                <w:color w:val="1F2937"/>
                <w:sz w:val="20"/>
                <w:szCs w:val="20"/>
              </w:rPr>
              <w:t xml:space="preserve">2 heures ouvrées</w:t>
            </w:r>
          </w:p>
        </w:tc>
        <w:tc>
          <w:tcPr>
            <w:tcW w:type="dxa" w:w="2320"/>
            <w:tcMar>
              <w:top w:type="dxa" w:w="100"/>
              <w:left w:type="dxa" w:w="120"/>
              <w:bottom w:type="dxa" w:w="100"/>
              <w:right w:type="dxa" w:w="120"/>
            </w:tcMar>
          </w:tcPr>
          <w:p>
            <w:r>
              <w:rPr>
                <w:b w:val="false"/>
                <w:bCs w:val="false"/>
                <w:color w:val="1F2937"/>
                <w:sz w:val="20"/>
                <w:szCs w:val="20"/>
              </w:rPr>
              <w:t xml:space="preserve">1 jour ouvré</w:t>
            </w:r>
          </w:p>
        </w:tc>
        <w:tc>
          <w:tcPr>
            <w:tcW w:type="dxa" w:w="2320"/>
            <w:tcMar>
              <w:top w:type="dxa" w:w="100"/>
              <w:left w:type="dxa" w:w="120"/>
              <w:bottom w:type="dxa" w:w="100"/>
              <w:right w:type="dxa" w:w="120"/>
            </w:tcMar>
          </w:tcPr>
          <w:p>
            <w:r>
              <w:rPr>
                <w:b w:val="false"/>
                <w:bCs w:val="false"/>
                <w:color w:val="1F2937"/>
                <w:sz w:val="20"/>
                <w:szCs w:val="20"/>
              </w:rPr>
              <w:t xml:space="preserve">3 jours ouvrés</w:t>
            </w:r>
          </w:p>
        </w:tc>
      </w:tr>
      <w:tr>
        <w:tc>
          <w:tcPr>
            <w:tcW w:type="dxa" w:w="2400"/>
            <w:tcMar>
              <w:top w:type="dxa" w:w="100"/>
              <w:left w:type="dxa" w:w="120"/>
              <w:bottom w:type="dxa" w:w="100"/>
              <w:right w:type="dxa" w:w="120"/>
            </w:tcMar>
          </w:tcPr>
          <w:p>
            <w:r>
              <w:rPr>
                <w:b w:val="false"/>
                <w:bCs w:val="false"/>
                <w:color w:val="1F2937"/>
                <w:sz w:val="20"/>
                <w:szCs w:val="20"/>
              </w:rPr>
              <w:t xml:space="preserve">Mineur</w:t>
            </w:r>
          </w:p>
        </w:tc>
        <w:tc>
          <w:tcPr>
            <w:tcW w:type="dxa" w:w="2320"/>
            <w:tcMar>
              <w:top w:type="dxa" w:w="100"/>
              <w:left w:type="dxa" w:w="120"/>
              <w:bottom w:type="dxa" w:w="100"/>
              <w:right w:type="dxa" w:w="120"/>
            </w:tcMar>
          </w:tcPr>
          <w:p>
            <w:r>
              <w:rPr>
                <w:b w:val="false"/>
                <w:bCs w:val="false"/>
                <w:color w:val="1F2937"/>
                <w:sz w:val="20"/>
                <w:szCs w:val="20"/>
              </w:rPr>
              <w:t xml:space="preserve">1 jour ouvré</w:t>
            </w:r>
          </w:p>
        </w:tc>
        <w:tc>
          <w:tcPr>
            <w:tcW w:type="dxa" w:w="2320"/>
            <w:tcMar>
              <w:top w:type="dxa" w:w="100"/>
              <w:left w:type="dxa" w:w="120"/>
              <w:bottom w:type="dxa" w:w="100"/>
              <w:right w:type="dxa" w:w="120"/>
            </w:tcMar>
          </w:tcPr>
          <w:p>
            <w:r>
              <w:rPr>
                <w:b w:val="false"/>
                <w:bCs w:val="false"/>
                <w:color w:val="1F2937"/>
                <w:sz w:val="20"/>
                <w:szCs w:val="20"/>
              </w:rPr>
              <w:t xml:space="preserve">3 jours ouvrés</w:t>
            </w:r>
          </w:p>
        </w:tc>
        <w:tc>
          <w:tcPr>
            <w:tcW w:type="dxa" w:w="2320"/>
            <w:tcMar>
              <w:top w:type="dxa" w:w="100"/>
              <w:left w:type="dxa" w:w="120"/>
              <w:bottom w:type="dxa" w:w="100"/>
              <w:right w:type="dxa" w:w="120"/>
            </w:tcMar>
          </w:tcPr>
          <w:p>
            <w:r>
              <w:rPr>
                <w:b w:val="false"/>
                <w:bCs w:val="false"/>
                <w:color w:val="1F2937"/>
                <w:sz w:val="20"/>
                <w:szCs w:val="20"/>
              </w:rPr>
              <w:t xml:space="preserve">prochaine version corrective</w:t>
            </w:r>
          </w:p>
        </w:tc>
      </w:tr>
    </w:tbl>
    <w:p>
      <w:pPr>
        <w:spacing w:after="140" w:line="300"/>
      </w:pPr>
      <w:r>
        <w:rPr>
          <w:sz w:val="21"/>
          <w:szCs w:val="21"/>
        </w:rPr>
        <w:t xml:space="preserve"/>
      </w:r>
    </w:p>
    <w:p>
      <w:pPr>
        <w:spacing w:after="140" w:line="300"/>
      </w:pPr>
      <w:r>
        <w:rPr>
          <w:sz w:val="21"/>
          <w:szCs w:val="21"/>
        </w:rPr>
        <w:t xml:space="preserve">Pour tout incident bloquant, le Client déclare l'anomalie via le canal d'urgence convenu (numéro d'astreinte et/ou adresse dédiée, précisés en Annexe 1). Le délai de prise en charge court à compter de l'horodatage de cette déclaration.</w:t>
      </w:r>
    </w:p>
    <w:p>
      <w:pPr>
        <w:pStyle w:val="Heading1"/>
        <w:spacing w:after="160" w:before="320"/>
      </w:pPr>
      <w:r>
        <w:rPr>
          <w:b/>
          <w:bCs/>
          <w:color w:val="2E5A88"/>
          <w:sz w:val="26"/>
          <w:szCs w:val="26"/>
        </w:rPr>
        <w:t xml:space="preserve">Article 5 — Obligations du Client</w:t>
      </w:r>
    </w:p>
    <w:p>
      <w:pPr>
        <w:pStyle w:val="ListParagraph"/>
        <w:numPr>
          <w:ilvl w:val="0"/>
          <w:numId w:val="2"/>
        </w:numPr>
        <w:spacing w:after="80" w:line="280"/>
      </w:pPr>
      <w:r>
        <w:rPr>
          <w:sz w:val="21"/>
          <w:szCs w:val="21"/>
        </w:rPr>
        <w:t xml:space="preserve">désigner un ou plusieurs interlocuteurs habilités à déclarer les incidents ;</w:t>
      </w:r>
    </w:p>
    <w:p>
      <w:pPr>
        <w:pStyle w:val="ListParagraph"/>
        <w:numPr>
          <w:ilvl w:val="0"/>
          <w:numId w:val="2"/>
        </w:numPr>
        <w:spacing w:after="80" w:line="280"/>
      </w:pPr>
      <w:r>
        <w:rPr>
          <w:sz w:val="21"/>
          <w:szCs w:val="21"/>
        </w:rPr>
        <w:t xml:space="preserve">fournir au Prestataire les accès, informations et éléments nécessaires au diagnostic dans les meilleurs délais ;</w:t>
      </w:r>
    </w:p>
    <w:p>
      <w:pPr>
        <w:pStyle w:val="ListParagraph"/>
        <w:numPr>
          <w:ilvl w:val="0"/>
          <w:numId w:val="2"/>
        </w:numPr>
        <w:spacing w:after="80" w:line="280"/>
      </w:pPr>
      <w:r>
        <w:rPr>
          <w:sz w:val="21"/>
          <w:szCs w:val="21"/>
        </w:rPr>
        <w:t xml:space="preserve">ne pas modifier, sans accord préalable du Prestataire, la configuration du module S-MDF ou de l'intégration NACEF ;</w:t>
      </w:r>
    </w:p>
    <w:p>
      <w:pPr>
        <w:pStyle w:val="ListParagraph"/>
        <w:numPr>
          <w:ilvl w:val="0"/>
          <w:numId w:val="2"/>
        </w:numPr>
        <w:spacing w:after="80" w:line="280"/>
      </w:pPr>
      <w:r>
        <w:rPr>
          <w:sz w:val="21"/>
          <w:szCs w:val="21"/>
        </w:rPr>
        <w:t xml:space="preserve">s'acquitter des redevances de maintenance selon les modalités prévues à l'Article 7.</w:t>
      </w:r>
    </w:p>
    <w:p>
      <w:pPr>
        <w:pStyle w:val="Heading1"/>
        <w:spacing w:after="160" w:before="320"/>
      </w:pPr>
      <w:r>
        <w:rPr>
          <w:b/>
          <w:bCs/>
          <w:color w:val="2E5A88"/>
          <w:sz w:val="26"/>
          <w:szCs w:val="26"/>
        </w:rPr>
        <w:t xml:space="preserve">Article 6 — Exclusions</w:t>
      </w:r>
    </w:p>
    <w:p>
      <w:pPr>
        <w:spacing w:after="140" w:line="300"/>
      </w:pPr>
      <w:r>
        <w:rPr>
          <w:sz w:val="21"/>
          <w:szCs w:val="21"/>
        </w:rPr>
        <w:t xml:space="preserve">Sont exclus du présent contrat :</w:t>
      </w:r>
    </w:p>
    <w:p>
      <w:pPr>
        <w:pStyle w:val="ListParagraph"/>
        <w:numPr>
          <w:ilvl w:val="0"/>
          <w:numId w:val="2"/>
        </w:numPr>
        <w:spacing w:after="80" w:line="280"/>
      </w:pPr>
      <w:r>
        <w:rPr>
          <w:sz w:val="21"/>
          <w:szCs w:val="21"/>
        </w:rPr>
        <w:t xml:space="preserve">les incidents résultant d'une modification, d'un développement spécifique ou d'une intervention réalisée par un tiers non autorisé par le Prestataire ;</w:t>
      </w:r>
    </w:p>
    <w:p>
      <w:pPr>
        <w:pStyle w:val="ListParagraph"/>
        <w:numPr>
          <w:ilvl w:val="0"/>
          <w:numId w:val="2"/>
        </w:numPr>
        <w:spacing w:after="80" w:line="280"/>
      </w:pPr>
      <w:r>
        <w:rPr>
          <w:sz w:val="21"/>
          <w:szCs w:val="21"/>
        </w:rPr>
        <w:t xml:space="preserve">les indisponibilités imputables à l'infrastructure du Client (réseau, matériel, hébergement) ou à un tiers (opérateur télécom, plateforme NACEF elle-même en cas de panne côté opérateur national) ;</w:t>
      </w:r>
    </w:p>
    <w:p>
      <w:pPr>
        <w:pStyle w:val="ListParagraph"/>
        <w:numPr>
          <w:ilvl w:val="0"/>
          <w:numId w:val="2"/>
        </w:numPr>
        <w:spacing w:after="80" w:line="280"/>
      </w:pPr>
      <w:r>
        <w:rPr>
          <w:sz w:val="21"/>
          <w:szCs w:val="21"/>
        </w:rPr>
        <w:t xml:space="preserve">les cas de force majeure.</w:t>
      </w:r>
    </w:p>
    <w:p>
      <w:pPr>
        <w:pStyle w:val="Heading1"/>
        <w:spacing w:after="160" w:before="320"/>
      </w:pPr>
      <w:r>
        <w:rPr>
          <w:b/>
          <w:bCs/>
          <w:color w:val="2E5A88"/>
          <w:sz w:val="26"/>
          <w:szCs w:val="26"/>
        </w:rPr>
        <w:t xml:space="preserve">Article 7 — Conditions financières</w:t>
      </w:r>
    </w:p>
    <w:p>
      <w:pPr>
        <w:spacing w:after="100"/>
      </w:pPr>
      <w:r>
        <w:rPr>
          <w:b/>
          <w:bCs/>
          <w:sz w:val="21"/>
          <w:szCs w:val="21"/>
        </w:rPr>
        <w:t xml:space="preserve">Redevance de maintenance : </w:t>
      </w:r>
      <w:r>
        <w:rPr>
          <w:sz w:val="21"/>
          <w:szCs w:val="21"/>
        </w:rPr>
        <w:t xml:space="preserve">…………… DT / mois (ou / an), payable ……………………</w:t>
      </w:r>
    </w:p>
    <w:p>
      <w:pPr>
        <w:spacing w:after="100"/>
      </w:pPr>
      <w:r>
        <w:rPr>
          <w:b/>
          <w:bCs/>
          <w:sz w:val="21"/>
          <w:szCs w:val="21"/>
        </w:rPr>
        <w:t xml:space="preserve">Interventions hors forfait : </w:t>
      </w:r>
      <w:r>
        <w:rPr>
          <w:sz w:val="21"/>
          <w:szCs w:val="21"/>
        </w:rPr>
        <w:t xml:space="preserve">…………… DT / heure, au-delà du volume inclus</w:t>
      </w:r>
    </w:p>
    <w:p>
      <w:pPr>
        <w:spacing w:after="140" w:line="300"/>
      </w:pPr>
      <w:r>
        <w:rPr>
          <w:sz w:val="21"/>
          <w:szCs w:val="21"/>
        </w:rPr>
        <w:t xml:space="preserve">Toute prestation ne relevant pas de la maintenance définie à l'Article 1 (développement spécifique, évolution fonctionnelle majeure) fait l'objet d'un devis distinct.</w:t>
      </w:r>
    </w:p>
    <w:p>
      <w:pPr>
        <w:pStyle w:val="Heading1"/>
        <w:spacing w:after="160" w:before="320"/>
      </w:pPr>
      <w:r>
        <w:rPr>
          <w:b/>
          <w:bCs/>
          <w:color w:val="2E5A88"/>
          <w:sz w:val="26"/>
          <w:szCs w:val="26"/>
        </w:rPr>
        <w:t xml:space="preserve">Article 8 — Durée, reconduction et résiliation</w:t>
      </w:r>
    </w:p>
    <w:p>
      <w:pPr>
        <w:spacing w:after="140" w:line="300"/>
      </w:pPr>
      <w:r>
        <w:rPr>
          <w:sz w:val="21"/>
          <w:szCs w:val="21"/>
        </w:rPr>
        <w:t xml:space="preserve">Le présent contrat est conclu pour une durée de ……… (à préciser), à compter de sa date de signature. Il est renouvelable par tacite reconduction pour des périodes successives de même durée, sauf dénonciation par l'une des Parties par lettre recommandée avec accusé de réception, moyennant un préavis de …… jours avant l'échéance.</w:t>
      </w:r>
    </w:p>
    <w:p>
      <w:pPr>
        <w:spacing w:after="140" w:line="300"/>
      </w:pPr>
      <w:r>
        <w:rPr>
          <w:sz w:val="21"/>
          <w:szCs w:val="21"/>
        </w:rPr>
        <w:t xml:space="preserve">En cas de manquement grave de l'une des Parties à ses obligations, non régularisé dans un délai de 15 jours suivant mise en demeure restée sans effet, l'autre Partie pourra résilier le présent contrat de plein droit.</w:t>
      </w:r>
    </w:p>
    <w:p>
      <w:pPr>
        <w:pStyle w:val="Heading1"/>
        <w:spacing w:after="160" w:before="320"/>
      </w:pPr>
      <w:r>
        <w:rPr>
          <w:b/>
          <w:bCs/>
          <w:color w:val="2E5A88"/>
          <w:sz w:val="26"/>
          <w:szCs w:val="26"/>
        </w:rPr>
        <w:t xml:space="preserve">Article 9 — Confidentialité</w:t>
      </w:r>
    </w:p>
    <w:p>
      <w:pPr>
        <w:spacing w:after="140" w:line="300"/>
      </w:pPr>
      <w:r>
        <w:rPr>
          <w:sz w:val="21"/>
          <w:szCs w:val="21"/>
        </w:rPr>
        <w:t xml:space="preserve">Chaque Partie s'engage à préserver la confidentialité des informations, données fiscales et éléments techniques échangés dans le cadre de l'exécution du présent contrat, et à ne les utiliser qu'aux fins de son exécution.</w:t>
      </w:r>
    </w:p>
    <w:p>
      <w:pPr>
        <w:pStyle w:val="Heading1"/>
        <w:spacing w:after="160" w:before="320"/>
      </w:pPr>
      <w:r>
        <w:rPr>
          <w:b/>
          <w:bCs/>
          <w:color w:val="2E5A88"/>
          <w:sz w:val="26"/>
          <w:szCs w:val="26"/>
        </w:rPr>
        <w:t xml:space="preserve">Article 10 — Responsabilité</w:t>
      </w:r>
    </w:p>
    <w:p>
      <w:pPr>
        <w:spacing w:after="140" w:line="300"/>
      </w:pPr>
      <w:r>
        <w:rPr>
          <w:sz w:val="21"/>
          <w:szCs w:val="21"/>
        </w:rPr>
        <w:t xml:space="preserve">Le Prestataire est tenu à une obligation de moyens dans l'exécution de ses prestations de maintenance. Sa responsabilité ne saurait être engagée pour les conséquences d'une indisponibilité du système NACEF imputable à l'opérateur national ou aux autorités fiscales.</w:t>
      </w:r>
    </w:p>
    <w:p>
      <w:pPr>
        <w:pStyle w:val="Heading1"/>
        <w:spacing w:after="160" w:before="320"/>
      </w:pPr>
      <w:r>
        <w:rPr>
          <w:b/>
          <w:bCs/>
          <w:color w:val="2E5A88"/>
          <w:sz w:val="26"/>
          <w:szCs w:val="26"/>
        </w:rPr>
        <w:t xml:space="preserve">Article 11 — Loi applicable et règlement des litiges</w:t>
      </w:r>
    </w:p>
    <w:p>
      <w:pPr>
        <w:spacing w:after="140" w:line="300"/>
      </w:pPr>
      <w:r>
        <w:rPr>
          <w:sz w:val="21"/>
          <w:szCs w:val="21"/>
        </w:rPr>
        <w:t xml:space="preserve">Le présent contrat est soumis au droit tunisien. À défaut de résolution amiable, tout litige relatif à sa validité, son interprétation ou son exécution sera porté devant les tribunaux compétents de …………………….</w:t>
      </w:r>
    </w:p>
    <w:p>
      <w:pPr>
        <w:pStyle w:val="Heading1"/>
        <w:spacing w:after="160" w:before="320"/>
      </w:pPr>
      <w:r>
        <w:rPr>
          <w:b/>
          <w:bCs/>
          <w:color w:val="2E5A88"/>
          <w:sz w:val="26"/>
          <w:szCs w:val="26"/>
        </w:rPr>
        <w:t xml:space="preserve">Annexe 1 — Canal de déclaration d'incident d'urgence</w:t>
      </w:r>
    </w:p>
    <w:p>
      <w:pPr>
        <w:spacing w:after="100"/>
      </w:pPr>
      <w:r>
        <w:rPr>
          <w:b/>
          <w:bCs/>
          <w:sz w:val="21"/>
          <w:szCs w:val="21"/>
        </w:rPr>
        <w:t xml:space="preserve">Numéro d'astreinte : </w:t>
      </w:r>
      <w:r>
        <w:rPr>
          <w:sz w:val="21"/>
          <w:szCs w:val="21"/>
        </w:rPr>
        <w:t xml:space="preserve"/>
      </w:r>
    </w:p>
    <w:p>
      <w:pPr>
        <w:spacing w:after="100"/>
      </w:pPr>
      <w:r>
        <w:rPr>
          <w:b/>
          <w:bCs/>
          <w:sz w:val="21"/>
          <w:szCs w:val="21"/>
        </w:rPr>
        <w:t xml:space="preserve">Adresse e-mail dédiée : </w:t>
      </w:r>
      <w:r>
        <w:rPr>
          <w:sz w:val="21"/>
          <w:szCs w:val="21"/>
        </w:rPr>
        <w:t xml:space="preserve"/>
      </w:r>
    </w:p>
    <w:p>
      <w:pPr>
        <w:spacing w:after="100"/>
      </w:pPr>
      <w:r>
        <w:rPr>
          <w:b/>
          <w:bCs/>
          <w:sz w:val="21"/>
          <w:szCs w:val="21"/>
        </w:rPr>
        <w:t xml:space="preserve">Interlocuteur technique côté Prestataire : </w:t>
      </w:r>
      <w:r>
        <w:rPr>
          <w:sz w:val="21"/>
          <w:szCs w:val="21"/>
        </w:rPr>
        <w:t xml:space="preserve"/>
      </w:r>
    </w:p>
    <w:p>
      <w:pPr>
        <w:spacing w:after="100"/>
      </w:pPr>
      <w:r>
        <w:rPr>
          <w:b/>
          <w:bCs/>
          <w:sz w:val="21"/>
          <w:szCs w:val="21"/>
        </w:rPr>
        <w:t xml:space="preserve">Interlocuteur(s) habilité(s) côté Client : </w:t>
      </w:r>
      <w:r>
        <w:rPr>
          <w:sz w:val="21"/>
          <w:szCs w:val="21"/>
        </w:rPr>
        <w:t xml:space="preserve"/>
      </w:r>
    </w:p>
    <w:p>
      <w:r>
        <w:br w:type="page"/>
      </w:r>
    </w:p>
    <w:p>
      <w:pPr>
        <w:pStyle w:val="Heading1"/>
        <w:spacing w:after="160" w:before="320"/>
      </w:pPr>
      <w:r>
        <w:rPr>
          <w:b/>
          <w:bCs/>
          <w:color w:val="2E5A88"/>
          <w:sz w:val="26"/>
          <w:szCs w:val="26"/>
        </w:rPr>
        <w:t xml:space="preserve">Signatures</w:t>
      </w:r>
    </w:p>
    <w:p>
      <w:pPr>
        <w:spacing w:after="140" w:line="300"/>
      </w:pPr>
      <w:r>
        <w:rPr>
          <w:sz w:val="21"/>
          <w:szCs w:val="21"/>
        </w:rPr>
        <w:t xml:space="preserve"/>
      </w:r>
    </w:p>
    <w:tbl>
      <w:tblPr>
        <w:tblW w:type="dxa" w:w="9360"/>
        <w:tblBorders>
          <w:top w:val="none"/>
          <w:left w:val="none"/>
          <w:bottom w:val="none"/>
          <w:right w:val="none"/>
          <w:insideH w:val="none"/>
          <w:insideV w:val="none"/>
        </w:tblBorders>
      </w:tblPr>
      <w:tblGrid>
        <w:gridCol w:w="4680"/>
        <w:gridCol w:w="4680"/>
      </w:tblGrid>
      <w:tr>
        <w:tc>
          <w:tcPr>
            <w:tcW w:type="dxa" w:w="4680"/>
          </w:tcPr>
          <w:p>
            <w:pPr>
              <w:spacing w:after="800"/>
            </w:pPr>
            <w:r>
              <w:rPr>
                <w:sz w:val="21"/>
                <w:szCs w:val="21"/>
              </w:rPr>
              <w:t xml:space="preserve">Pour le Prestataire</w:t>
            </w:r>
          </w:p>
          <w:p>
            <w:pPr>
              <w:spacing w:after="140" w:line="300"/>
            </w:pPr>
            <w:r>
              <w:rPr>
                <w:sz w:val="21"/>
                <w:szCs w:val="21"/>
              </w:rPr>
              <w:t xml:space="preserve">Nom et qualité : ……………………………</w:t>
            </w:r>
          </w:p>
          <w:p>
            <w:pPr>
              <w:spacing w:after="140" w:line="300"/>
            </w:pPr>
            <w:r>
              <w:rPr>
                <w:sz w:val="21"/>
                <w:szCs w:val="21"/>
              </w:rPr>
              <w:t xml:space="preserve">Date : ……………………………</w:t>
            </w:r>
          </w:p>
          <w:p>
            <w:pPr>
              <w:spacing w:after="140" w:line="300"/>
            </w:pPr>
            <w:r>
              <w:rPr>
                <w:sz w:val="21"/>
                <w:szCs w:val="21"/>
              </w:rPr>
              <w:t xml:space="preserve">Signature et cachet :</w:t>
            </w:r>
          </w:p>
        </w:tc>
        <w:tc>
          <w:tcPr>
            <w:tcW w:type="dxa" w:w="4680"/>
          </w:tcPr>
          <w:p>
            <w:pPr>
              <w:spacing w:after="800"/>
            </w:pPr>
            <w:r>
              <w:rPr>
                <w:sz w:val="21"/>
                <w:szCs w:val="21"/>
              </w:rPr>
              <w:t xml:space="preserve">Pour le Client</w:t>
            </w:r>
          </w:p>
          <w:p>
            <w:pPr>
              <w:spacing w:after="140" w:line="300"/>
            </w:pPr>
            <w:r>
              <w:rPr>
                <w:sz w:val="21"/>
                <w:szCs w:val="21"/>
              </w:rPr>
              <w:t xml:space="preserve">Nom et qualité : ……………………………</w:t>
            </w:r>
          </w:p>
          <w:p>
            <w:pPr>
              <w:spacing w:after="140" w:line="300"/>
            </w:pPr>
            <w:r>
              <w:rPr>
                <w:sz w:val="21"/>
                <w:szCs w:val="21"/>
              </w:rPr>
              <w:t xml:space="preserve">Date : ……………………………</w:t>
            </w:r>
          </w:p>
          <w:p>
            <w:pPr>
              <w:spacing w:after="140" w:line="300"/>
            </w:pPr>
            <w:r>
              <w:rPr>
                <w:sz w:val="21"/>
                <w:szCs w:val="21"/>
              </w:rPr>
              <w:t xml:space="preserve">Signature et cachet :</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2026-08-27T11:19:33.389Z</dcterms:created>
  <dcterms:modified xsi:type="dcterms:W3CDTF">2026-08-27T11:19:33.401Z</dcterms:modified>
</cp:coreProperties>
</file>

<file path=docProps/custom.xml><?xml version="1.0" encoding="utf-8"?>
<Properties xmlns="http://schemas.openxmlformats.org/officeDocument/2006/custom-properties" xmlns:vt="http://schemas.openxmlformats.org/officeDocument/2006/docPropsVTypes"/>
</file>