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color w:val="B3261E"/>
          <w:sz w:val="20"/>
        </w:rPr>
        <w:t xml:space="preserve">DRAFT — NOT LEGALLY VALIDATED. Rules in force on the signing date apply (the Renters’ Rights Act is replacing fixed-term assured shorthold tenancies with periodic tenancies). Have a solicitor or the relevant landlord association check it. This is not legal advice.</w:t>
      </w:r>
    </w:p>
    <w:p>
      <w:pPr>
        <w:spacing w:before="0" w:after="240"/>
        <w:jc w:val="center"/>
      </w:pPr>
      <w:r>
        <w:rPr>
          <w:b/>
          <w:sz w:val="34"/>
        </w:rPr>
        <w:t xml:space="preserve">Residential tenancy agreement (England) — draft</w:t>
      </w:r>
    </w:p>
    <w:p>
      <w:pPr>
        <w:spacing w:before="200" w:after="80"/>
      </w:pPr>
      <w:r>
        <w:rPr>
          <w:b/>
          <w:sz w:val="26"/>
        </w:rPr>
        <w:t xml:space="preserve">Parties</w:t>
      </w:r>
    </w:p>
    <w:p>
      <w:pPr>
        <w:spacing w:before="0" w:after="120"/>
      </w:pPr>
      <w:r>
        <w:rPr>
          <w:sz w:val="22"/>
        </w:rPr>
        <w:t xml:space="preserve">LANDLORD: [TO COMPLETE: full name, address for service, e-mail, phone, landlord registration/licence number if required].</w:t>
      </w:r>
    </w:p>
    <w:p>
      <w:pPr>
        <w:spacing w:before="0" w:after="120"/>
      </w:pPr>
      <w:r>
        <w:rPr>
          <w:sz w:val="22"/>
        </w:rPr>
        <w:t xml:space="preserve">TENANT(S): [TO COMPLETE: full names, current address, e-mail, phone]. Joint tenants are jointly and severally liable.</w:t>
      </w:r>
    </w:p>
    <w:p>
      <w:pPr>
        <w:spacing w:before="200" w:after="80"/>
      </w:pPr>
      <w:r>
        <w:rPr>
          <w:b/>
          <w:sz w:val="26"/>
        </w:rPr>
        <w:t xml:space="preserve">1. Property</w:t>
      </w:r>
    </w:p>
    <w:p>
      <w:pPr>
        <w:spacing w:before="0" w:after="120"/>
      </w:pPr>
      <w:r>
        <w:rPr>
          <w:sz w:val="22"/>
        </w:rPr>
        <w:t xml:space="preserve">[TO COMPLETE: address and postcode], including [furniture, parking, garden]. Inventory attached as Schedule 1. The Property is let as the Tenant’s only or principal home.</w:t>
      </w:r>
    </w:p>
    <w:p>
      <w:pPr>
        <w:spacing w:before="200" w:after="80"/>
      </w:pPr>
      <w:r>
        <w:rPr>
          <w:b/>
          <w:sz w:val="26"/>
        </w:rPr>
        <w:t xml:space="preserve">2. Term</w:t>
      </w:r>
    </w:p>
    <w:p>
      <w:pPr>
        <w:spacing w:before="0" w:after="120"/>
      </w:pPr>
      <w:r>
        <w:rPr>
          <w:sz w:val="22"/>
        </w:rPr>
        <w:t xml:space="preserve">Start date: [date]. Type of tenancy: [TO COMPLETE according to the regime in force on the signing date — e.g. periodic assured tenancy or fixed term where still permitted]. Notice rules are those set by law. [CHECK.]</w:t>
      </w:r>
    </w:p>
    <w:p>
      <w:pPr>
        <w:spacing w:before="200" w:after="80"/>
      </w:pPr>
      <w:r>
        <w:rPr>
          <w:b/>
          <w:sz w:val="26"/>
        </w:rPr>
        <w:t xml:space="preserve">3. Rent</w:t>
      </w:r>
    </w:p>
    <w:p>
      <w:pPr>
        <w:spacing w:before="0" w:after="120"/>
      </w:pPr>
      <w:r>
        <w:rPr>
          <w:sz w:val="22"/>
        </w:rPr>
        <w:t xml:space="preserve">Rent: £[ ] per [month], payable in advance on the [ ] day by bank transfer to [account details]. Rent may only be increased by the method and at the times permitted by law. [CHECK.]</w:t>
      </w:r>
    </w:p>
    <w:p>
      <w:pPr>
        <w:spacing w:before="200" w:after="80"/>
      </w:pPr>
      <w:r>
        <w:rPr>
          <w:b/>
          <w:sz w:val="26"/>
        </w:rPr>
        <w:t xml:space="preserve">4. Deposit</w:t>
      </w:r>
    </w:p>
    <w:p>
      <w:pPr>
        <w:spacing w:before="0" w:after="120"/>
      </w:pPr>
      <w:r>
        <w:rPr>
          <w:sz w:val="22"/>
        </w:rPr>
        <w:t xml:space="preserve">Deposit: £[ ] (within the statutory cap) protected in a government-approved tenancy deposit scheme within the statutory period; prescribed information given to the Tenant. [CHECK current cap and rules.]</w:t>
      </w:r>
    </w:p>
    <w:p>
      <w:pPr>
        <w:spacing w:before="200" w:after="80"/>
      </w:pPr>
      <w:r>
        <w:rPr>
          <w:b/>
          <w:sz w:val="26"/>
        </w:rPr>
        <w:t xml:space="preserve">5. Tenant’s obligations</w:t>
      </w:r>
    </w:p>
    <w:p>
      <w:pPr>
        <w:spacing w:before="0" w:after="120"/>
      </w:pPr>
      <w:r>
        <w:rPr>
          <w:sz w:val="22"/>
        </w:rPr>
        <w:t xml:space="preserve">Pay rent and utilities and council tax; keep the Property clean and in good condition (fair wear and tear excepted); allow access on reasonable notice (normally at least 24 hours) for repairs and inspections; not sublet or assign; report disrepair promptly; not cause nuisance.</w:t>
      </w:r>
    </w:p>
    <w:p>
      <w:pPr>
        <w:spacing w:before="200" w:after="80"/>
      </w:pPr>
      <w:r>
        <w:rPr>
          <w:b/>
          <w:sz w:val="26"/>
        </w:rPr>
        <w:t xml:space="preserve">6. Landlord’s obligations</w:t>
      </w:r>
    </w:p>
    <w:p>
      <w:pPr>
        <w:spacing w:before="0" w:after="120"/>
      </w:pPr>
      <w:r>
        <w:rPr>
          <w:sz w:val="22"/>
        </w:rPr>
        <w:t xml:space="preserve">Keep the structure and installations in repair; ensure gas safety (annual certificate), electrical safety, smoke and carbon monoxide alarms, a valid EPC and, where applicable, an HMO licence; give the Tenant the prescribed documents (including the government “How to Rent” guide and the information required by current law). [CHECK the list on the signing date.]</w:t>
      </w:r>
    </w:p>
    <w:p>
      <w:pPr>
        <w:spacing w:before="200" w:after="80"/>
      </w:pPr>
      <w:r>
        <w:rPr>
          <w:b/>
          <w:sz w:val="26"/>
        </w:rPr>
        <w:t xml:space="preserve">7. Right to rent and references</w:t>
      </w:r>
    </w:p>
    <w:p>
      <w:pPr>
        <w:spacing w:before="0" w:after="120"/>
      </w:pPr>
      <w:r>
        <w:rPr>
          <w:sz w:val="22"/>
        </w:rPr>
        <w:t xml:space="preserve">The Landlord has carried out a right to rent check as required by law; the Tenant provides accurate information.</w:t>
      </w:r>
    </w:p>
    <w:p>
      <w:pPr>
        <w:spacing w:before="200" w:after="80"/>
      </w:pPr>
      <w:r>
        <w:rPr>
          <w:b/>
          <w:sz w:val="26"/>
        </w:rPr>
        <w:t xml:space="preserve">8. Ending the tenancy</w:t>
      </w:r>
    </w:p>
    <w:p>
      <w:pPr>
        <w:spacing w:before="0" w:after="120"/>
      </w:pPr>
      <w:r>
        <w:rPr>
          <w:sz w:val="22"/>
        </w:rPr>
        <w:t xml:space="preserve">Either party may end the tenancy only by following the procedure and notice periods required by law at that time.</w:t>
      </w:r>
    </w:p>
    <w:p>
      <w:pPr>
        <w:spacing w:before="200" w:after="80"/>
      </w:pPr>
      <w:r>
        <w:rPr>
          <w:b/>
          <w:sz w:val="26"/>
        </w:rPr>
        <w:t xml:space="preserve">9. Data protection</w:t>
      </w:r>
    </w:p>
    <w:p>
      <w:pPr>
        <w:spacing w:before="0" w:after="120"/>
      </w:pPr>
      <w:r>
        <w:rPr>
          <w:sz w:val="22"/>
        </w:rPr>
        <w:t xml:space="preserve">Personal data is processed for managing the tenancy in accordance with UK data protection law.</w:t>
      </w:r>
    </w:p>
    <w:p>
      <w:pPr>
        <w:spacing w:before="200" w:after="80"/>
      </w:pPr>
      <w:r>
        <w:rPr>
          <w:b/>
          <w:sz w:val="26"/>
        </w:rPr>
        <w:t xml:space="preserve">10. Governing law</w:t>
      </w:r>
    </w:p>
    <w:p>
      <w:pPr>
        <w:spacing w:before="0" w:after="120"/>
      </w:pPr>
      <w:r>
        <w:rPr>
          <w:sz w:val="22"/>
        </w:rPr>
        <w:t xml:space="preserve">The laws of England and Wales apply; the courts of England and Wales have jurisdiction.</w:t>
      </w:r>
    </w:p>
    <w:p>
      <w:pPr>
        <w:spacing w:before="200" w:after="80"/>
      </w:pPr>
      <w:r>
        <w:rPr>
          <w:b/>
          <w:sz w:val="26"/>
        </w:rPr>
        <w:t xml:space="preserve">Special terms</w:t>
      </w:r>
    </w:p>
    <w:p>
      <w:pPr>
        <w:spacing w:before="0" w:after="120"/>
      </w:pPr>
      <w:r>
        <w:rPr>
          <w:sz w:val="22"/>
        </w:rPr>
        <w:t xml:space="preserve">[TO COMPLETE]</w:t>
      </w:r>
    </w:p>
    <w:p>
      <w:pPr>
        <w:spacing w:before="200" w:after="80"/>
      </w:pPr>
      <w:r>
        <w:rPr>
          <w:b/>
          <w:sz w:val="26"/>
        </w:rPr>
        <w:t xml:space="preserve">Signatures</w:t>
      </w:r>
    </w:p>
    <w:p>
      <w:pPr>
        <w:spacing w:before="0" w:after="120"/>
      </w:pPr>
      <w:r>
        <w:rPr>
          <w:sz w:val="22"/>
        </w:rPr>
        <w:t xml:space="preserve">Date: ____________________</w:t>
      </w:r>
    </w:p>
    <w:p>
      <w:pPr>
        <w:spacing w:before="0" w:after="120"/>
      </w:pPr>
      <w:r>
        <w:rPr>
          <w:sz w:val="22"/>
        </w:rPr>
        <w:t xml:space="preserve">Landlord: ____________________        Tenant: ____________________</w:t>
      </w:r>
    </w:p>
    <w:p>
      <w:pPr>
        <w:spacing w:before="200" w:after="80"/>
      </w:pPr>
      <w:r>
        <w:rPr>
          <w:b/>
          <w:sz w:val="26"/>
        </w:rPr>
        <w:t xml:space="preserve">Points for a local professional to check</w:t>
      </w:r>
    </w:p>
    <w:p>
      <w:pPr>
        <w:spacing w:before="0" w:after="120"/>
      </w:pPr>
      <w:r>
        <w:rPr>
          <w:sz w:val="22"/>
        </w:rPr>
        <w:t xml:space="preserve">• Which tenancy type is currently available • Deposit cap and protection deadlines • Prescribed information and documents • Licensing (selective/HMO) • Rent increase mechanism • Differences if the property is in Scotland or Wales.</w:t>
      </w:r>
    </w:p>
    <w:p>
      <w:pPr>
        <w:spacing w:before="300" w:after="120"/>
      </w:pPr>
      <w:r>
        <w:rPr>
          <w:b/>
          <w:color w:val="B3261E"/>
          <w:sz w:val="18"/>
        </w:rPr>
        <w:t xml:space="preserve">DRAFT — NOT LEGALLY VALIDATED. Rules in force on the signing date apply (the Renters’ Rights Act is replacing fixed-term assured shorthold tenancies with periodic tenancies). Have a solicitor or the relevant landlord association check it. This is not legal advice.</w:t>
      </w:r>
    </w:p>
    <w:p>
      <w:pPr>
        <w:spacing w:before="0" w:after="120"/>
      </w:pPr>
      <w:r>
        <w:rPr>
          <w:i/>
          <w:sz w:val="16"/>
        </w:rPr>
        <w:t xml:space="preserve">Modèle généré par PatrimoLoc — version 1.</w:t>
      </w:r>
    </w:p>
    <w:sectPr>
      <w:pgSz w:w="11906" w:h="16838"/>
      <w:pgMar w:top="1134" w:right="1134" w:bottom="1134" w:left="1134" w:header="708" w:footer="708" w:gutter="0"/>
    </w:sectPr>
  </w:body>
</w:document>
</file>