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color w:val="B3261E"/>
          <w:sz w:val="20"/>
        </w:rPr>
        <w:t xml:space="preserve">DRAFT — NOT LEGALLY VALIDATED. Have a solicitor or the Residential Tenancies Board guidance check it before signing. This is not legal advice.</w:t>
      </w:r>
    </w:p>
    <w:p>
      <w:pPr>
        <w:spacing w:before="0" w:after="240"/>
        <w:jc w:val="center"/>
      </w:pPr>
      <w:r>
        <w:rPr>
          <w:b/>
          <w:sz w:val="34"/>
        </w:rPr>
        <w:t xml:space="preserve">Residential tenancy agreement (Ireland) — draft</w:t>
      </w:r>
    </w:p>
    <w:p>
      <w:pPr>
        <w:spacing w:before="200" w:after="80"/>
      </w:pPr>
      <w:r>
        <w:rPr>
          <w:b/>
          <w:sz w:val="26"/>
        </w:rPr>
        <w:t xml:space="preserve">Parties</w:t>
      </w:r>
    </w:p>
    <w:p>
      <w:pPr>
        <w:spacing w:before="0" w:after="120"/>
      </w:pPr>
      <w:r>
        <w:rPr>
          <w:sz w:val="22"/>
        </w:rPr>
        <w:t xml:space="preserve">LANDLORD: [TO COMPLETE: full name, address for service, PPSN/tax details if needed, e-mail, phone].</w:t>
      </w:r>
    </w:p>
    <w:p>
      <w:pPr>
        <w:spacing w:before="0" w:after="120"/>
      </w:pPr>
      <w:r>
        <w:rPr>
          <w:sz w:val="22"/>
        </w:rPr>
        <w:t xml:space="preserve">TENANT(S): [TO COMPLETE: full names, e-mail, phone].</w:t>
      </w:r>
    </w:p>
    <w:p>
      <w:pPr>
        <w:spacing w:before="200" w:after="80"/>
      </w:pPr>
      <w:r>
        <w:rPr>
          <w:b/>
          <w:sz w:val="26"/>
        </w:rPr>
        <w:t xml:space="preserve">1. Dwelling</w:t>
      </w:r>
    </w:p>
    <w:p>
      <w:pPr>
        <w:spacing w:before="0" w:after="120"/>
      </w:pPr>
      <w:r>
        <w:rPr>
          <w:sz w:val="22"/>
        </w:rPr>
        <w:t xml:space="preserve">[TO COMPLETE: address and Eircode], let as the Tenant’s residence. Inventory and photographs are attached as Schedule 1.</w:t>
      </w:r>
    </w:p>
    <w:p>
      <w:pPr>
        <w:spacing w:before="200" w:after="80"/>
      </w:pPr>
      <w:r>
        <w:rPr>
          <w:b/>
          <w:sz w:val="26"/>
        </w:rPr>
        <w:t xml:space="preserve">2. Tenancy and term</w:t>
      </w:r>
    </w:p>
    <w:p>
      <w:pPr>
        <w:spacing w:before="0" w:after="120"/>
      </w:pPr>
      <w:r>
        <w:rPr>
          <w:sz w:val="22"/>
        </w:rPr>
        <w:t xml:space="preserve">Tenancy start date: [date]. Duration: [TO COMPLETE according to the Residential Tenancies Acts in force — security of tenure rules apply]. Termination notices must respect the statutory notice periods and grounds. [CHECK.]</w:t>
      </w:r>
    </w:p>
    <w:p>
      <w:pPr>
        <w:spacing w:before="200" w:after="80"/>
      </w:pPr>
      <w:r>
        <w:rPr>
          <w:b/>
          <w:sz w:val="26"/>
        </w:rPr>
        <w:t xml:space="preserve">3. Rent</w:t>
      </w:r>
    </w:p>
    <w:p>
      <w:pPr>
        <w:spacing w:before="0" w:after="120"/>
      </w:pPr>
      <w:r>
        <w:rPr>
          <w:sz w:val="22"/>
        </w:rPr>
        <w:t xml:space="preserve">Rent: €[ ] per [month], payable in advance on the [ ] day by [bank transfer]. Rent reviews are limited to once per period permitted by law and, in a rent pressure zone, to the maximum increase allowed. [CHECK.]</w:t>
      </w:r>
    </w:p>
    <w:p>
      <w:pPr>
        <w:spacing w:before="200" w:after="80"/>
      </w:pPr>
      <w:r>
        <w:rPr>
          <w:b/>
          <w:sz w:val="26"/>
        </w:rPr>
        <w:t xml:space="preserve">4. Deposit</w:t>
      </w:r>
    </w:p>
    <w:p>
      <w:pPr>
        <w:spacing w:before="0" w:after="120"/>
      </w:pPr>
      <w:r>
        <w:rPr>
          <w:sz w:val="22"/>
        </w:rPr>
        <w:t xml:space="preserve">Deposit: €[ ] (not exceeding the legal limit), returned at the end of the tenancy less proven deductions, in line with the law. [CHECK.]</w:t>
      </w:r>
    </w:p>
    <w:p>
      <w:pPr>
        <w:spacing w:before="200" w:after="80"/>
      </w:pPr>
      <w:r>
        <w:rPr>
          <w:b/>
          <w:sz w:val="26"/>
        </w:rPr>
        <w:t xml:space="preserve">5. Registration</w:t>
      </w:r>
    </w:p>
    <w:p>
      <w:pPr>
        <w:spacing w:before="0" w:after="120"/>
      </w:pPr>
      <w:r>
        <w:rPr>
          <w:sz w:val="22"/>
        </w:rPr>
        <w:t xml:space="preserve">The Landlord registers the tenancy with the Residential Tenancies Board within the statutory period and gives the Tenant the registration details.</w:t>
      </w:r>
    </w:p>
    <w:p>
      <w:pPr>
        <w:spacing w:before="200" w:after="80"/>
      </w:pPr>
      <w:r>
        <w:rPr>
          <w:b/>
          <w:sz w:val="26"/>
        </w:rPr>
        <w:t xml:space="preserve">6. Landlord’s obligations</w:t>
      </w:r>
    </w:p>
    <w:p>
      <w:pPr>
        <w:spacing w:before="0" w:after="120"/>
      </w:pPr>
      <w:r>
        <w:rPr>
          <w:sz w:val="22"/>
        </w:rPr>
        <w:t xml:space="preserve">Provide a dwelling that meets the minimum standards for rented houses; maintain and repair structure and installations; provide a valid BER (energy rating) certificate; allow quiet enjoyment; give the Tenant the required rent book/receipts and notices.</w:t>
      </w:r>
    </w:p>
    <w:p>
      <w:pPr>
        <w:spacing w:before="200" w:after="80"/>
      </w:pPr>
      <w:r>
        <w:rPr>
          <w:b/>
          <w:sz w:val="26"/>
        </w:rPr>
        <w:t xml:space="preserve">7. Tenant’s obligations</w:t>
      </w:r>
    </w:p>
    <w:p>
      <w:pPr>
        <w:spacing w:before="0" w:after="120"/>
      </w:pPr>
      <w:r>
        <w:rPr>
          <w:sz w:val="22"/>
        </w:rPr>
        <w:t xml:space="preserve">Pay rent and utility bills; keep the dwelling clean and in good order; not cause damage or anti-social behaviour; allow access on proper notice; not sublet or assign without written consent.</w:t>
      </w:r>
    </w:p>
    <w:p>
      <w:pPr>
        <w:spacing w:before="200" w:after="80"/>
      </w:pPr>
      <w:r>
        <w:rPr>
          <w:b/>
          <w:sz w:val="26"/>
        </w:rPr>
        <w:t xml:space="preserve">8. Assignment and subletting</w:t>
      </w:r>
    </w:p>
    <w:p>
      <w:pPr>
        <w:spacing w:before="0" w:after="120"/>
      </w:pPr>
      <w:r>
        <w:rPr>
          <w:sz w:val="22"/>
        </w:rPr>
        <w:t xml:space="preserve">Not permitted without the Landlord’s written consent, except as the law provides.</w:t>
      </w:r>
    </w:p>
    <w:p>
      <w:pPr>
        <w:spacing w:before="200" w:after="80"/>
      </w:pPr>
      <w:r>
        <w:rPr>
          <w:b/>
          <w:sz w:val="26"/>
        </w:rPr>
        <w:t xml:space="preserve">9. Disputes</w:t>
      </w:r>
    </w:p>
    <w:p>
      <w:pPr>
        <w:spacing w:before="0" w:after="120"/>
      </w:pPr>
      <w:r>
        <w:rPr>
          <w:sz w:val="22"/>
        </w:rPr>
        <w:t xml:space="preserve">Disputes may be referred to the Residential Tenancies Board dispute resolution service.</w:t>
      </w:r>
    </w:p>
    <w:p>
      <w:pPr>
        <w:spacing w:before="200" w:after="80"/>
      </w:pPr>
      <w:r>
        <w:rPr>
          <w:b/>
          <w:sz w:val="26"/>
        </w:rPr>
        <w:t xml:space="preserve">10. Governing law</w:t>
      </w:r>
    </w:p>
    <w:p>
      <w:pPr>
        <w:spacing w:before="0" w:after="120"/>
      </w:pPr>
      <w:r>
        <w:rPr>
          <w:sz w:val="22"/>
        </w:rPr>
        <w:t xml:space="preserve">The laws of Ireland apply.</w:t>
      </w:r>
    </w:p>
    <w:p>
      <w:pPr>
        <w:spacing w:before="200" w:after="80"/>
      </w:pPr>
      <w:r>
        <w:rPr>
          <w:b/>
          <w:sz w:val="26"/>
        </w:rPr>
        <w:t xml:space="preserve">Special terms</w:t>
      </w:r>
    </w:p>
    <w:p>
      <w:pPr>
        <w:spacing w:before="0" w:after="120"/>
      </w:pPr>
      <w:r>
        <w:rPr>
          <w:sz w:val="22"/>
        </w:rPr>
        <w:t xml:space="preserve">[TO COMPLETE]</w:t>
      </w:r>
    </w:p>
    <w:p>
      <w:pPr>
        <w:spacing w:before="200" w:after="80"/>
      </w:pPr>
      <w:r>
        <w:rPr>
          <w:b/>
          <w:sz w:val="26"/>
        </w:rPr>
        <w:t xml:space="preserve">Signatures</w:t>
      </w:r>
    </w:p>
    <w:p>
      <w:pPr>
        <w:spacing w:before="0" w:after="120"/>
      </w:pPr>
      <w:r>
        <w:rPr>
          <w:sz w:val="22"/>
        </w:rPr>
        <w:t xml:space="preserve">Date: ____________________</w:t>
      </w:r>
    </w:p>
    <w:p>
      <w:pPr>
        <w:spacing w:before="0" w:after="120"/>
      </w:pPr>
      <w:r>
        <w:rPr>
          <w:sz w:val="22"/>
        </w:rPr>
        <w:t xml:space="preserve">Landlord: ____________________        Tenant: ____________________</w:t>
      </w:r>
    </w:p>
    <w:p>
      <w:pPr>
        <w:spacing w:before="200" w:after="80"/>
      </w:pPr>
      <w:r>
        <w:rPr>
          <w:b/>
          <w:sz w:val="26"/>
        </w:rPr>
        <w:t xml:space="preserve">Points for a local professional to check</w:t>
      </w:r>
    </w:p>
    <w:p>
      <w:pPr>
        <w:spacing w:before="0" w:after="120"/>
      </w:pPr>
      <w:r>
        <w:rPr>
          <w:sz w:val="22"/>
        </w:rPr>
        <w:t xml:space="preserve">• Tenancy duration and security of tenure • Rent pressure zone limits • Deposit limit and return rules • RTB registration deadline and fees • Notice periods • Minimum standards for rented houses.</w:t>
      </w:r>
    </w:p>
    <w:p>
      <w:pPr>
        <w:spacing w:before="300" w:after="120"/>
      </w:pPr>
      <w:r>
        <w:rPr>
          <w:b/>
          <w:color w:val="B3261E"/>
          <w:sz w:val="18"/>
        </w:rPr>
        <w:t xml:space="preserve">DRAFT — NOT LEGALLY VALIDATED. Have a solicitor or the Residential Tenancies Board guidance check it before signing. This is not legal advice.</w:t>
      </w:r>
    </w:p>
    <w:p>
      <w:pPr>
        <w:spacing w:before="0" w:after="120"/>
      </w:pPr>
      <w:r>
        <w:rPr>
          <w:i/>
          <w:sz w:val="16"/>
        </w:rPr>
        <w:t xml:space="preserve">Modèle généré par PatrimoLoc — version 1.</w:t>
      </w:r>
    </w:p>
    <w:sectPr>
      <w:pgSz w:w="11906" w:h="16838"/>
      <w:pgMar w:top="1134" w:right="1134" w:bottom="1134" w:left="1134" w:header="708" w:footer="708" w:gutter="0"/>
    </w:sectPr>
  </w:body>
</w:document>
</file>