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Flux utilisateur</w:t>
      </w:r>
    </w:p>
    <w:p w:rsidR="00000000" w:rsidDel="00000000" w:rsidP="00000000" w:rsidRDefault="00000000" w:rsidRPr="00000000" w14:paraId="0000000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Création de compte lié à une adresse courriel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Téléversement de fichiers VCF, PLINK, bgen (?)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Téléchargement d’un dossier zip des résultats finaux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Garder les données pendant 30 jours (seulement les résultats)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Améliorer UI pour le système FCFS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Gestion de plusieurs utilisateurs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Gestion des ressources disponibles (max 1G par utilisateur et référer au bim du dietnet pour extraction?)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Mise en file d’attente des analyses lorsque plusieurs utilisateurs soumettent une job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 simultanés (on ne le gère pas parce que 50G?)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Traitement des données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Input : VCF ou PLINK avec individus et génotypes </w:t>
      </w:r>
      <w:r w:rsidDel="00000000" w:rsidR="00000000" w:rsidRPr="00000000">
        <w:rPr>
          <w:color w:val="980000"/>
          <w:rtl w:val="0"/>
        </w:rPr>
        <w:t xml:space="preserve">harmonisés avec génome de référence en GRCh38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Extract genotypes of dietnet overlap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Camille: refactor id col with chr+pos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Gestion des alleles flip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Gestion des alleles mismatch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Missing rate per sample (à reporter dans le tableau des résultats)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Statistiques avec 1KGP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HDF5 avec les données dietnet de 1KGP en permanence sur le serveur?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Inférence avec les SNPs du overlap :  reporter performance continentale dans le log et par population dans le matrice de confusion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Résultats finaux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Dossier zip à télécharger avec les différents fichiers de résultats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Encryption avec password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Fichiers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Log file: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Nombre de SNPs total et dans l’overlap (par pos et par alleles?)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Accuracy dans 1KGP (continentale seulement?)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Liste des SNPs qui sont (et ne sont pas) dans l’overlap avec le dietnet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Tableau prédictions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5"/>
        <w:gridCol w:w="945"/>
        <w:gridCol w:w="1170"/>
        <w:gridCol w:w="1215"/>
        <w:gridCol w:w="660"/>
        <w:gridCol w:w="675"/>
        <w:gridCol w:w="660"/>
        <w:gridCol w:w="660"/>
        <w:gridCol w:w="675"/>
        <w:gridCol w:w="585"/>
        <w:gridCol w:w="735"/>
        <w:gridCol w:w="465"/>
        <w:tblGridChange w:id="0">
          <w:tblGrid>
            <w:gridCol w:w="915"/>
            <w:gridCol w:w="945"/>
            <w:gridCol w:w="1170"/>
            <w:gridCol w:w="1215"/>
            <w:gridCol w:w="660"/>
            <w:gridCol w:w="675"/>
            <w:gridCol w:w="660"/>
            <w:gridCol w:w="660"/>
            <w:gridCol w:w="675"/>
            <w:gridCol w:w="585"/>
            <w:gridCol w:w="735"/>
            <w:gridCol w:w="4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 rate*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Continent consensus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Population consensus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GWD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GWD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  <w:t xml:space="preserve">* Missing rate calculé par rapport à l’overlap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  <w:t xml:space="preserve">Consensus: seuil de 12 (80%) ?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Matrice de confusion pour 1KGP 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338676" cy="272130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8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8676" cy="2721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Bar plot des prédictions des 15 modèles pour les user samples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833938" cy="102976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34158" l="8974" r="0" t="35891"/>
                    <a:stretch>
                      <a:fillRect/>
                    </a:stretch>
                  </pic:blipFill>
                  <pic:spPr>
                    <a:xfrm>
                      <a:off x="0" y="0"/>
                      <a:ext cx="4833938" cy="1029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PCA de la dernière couche cachée pour 1KGP avec projection des user samples (mais on doit vérifier avant ce qu’il se passe avec du missing)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024188" cy="198938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39583" r="0" t="33154"/>
                    <a:stretch>
                      <a:fillRect/>
                    </a:stretch>
                  </pic:blipFill>
                  <pic:spPr>
                    <a:xfrm>
                      <a:off x="0" y="0"/>
                      <a:ext cx="3024188" cy="1989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