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00"/>
      </w:pPr>
      <w:r>
        <w:t xml:space="preserve"/>
      </w:r>
    </w:p>
    <w:p>
      <w:pPr>
        <w:spacing w:after="80" w:before="0"/>
        <w:jc w:val="center"/>
      </w:pPr>
      <w:r>
        <w:rPr>
          <w:rFonts w:ascii="Arial" w:cs="Arial" w:eastAsia="Arial" w:hAnsi="Arial"/>
          <w:b/>
          <w:bCs/>
          <w:color w:val="1F3864"/>
          <w:sz w:val="48"/>
          <w:szCs w:val="48"/>
        </w:rPr>
        <w:t xml:space="preserve">ANALYSE EXPLORATOIRE DE DONNÉES</w:t>
      </w:r>
    </w:p>
    <w:p>
      <w:pPr>
        <w:pBdr>
          <w:bottom w:val="single" w:color="2E75B6" w:sz="8" w:space="8"/>
        </w:pBdr>
        <w:spacing w:after="80" w:before="0"/>
        <w:jc w:val="center"/>
      </w:pPr>
      <w:r>
        <w:rPr>
          <w:rFonts w:ascii="Arial" w:cs="Arial" w:eastAsia="Arial" w:hAnsi="Arial"/>
          <w:color w:val="2E75B6"/>
          <w:sz w:val="30"/>
          <w:szCs w:val="30"/>
        </w:rPr>
        <w:t xml:space="preserve">Partie 2 — Analyse Sectorielle du BFR et du Cycle d'Exploitation</w:t>
      </w:r>
    </w:p>
    <w:p>
      <w:pPr>
        <w:spacing w:after="80" w:before="400"/>
      </w:pPr>
      <w:r>
        <w:t xml:space="preserve"/>
      </w:r>
    </w:p>
    <w:p>
      <w:pPr>
        <w:jc w:val="center"/>
      </w:pPr>
      <w:r>
        <w:rPr>
          <w:rFonts w:ascii="Arial" w:cs="Arial" w:eastAsia="Arial" w:hAnsi="Arial"/>
          <w:color w:val="555555"/>
          <w:sz w:val="21"/>
          <w:szCs w:val="21"/>
        </w:rPr>
        <w:t xml:space="preserve">Source : INPI / BCE  |  6 051 701 entrées  |  20 secteurs macro  |  Période 2010–2024</w:t>
      </w:r>
    </w:p>
    <w:p>
      <w:pPr>
        <w:spacing w:after="80" w:before="80"/>
      </w:pPr>
      <w:r>
        <w:t xml:space="preserve"/>
      </w:r>
    </w:p>
    <w:p>
      <w:pPr>
        <w:jc w:val="center"/>
      </w:pPr>
      <w:r>
        <w:rPr>
          <w:rFonts w:ascii="Arial" w:cs="Arial" w:eastAsia="Arial" w:hAnsi="Arial"/>
          <w:color w:val="888888"/>
          <w:sz w:val="20"/>
          <w:szCs w:val="20"/>
        </w:rPr>
        <w:t xml:space="preserve">Suite de la Partie 1 : Structure financière &amp; ratios clés</w:t>
      </w:r>
    </w:p>
    <w:p>
      <w:pPr>
        <w:spacing w:after="80" w:before="500"/>
      </w:pPr>
      <w:r>
        <w:t xml:space="preserve"/>
      </w:r>
    </w:p>
    <w:p>
      <w:pPr>
        <w:jc w:val="center"/>
      </w:pPr>
      <w:r>
        <w:rPr>
          <w:rFonts w:ascii="Arial" w:cs="Arial" w:eastAsia="Arial" w:hAnsi="Arial"/>
          <w:b/>
          <w:bCs/>
          <w:color w:val="1F3864"/>
          <w:sz w:val="28"/>
          <w:szCs w:val="28"/>
        </w:rPr>
        <w:t xml:space="preserve">Yacin  |  Data Analyst  |  2025</w:t>
      </w:r>
    </w:p>
    <w:p>
      <w:r>
        <w:br w:type="page"/>
      </w:r>
    </w:p>
    <w:p>
      <w:pPr>
        <w:pStyle w:val="Heading1"/>
        <w:pBdr>
          <w:bottom w:val="single" w:color="1F3864" w:sz="6" w:space="6"/>
        </w:pBdr>
        <w:spacing w:after="160" w:before="420"/>
      </w:pPr>
      <w:r>
        <w:rPr>
          <w:rFonts w:ascii="Arial" w:cs="Arial" w:eastAsia="Arial" w:hAnsi="Arial"/>
          <w:b/>
          <w:bCs/>
          <w:color w:val="1F3864"/>
          <w:sz w:val="34"/>
          <w:szCs w:val="34"/>
        </w:rPr>
        <w:t xml:space="preserve">0. Corrections apportées au notebook</w:t>
      </w:r>
    </w:p>
    <w:p>
      <w:pPr>
        <w:spacing w:after="70" w:before="70"/>
        <w:jc w:val="both"/>
      </w:pPr>
      <w:r>
        <w:rPr>
          <w:rFonts w:ascii="Arial" w:cs="Arial" w:eastAsia="Arial" w:hAnsi="Arial"/>
          <w:b w:val="false"/>
          <w:bCs w:val="false"/>
          <w:color w:val="222222"/>
          <w:sz w:val="22"/>
          <w:szCs w:val="22"/>
        </w:rPr>
        <w:t xml:space="preserve">Avant de présenter les résultats de la Partie 2, trois corrections importantes ont été apportées au code source pour garantir la fiabilité des analyses.</w:t>
      </w:r>
    </w:p>
    <w:p>
      <w:pPr>
        <w:spacing w:after="80" w:before="60"/>
      </w:pPr>
      <w:r>
        <w:t xml:space="preserve"/>
      </w:r>
    </w:p>
    <w:p>
      <w:pPr>
        <w:pStyle w:val="Heading2"/>
        <w:spacing w:after="100" w:before="280"/>
      </w:pPr>
      <w:r>
        <w:rPr>
          <w:rFonts w:ascii="Arial" w:cs="Arial" w:eastAsia="Arial" w:hAnsi="Arial"/>
          <w:b/>
          <w:bCs/>
          <w:color w:val="2E75B6"/>
          <w:sz w:val="26"/>
          <w:szCs w:val="26"/>
        </w:rPr>
        <w:t xml:space="preserve">0.1  Correction — Labels S / C / K (erreur conceptuelle)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E74C3C" w:sz="20"/>
              <w:bottom w:val="single" w:color="CCCCCC" w:sz="1"/>
              <w:right w:val="single" w:color="CCCCCC" w:sz="1"/>
            </w:tcBorders>
            <w:shd w:fill="FFF0F0" w:val="clear"/>
            <w:tcMar>
              <w:top w:type="dxa" w:w="120"/>
              <w:left w:type="dxa" w:w="220"/>
              <w:bottom w:type="dxa" w:w="120"/>
              <w:right w:type="dxa" w:w="160"/>
            </w:tcMar>
          </w:tcPr>
          <w:p>
            <w:pPr>
              <w:jc w:val="both"/>
            </w:pPr>
            <w:r>
              <w:rPr>
                <w:rFonts w:ascii="Arial" w:cs="Arial" w:eastAsia="Arial" w:hAnsi="Arial"/>
                <w:color w:val="1A1A2E"/>
                <w:sz w:val="21"/>
                <w:szCs w:val="21"/>
              </w:rPr>
              <w:t xml:space="preserve">Erreur identifiée : Dans la Partie 1, les labels S, C, K étaient interprétés de façon incorrecte (S = 'Solide', K = 'Fragile'). La réalité dans la base INPI est : S = bilan Simplifié (petites structures), C = bilan Complet (PME/ETI structurées), K = bilan Consolidé (groupes). Cette distinction est fondamentale pour interpréter correctement les résultats.</w:t>
            </w:r>
          </w:p>
        </w:tc>
      </w:tr>
    </w:tbl>
    <w:p>
      <w:pPr>
        <w:spacing w:after="8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3200"/>
        <w:gridCol w:w="3126"/>
      </w:tblGrid>
      <w:tr>
        <w:tc>
          <w:tcPr>
            <w:tcW w:type="dxa" w:w="9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Type</w:t>
            </w:r>
          </w:p>
        </w:tc>
        <w:tc>
          <w:tcPr>
            <w:tcW w:type="dxa" w:w="18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Nom réel</w:t>
            </w:r>
          </w:p>
        </w:tc>
        <w:tc>
          <w:tcPr>
            <w:tcW w:type="dxa" w:w="3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Profil d'entreprise</w:t>
            </w:r>
          </w:p>
        </w:tc>
        <w:tc>
          <w:tcPr>
            <w:tcW w:type="dxa" w:w="3126"/>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Volume dans la base</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9"/>
                <w:szCs w:val="19"/>
              </w:rPr>
              <w:t xml:space="preserve">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9"/>
                <w:szCs w:val="19"/>
              </w:rPr>
              <w:t xml:space="preserve">Simplifié</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9"/>
                <w:szCs w:val="19"/>
              </w:rPr>
              <w:t xml:space="preserve">Micro-entreprises, TPE</w:t>
            </w:r>
          </w:p>
        </w:tc>
        <w:tc>
          <w:tcPr>
            <w:tcW w:type="dxa" w:w="31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9"/>
                <w:szCs w:val="19"/>
              </w:rPr>
              <w:t xml:space="preserve">539 999 (27 %)</w:t>
            </w:r>
          </w:p>
        </w:tc>
      </w:tr>
      <w:tr>
        <w:tc>
          <w:tcPr>
            <w:tcW w:type="dxa" w:w="900"/>
            <w:tcBorders>
              <w:top w:val="single" w:color="CCCCCC" w:sz="1"/>
              <w:left w:val="single" w:color="CCCCCC" w:sz="1"/>
              <w:bottom w:val="single" w:color="CCCCCC" w:sz="1"/>
              <w:right w:val="single" w:color="CCCCCC" w:sz="1"/>
            </w:tcBorders>
            <w:shd w:fill="F0F5FB"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9"/>
                <w:szCs w:val="19"/>
              </w:rPr>
              <w:t xml:space="preserve">C</w:t>
            </w:r>
          </w:p>
        </w:tc>
        <w:tc>
          <w:tcPr>
            <w:tcW w:type="dxa" w:w="1800"/>
            <w:tcBorders>
              <w:top w:val="single" w:color="CCCCCC" w:sz="1"/>
              <w:left w:val="single" w:color="CCCCCC" w:sz="1"/>
              <w:bottom w:val="single" w:color="CCCCCC" w:sz="1"/>
              <w:right w:val="single" w:color="CCCCCC" w:sz="1"/>
            </w:tcBorders>
            <w:shd w:fill="F0F5FB"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9"/>
                <w:szCs w:val="19"/>
              </w:rPr>
              <w:t xml:space="preserve">Complet</w:t>
            </w:r>
          </w:p>
        </w:tc>
        <w:tc>
          <w:tcPr>
            <w:tcW w:type="dxa" w:w="3200"/>
            <w:tcBorders>
              <w:top w:val="single" w:color="CCCCCC" w:sz="1"/>
              <w:left w:val="single" w:color="CCCCCC" w:sz="1"/>
              <w:bottom w:val="single" w:color="CCCCCC" w:sz="1"/>
              <w:right w:val="single" w:color="CCCCCC" w:sz="1"/>
            </w:tcBorders>
            <w:shd w:fill="F0F5FB"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9"/>
                <w:szCs w:val="19"/>
              </w:rPr>
              <w:t xml:space="preserve">PME, ETI structurées</w:t>
            </w:r>
          </w:p>
        </w:tc>
        <w:tc>
          <w:tcPr>
            <w:tcW w:type="dxa" w:w="3126"/>
            <w:tcBorders>
              <w:top w:val="single" w:color="CCCCCC" w:sz="1"/>
              <w:left w:val="single" w:color="CCCCCC" w:sz="1"/>
              <w:bottom w:val="single" w:color="CCCCCC" w:sz="1"/>
              <w:right w:val="single" w:color="CCCCCC" w:sz="1"/>
            </w:tcBorders>
            <w:shd w:fill="F0F5FB"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9"/>
                <w:szCs w:val="19"/>
              </w:rPr>
              <w:t xml:space="preserve">1 473 090 (73 %)</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9"/>
                <w:szCs w:val="19"/>
              </w:rPr>
              <w:t xml:space="preserve">K</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9"/>
                <w:szCs w:val="19"/>
              </w:rPr>
              <w:t xml:space="preserve">Consolidé</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9"/>
                <w:szCs w:val="19"/>
              </w:rPr>
              <w:t xml:space="preserve">Groupes, holdings</w:t>
            </w:r>
          </w:p>
        </w:tc>
        <w:tc>
          <w:tcPr>
            <w:tcW w:type="dxa" w:w="31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9"/>
                <w:szCs w:val="19"/>
              </w:rPr>
              <w:t xml:space="preserve">5 495 (&lt; 1 %)</w:t>
            </w:r>
          </w:p>
        </w:tc>
      </w:tr>
    </w:tbl>
    <w:p>
      <w:pPr>
        <w:spacing w:after="80" w:before="80"/>
      </w:pPr>
      <w:r>
        <w:t xml:space="preserve"/>
      </w:r>
    </w:p>
    <w:p>
      <w:pPr>
        <w:pStyle w:val="Heading2"/>
        <w:spacing w:after="100" w:before="280"/>
      </w:pPr>
      <w:r>
        <w:rPr>
          <w:rFonts w:ascii="Arial" w:cs="Arial" w:eastAsia="Arial" w:hAnsi="Arial"/>
          <w:b/>
          <w:bCs/>
          <w:color w:val="2E75B6"/>
          <w:sz w:val="26"/>
          <w:szCs w:val="26"/>
        </w:rPr>
        <w:t xml:space="preserve">0.2  Correction — BFR par type de bilan (problème d'unité)</w:t>
      </w:r>
    </w:p>
    <w:p>
      <w:pPr>
        <w:spacing w:after="70" w:before="70"/>
        <w:jc w:val="both"/>
      </w:pPr>
      <w:r>
        <w:rPr>
          <w:rFonts w:ascii="Arial" w:cs="Arial" w:eastAsia="Arial" w:hAnsi="Arial"/>
          <w:b w:val="false"/>
          <w:bCs w:val="false"/>
          <w:color w:val="222222"/>
          <w:sz w:val="22"/>
          <w:szCs w:val="22"/>
        </w:rPr>
        <w:t xml:space="preserve">Les valeurs C = +29 321, K = +7 478, S = –13 694 étaient des moyennes calculées sans filtre préalable sur les valeurs extrêmes de la colonne Poids_BFR_exploitation_sur_CA, qui contient des outliers massifs (la plage brute va de –10⁷ à +10⁹). Ces chiffres ne sont donc pas directement interprétables comme des ratios. Le code corrigé applique un filtre entre –1 et +1 avant l'agrégation :</w:t>
      </w:r>
    </w:p>
    <w:p>
      <w:pPr>
        <w:spacing w:after="80" w:before="40"/>
      </w:pPr>
      <w:r>
        <w:t xml:space="preserve"/>
      </w:r>
    </w:p>
    <w:p>
      <w:pPr>
        <w:shd w:fill="F3F3F3" w:val="clear"/>
        <w:spacing w:after="25" w:before="25"/>
      </w:pPr>
      <w:r>
        <w:rPr>
          <w:rFonts w:ascii="Courier New" w:cs="Courier New" w:eastAsia="Courier New" w:hAnsi="Courier New"/>
          <w:color w:val="222222"/>
          <w:sz w:val="18"/>
          <w:szCs w:val="18"/>
        </w:rPr>
        <w:t xml:space="preserve"># ❌ Code original — pas de filtre, moyennes polluées par les outliers</w:t>
      </w:r>
    </w:p>
    <w:p>
      <w:pPr>
        <w:shd w:fill="F3F3F3" w:val="clear"/>
        <w:spacing w:after="25" w:before="25"/>
      </w:pPr>
      <w:r>
        <w:rPr>
          <w:rFonts w:ascii="Courier New" w:cs="Courier New" w:eastAsia="Courier New" w:hAnsi="Courier New"/>
          <w:color w:val="222222"/>
          <w:sz w:val="18"/>
          <w:szCs w:val="18"/>
        </w:rPr>
        <w:t xml:space="preserve">bfr_par_bilan = df_clean.groupby("type_bilan")["Poids_BFR_exploitation_sur_CA"].mean()</w:t>
      </w:r>
    </w:p>
    <w:p>
      <w:pPr>
        <w:spacing w:after="80" w:before="30"/>
      </w:pPr>
      <w:r>
        <w:t xml:space="preserve"/>
      </w:r>
    </w:p>
    <w:p>
      <w:pPr>
        <w:shd w:fill="F3F3F3" w:val="clear"/>
        <w:spacing w:after="25" w:before="25"/>
      </w:pPr>
      <w:r>
        <w:rPr>
          <w:rFonts w:ascii="Courier New" w:cs="Courier New" w:eastAsia="Courier New" w:hAnsi="Courier New"/>
          <w:color w:val="222222"/>
          <w:sz w:val="18"/>
          <w:szCs w:val="18"/>
        </w:rPr>
        <w:t xml:space="preserve"># ✅ Code corrigé — filtre strict puis médiane (plus robuste que la moyenne)</w:t>
      </w:r>
    </w:p>
    <w:p>
      <w:pPr>
        <w:shd w:fill="F3F3F3" w:val="clear"/>
        <w:spacing w:after="25" w:before="25"/>
      </w:pPr>
      <w:r>
        <w:rPr>
          <w:rFonts w:ascii="Courier New" w:cs="Courier New" w:eastAsia="Courier New" w:hAnsi="Courier New"/>
          <w:color w:val="222222"/>
          <w:sz w:val="18"/>
          <w:szCs w:val="18"/>
        </w:rPr>
        <w:t xml:space="preserve">df_bfr_clean = df_clean[df_clean["Poids_BFR_exploitation_sur_CA"].between(-1, 1)]</w:t>
      </w:r>
    </w:p>
    <w:p>
      <w:pPr>
        <w:shd w:fill="F3F3F3" w:val="clear"/>
        <w:spacing w:after="25" w:before="25"/>
      </w:pPr>
      <w:r>
        <w:rPr>
          <w:rFonts w:ascii="Courier New" w:cs="Courier New" w:eastAsia="Courier New" w:hAnsi="Courier New"/>
          <w:color w:val="222222"/>
          <w:sz w:val="18"/>
          <w:szCs w:val="18"/>
        </w:rPr>
        <w:t xml:space="preserve">bfr_par_bilan = df_bfr_clean.groupby("type_bilan")["Poids_BFR_exploitation_sur_CA"].median()</w:t>
      </w:r>
    </w:p>
    <w:p>
      <w:pPr>
        <w:spacing w:after="80" w:before="80"/>
      </w:pPr>
      <w:r>
        <w:t xml:space="preserve"/>
      </w:r>
    </w:p>
    <w:p>
      <w:pPr>
        <w:pStyle w:val="Heading2"/>
        <w:spacing w:after="100" w:before="280"/>
      </w:pPr>
      <w:r>
        <w:rPr>
          <w:rFonts w:ascii="Arial" w:cs="Arial" w:eastAsia="Arial" w:hAnsi="Arial"/>
          <w:b/>
          <w:bCs/>
          <w:color w:val="2E75B6"/>
          <w:sz w:val="26"/>
          <w:szCs w:val="26"/>
        </w:rPr>
        <w:t xml:space="preserve">0.3  Correction — Données temporelles hors périmètre</w:t>
      </w:r>
    </w:p>
    <w:p>
      <w:pPr>
        <w:spacing w:after="70" w:before="70"/>
        <w:jc w:val="both"/>
      </w:pPr>
      <w:r>
        <w:rPr>
          <w:rFonts w:ascii="Arial" w:cs="Arial" w:eastAsia="Arial" w:hAnsi="Arial"/>
          <w:b w:val="false"/>
          <w:bCs w:val="false"/>
          <w:color w:val="222222"/>
          <w:sz w:val="22"/>
          <w:szCs w:val="22"/>
        </w:rPr>
        <w:t xml:space="preserve">L'analyse temporelle incluait des années aberrantes (1919, 2025, 2026) qui faussaient les courbes. Correction appliquée :</w:t>
      </w:r>
    </w:p>
    <w:p>
      <w:pPr>
        <w:shd w:fill="F3F3F3" w:val="clear"/>
        <w:spacing w:after="25" w:before="25"/>
      </w:pPr>
      <w:r>
        <w:rPr>
          <w:rFonts w:ascii="Courier New" w:cs="Courier New" w:eastAsia="Courier New" w:hAnsi="Courier New"/>
          <w:color w:val="222222"/>
          <w:sz w:val="18"/>
          <w:szCs w:val="18"/>
        </w:rPr>
        <w:t xml:space="preserve"># ✅ Filtre temporel systématique</w:t>
      </w:r>
    </w:p>
    <w:p>
      <w:pPr>
        <w:shd w:fill="F3F3F3" w:val="clear"/>
        <w:spacing w:after="25" w:before="25"/>
      </w:pPr>
      <w:r>
        <w:rPr>
          <w:rFonts w:ascii="Courier New" w:cs="Courier New" w:eastAsia="Courier New" w:hAnsi="Courier New"/>
          <w:color w:val="222222"/>
          <w:sz w:val="18"/>
          <w:szCs w:val="18"/>
        </w:rPr>
        <w:t xml:space="preserve">df_clean = df_clean[df_clean["annee"].between(2010, 2024)]</w:t>
      </w:r>
    </w:p>
    <w:p>
      <w:pPr>
        <w:spacing w:after="80" w:before="40"/>
      </w:pPr>
      <w:r>
        <w:t xml:space="preserve"/>
      </w:r>
    </w:p>
    <w:p>
      <w:pPr>
        <w:pStyle w:val="Heading2"/>
        <w:spacing w:after="100" w:before="280"/>
      </w:pPr>
      <w:r>
        <w:rPr>
          <w:rFonts w:ascii="Arial" w:cs="Arial" w:eastAsia="Arial" w:hAnsi="Arial"/>
          <w:b/>
          <w:bCs/>
          <w:color w:val="2E75B6"/>
          <w:sz w:val="26"/>
          <w:szCs w:val="26"/>
        </w:rPr>
        <w:t xml:space="preserve">0.4  Correction — SettingWithCopyWarning (cellules 23, 92, 93)</w:t>
      </w:r>
    </w:p>
    <w:p>
      <w:pPr>
        <w:shd w:fill="F3F3F3" w:val="clear"/>
        <w:spacing w:after="25" w:before="25"/>
      </w:pPr>
      <w:r>
        <w:rPr>
          <w:rFonts w:ascii="Courier New" w:cs="Courier New" w:eastAsia="Courier New" w:hAnsi="Courier New"/>
          <w:color w:val="222222"/>
          <w:sz w:val="18"/>
          <w:szCs w:val="18"/>
        </w:rPr>
        <w:t xml:space="preserve"># ❌ Code original — assignation sur une copie de slice</w:t>
      </w:r>
    </w:p>
    <w:p>
      <w:pPr>
        <w:shd w:fill="F3F3F3" w:val="clear"/>
        <w:spacing w:after="25" w:before="25"/>
      </w:pPr>
      <w:r>
        <w:rPr>
          <w:rFonts w:ascii="Courier New" w:cs="Courier New" w:eastAsia="Courier New" w:hAnsi="Courier New"/>
          <w:color w:val="222222"/>
          <w:sz w:val="18"/>
          <w:szCs w:val="18"/>
        </w:rPr>
        <w:t xml:space="preserve">df_clean["annee"] = df_clean["date_cloture_exercice"].dt.year</w:t>
      </w:r>
    </w:p>
    <w:p>
      <w:pPr>
        <w:spacing w:after="80" w:before="30"/>
      </w:pPr>
      <w:r>
        <w:t xml:space="preserve"/>
      </w:r>
    </w:p>
    <w:p>
      <w:pPr>
        <w:shd w:fill="F3F3F3" w:val="clear"/>
        <w:spacing w:after="25" w:before="25"/>
      </w:pPr>
      <w:r>
        <w:rPr>
          <w:rFonts w:ascii="Courier New" w:cs="Courier New" w:eastAsia="Courier New" w:hAnsi="Courier New"/>
          <w:color w:val="222222"/>
          <w:sz w:val="18"/>
          <w:szCs w:val="18"/>
        </w:rPr>
        <w:t xml:space="preserve"># ✅ Code corrigé — .copy() explicite avant assignation</w:t>
      </w:r>
    </w:p>
    <w:p>
      <w:pPr>
        <w:shd w:fill="F3F3F3" w:val="clear"/>
        <w:spacing w:after="25" w:before="25"/>
      </w:pPr>
      <w:r>
        <w:rPr>
          <w:rFonts w:ascii="Courier New" w:cs="Courier New" w:eastAsia="Courier New" w:hAnsi="Courier New"/>
          <w:color w:val="222222"/>
          <w:sz w:val="18"/>
          <w:szCs w:val="18"/>
        </w:rPr>
        <w:t xml:space="preserve">df_clean = df_clean.copy()</w:t>
      </w:r>
    </w:p>
    <w:p>
      <w:pPr>
        <w:shd w:fill="F3F3F3" w:val="clear"/>
        <w:spacing w:after="25" w:before="25"/>
      </w:pPr>
      <w:r>
        <w:rPr>
          <w:rFonts w:ascii="Courier New" w:cs="Courier New" w:eastAsia="Courier New" w:hAnsi="Courier New"/>
          <w:color w:val="222222"/>
          <w:sz w:val="18"/>
          <w:szCs w:val="18"/>
        </w:rPr>
        <w:t xml:space="preserve">df_clean["annee"] = df_clean["date_cloture_exercice"].dt.year</w:t>
      </w:r>
    </w:p>
    <w:p>
      <w:pPr>
        <w:spacing w:after="80" w:before="40"/>
      </w:pPr>
      <w:r>
        <w:t xml:space="preserve"/>
      </w:r>
    </w:p>
    <w:p>
      <w:pPr>
        <w:pStyle w:val="Heading2"/>
        <w:spacing w:after="100" w:before="280"/>
      </w:pPr>
      <w:r>
        <w:rPr>
          <w:rFonts w:ascii="Arial" w:cs="Arial" w:eastAsia="Arial" w:hAnsi="Arial"/>
          <w:b/>
          <w:bCs/>
          <w:color w:val="2E75B6"/>
          <w:sz w:val="26"/>
          <w:szCs w:val="26"/>
        </w:rPr>
        <w:t xml:space="preserve">0.5  Correction — FutureWarning Seaborn palette (cellules 30, 87, 98, 126)</w:t>
      </w:r>
    </w:p>
    <w:p>
      <w:pPr>
        <w:shd w:fill="F3F3F3" w:val="clear"/>
        <w:spacing w:after="25" w:before="25"/>
      </w:pPr>
      <w:r>
        <w:rPr>
          <w:rFonts w:ascii="Courier New" w:cs="Courier New" w:eastAsia="Courier New" w:hAnsi="Courier New"/>
          <w:color w:val="222222"/>
          <w:sz w:val="18"/>
          <w:szCs w:val="18"/>
        </w:rPr>
        <w:t xml:space="preserve"># ❌ Original — déprécié Seaborn &gt;= 0.14</w:t>
      </w:r>
    </w:p>
    <w:p>
      <w:pPr>
        <w:shd w:fill="F3F3F3" w:val="clear"/>
        <w:spacing w:after="25" w:before="25"/>
      </w:pPr>
      <w:r>
        <w:rPr>
          <w:rFonts w:ascii="Courier New" w:cs="Courier New" w:eastAsia="Courier New" w:hAnsi="Courier New"/>
          <w:color w:val="222222"/>
          <w:sz w:val="18"/>
          <w:szCs w:val="18"/>
        </w:rPr>
        <w:t xml:space="preserve">sns.barplot(x=..., y=..., palette="viridis")</w:t>
      </w:r>
    </w:p>
    <w:p>
      <w:pPr>
        <w:spacing w:after="80" w:before="30"/>
      </w:pPr>
      <w:r>
        <w:t xml:space="preserve"/>
      </w:r>
    </w:p>
    <w:p>
      <w:pPr>
        <w:shd w:fill="F3F3F3" w:val="clear"/>
        <w:spacing w:after="25" w:before="25"/>
      </w:pPr>
      <w:r>
        <w:rPr>
          <w:rFonts w:ascii="Courier New" w:cs="Courier New" w:eastAsia="Courier New" w:hAnsi="Courier New"/>
          <w:color w:val="222222"/>
          <w:sz w:val="18"/>
          <w:szCs w:val="18"/>
        </w:rPr>
        <w:t xml:space="preserve"># ✅ Corrigé</w:t>
      </w:r>
    </w:p>
    <w:p>
      <w:pPr>
        <w:shd w:fill="F3F3F3" w:val="clear"/>
        <w:spacing w:after="25" w:before="25"/>
      </w:pPr>
      <w:r>
        <w:rPr>
          <w:rFonts w:ascii="Courier New" w:cs="Courier New" w:eastAsia="Courier New" w:hAnsi="Courier New"/>
          <w:color w:val="222222"/>
          <w:sz w:val="18"/>
          <w:szCs w:val="18"/>
        </w:rPr>
        <w:t xml:space="preserve">sns.barplot(x=..., y=..., hue=..., legend=False, palette="viridis")</w:t>
      </w:r>
    </w:p>
    <w:p>
      <w:pPr>
        <w:spacing w:after="80" w:before="40"/>
      </w:pPr>
      <w:r>
        <w:t xml:space="preserve"/>
      </w:r>
    </w:p>
    <w:p>
      <w:pPr>
        <w:pStyle w:val="Heading2"/>
        <w:spacing w:after="100" w:before="280"/>
      </w:pPr>
      <w:r>
        <w:rPr>
          <w:rFonts w:ascii="Arial" w:cs="Arial" w:eastAsia="Arial" w:hAnsi="Arial"/>
          <w:b/>
          <w:bCs/>
          <w:color w:val="2E75B6"/>
          <w:sz w:val="26"/>
          <w:szCs w:val="26"/>
        </w:rPr>
        <w:t xml:space="preserve">0.6  Correction — Coquille dans le titre (cellule 53)</w:t>
      </w:r>
    </w:p>
    <w:p>
      <w:pPr>
        <w:shd w:fill="F3F3F3" w:val="clear"/>
        <w:spacing w:after="25" w:before="25"/>
      </w:pPr>
      <w:r>
        <w:rPr>
          <w:rFonts w:ascii="Courier New" w:cs="Courier New" w:eastAsia="Courier New" w:hAnsi="Courier New"/>
          <w:color w:val="222222"/>
          <w:sz w:val="18"/>
          <w:szCs w:val="18"/>
        </w:rPr>
        <w:t xml:space="preserve"># ❌ plt.title("Distribution de l'autonomie financièreée)")</w:t>
      </w:r>
    </w:p>
    <w:p>
      <w:pPr>
        <w:shd w:fill="F3F3F3" w:val="clear"/>
        <w:spacing w:after="25" w:before="25"/>
      </w:pPr>
      <w:r>
        <w:rPr>
          <w:rFonts w:ascii="Courier New" w:cs="Courier New" w:eastAsia="Courier New" w:hAnsi="Courier New"/>
          <w:color w:val="222222"/>
          <w:sz w:val="18"/>
          <w:szCs w:val="18"/>
        </w:rPr>
        <w:t xml:space="preserve"># ✅ plt.title("Distribution de l'autonomie financière")</w:t>
      </w:r>
    </w:p>
    <w:p>
      <w:r>
        <w:br w:type="page"/>
      </w:r>
    </w:p>
    <w:p>
      <w:pPr>
        <w:pStyle w:val="Heading1"/>
        <w:pBdr>
          <w:bottom w:val="single" w:color="1F3864" w:sz="6" w:space="6"/>
        </w:pBdr>
        <w:spacing w:after="160" w:before="420"/>
      </w:pPr>
      <w:r>
        <w:rPr>
          <w:rFonts w:ascii="Arial" w:cs="Arial" w:eastAsia="Arial" w:hAnsi="Arial"/>
          <w:b/>
          <w:bCs/>
          <w:color w:val="1F3864"/>
          <w:sz w:val="34"/>
          <w:szCs w:val="34"/>
        </w:rPr>
        <w:t xml:space="preserve">1. Contexte et objectifs de la Partie 2</w:t>
      </w:r>
    </w:p>
    <w:p>
      <w:pPr>
        <w:spacing w:after="70" w:before="70"/>
        <w:jc w:val="both"/>
      </w:pPr>
      <w:r>
        <w:rPr>
          <w:rFonts w:ascii="Arial" w:cs="Arial" w:eastAsia="Arial" w:hAnsi="Arial"/>
          <w:b w:val="false"/>
          <w:bCs w:val="false"/>
          <w:color w:val="222222"/>
          <w:sz w:val="22"/>
          <w:szCs w:val="22"/>
        </w:rPr>
        <w:t xml:space="preserve">La Partie 1 a établi que les ratios financiers des entreprises françaises — endettement, CAF, autonomie financière — sont globalement stables dans le temps et peu corrélés entre eux. Ces résultats décrivent le tissu économique national dans sa globalité.</w:t>
      </w:r>
    </w:p>
    <w:p>
      <w:pPr>
        <w:spacing w:after="80" w:before="40"/>
      </w:pPr>
      <w:r>
        <w:t xml:space="preserve"/>
      </w:r>
    </w:p>
    <w:p>
      <w:pPr>
        <w:spacing w:after="70" w:before="70"/>
        <w:jc w:val="both"/>
      </w:pPr>
      <w:r>
        <w:rPr>
          <w:rFonts w:ascii="Arial" w:cs="Arial" w:eastAsia="Arial" w:hAnsi="Arial"/>
          <w:b w:val="false"/>
          <w:bCs w:val="false"/>
          <w:color w:val="222222"/>
          <w:sz w:val="22"/>
          <w:szCs w:val="22"/>
        </w:rPr>
        <w:t xml:space="preserve">Mais analyser 6 millions d'entreprises sans tenir compte de leur secteur d'activité revient à mélanger des boulangeries avec des aciéries. Le BFR d'un restaurateur (cycle de 2 jours) n'a rien à voir avec celui d'un constructeur naval (cycle de 300 jours). La segmentation sectorielle est la clé pour passer de l'observation à l'insight actionnable.</w:t>
      </w:r>
    </w:p>
    <w:p>
      <w:pPr>
        <w:spacing w:after="8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2E75B6" w:sz="20"/>
              <w:bottom w:val="single" w:color="CCCCCC" w:sz="1"/>
              <w:right w:val="single" w:color="CCCCCC" w:sz="1"/>
            </w:tcBorders>
            <w:shd w:fill="EBF3FB" w:val="clear"/>
            <w:tcMar>
              <w:top w:type="dxa" w:w="120"/>
              <w:left w:type="dxa" w:w="220"/>
              <w:bottom w:type="dxa" w:w="120"/>
              <w:right w:type="dxa" w:w="160"/>
            </w:tcMar>
          </w:tcPr>
          <w:p>
            <w:pPr>
              <w:jc w:val="both"/>
            </w:pPr>
            <w:r>
              <w:rPr>
                <w:rFonts w:ascii="Arial" w:cs="Arial" w:eastAsia="Arial" w:hAnsi="Arial"/>
                <w:color w:val="1A1A2E"/>
                <w:sz w:val="21"/>
                <w:szCs w:val="21"/>
              </w:rPr>
              <w:t xml:space="preserve">Promesse tenue : Dans la Partie 1, j'avais identifié la segmentation sectorielle comme axe prioritaire. Ce rapport livre exactement ça — 20 secteurs macro analysés sur 3 dimensions : BFR/CA, cycle d'exploitation (DIO+DSO−DPO), et profil opérationnel (DIO/DSO/DPO).</w:t>
            </w:r>
          </w:p>
        </w:tc>
      </w:tr>
    </w:tbl>
    <w:p>
      <w:pPr>
        <w:spacing w:after="80" w:before="80"/>
      </w:pPr>
      <w:r>
        <w:t xml:space="preserve"/>
      </w:r>
    </w:p>
    <w:p>
      <w:pPr>
        <w:pStyle w:val="Heading2"/>
        <w:spacing w:after="100" w:before="280"/>
      </w:pPr>
      <w:r>
        <w:rPr>
          <w:rFonts w:ascii="Arial" w:cs="Arial" w:eastAsia="Arial" w:hAnsi="Arial"/>
          <w:b/>
          <w:bCs/>
          <w:color w:val="2E75B6"/>
          <w:sz w:val="26"/>
          <w:szCs w:val="26"/>
        </w:rPr>
        <w:t xml:space="preserve">1.1  Enrichissement du dataset — merge NAF</w:t>
      </w:r>
    </w:p>
    <w:p>
      <w:pPr>
        <w:spacing w:after="70" w:before="70"/>
        <w:jc w:val="both"/>
      </w:pPr>
      <w:r>
        <w:rPr>
          <w:rFonts w:ascii="Arial" w:cs="Arial" w:eastAsia="Arial" w:hAnsi="Arial"/>
          <w:b w:val="false"/>
          <w:bCs w:val="false"/>
          <w:color w:val="222222"/>
          <w:sz w:val="22"/>
          <w:szCs w:val="22"/>
        </w:rPr>
        <w:t xml:space="preserve">Le dataset INPI/BCE a été enrichi avec les codes NAF (Nomenclature d'Activités Française) issus d'un fichier parquet secondaire. Ce merge a permis d'associer chaque entreprise à un secteur macro.</w:t>
      </w:r>
    </w:p>
    <w:p>
      <w:pPr>
        <w:spacing w:after="8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4226"/>
      </w:tblGrid>
      <w:tr>
        <w:tc>
          <w:tcPr>
            <w:tcW w:type="dxa" w:w="8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Étape</w:t>
            </w:r>
          </w:p>
        </w:tc>
        <w:tc>
          <w:tcPr>
            <w:tcW w:type="dxa" w:w="40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Action</w:t>
            </w:r>
          </w:p>
        </w:tc>
        <w:tc>
          <w:tcPr>
            <w:tcW w:type="dxa" w:w="4226"/>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Résultat</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9"/>
                <w:szCs w:val="19"/>
              </w:rPr>
              <w:t xml:space="preserve">1</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9"/>
                <w:szCs w:val="19"/>
              </w:rPr>
              <w:t xml:space="preserve">Chargement fichier naf_final.parquet</w:t>
            </w:r>
          </w:p>
        </w:tc>
        <w:tc>
          <w:tcPr>
            <w:tcW w:type="dxa" w:w="4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9"/>
                <w:szCs w:val="19"/>
              </w:rPr>
              <w:t xml:space="preserve">Codes NAF par SIREN</w:t>
            </w:r>
          </w:p>
        </w:tc>
      </w:tr>
      <w:tr>
        <w:tc>
          <w:tcPr>
            <w:tcW w:type="dxa" w:w="800"/>
            <w:tcBorders>
              <w:top w:val="single" w:color="CCCCCC" w:sz="1"/>
              <w:left w:val="single" w:color="CCCCCC" w:sz="1"/>
              <w:bottom w:val="single" w:color="CCCCCC" w:sz="1"/>
              <w:right w:val="single" w:color="CCCCCC" w:sz="1"/>
            </w:tcBorders>
            <w:shd w:fill="F0F5FB"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9"/>
                <w:szCs w:val="19"/>
              </w:rPr>
              <w:t xml:space="preserve">2</w:t>
            </w:r>
          </w:p>
        </w:tc>
        <w:tc>
          <w:tcPr>
            <w:tcW w:type="dxa" w:w="4000"/>
            <w:tcBorders>
              <w:top w:val="single" w:color="CCCCCC" w:sz="1"/>
              <w:left w:val="single" w:color="CCCCCC" w:sz="1"/>
              <w:bottom w:val="single" w:color="CCCCCC" w:sz="1"/>
              <w:right w:val="single" w:color="CCCCCC" w:sz="1"/>
            </w:tcBorders>
            <w:shd w:fill="F0F5FB"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9"/>
                <w:szCs w:val="19"/>
              </w:rPr>
              <w:t xml:space="preserve">Merge left sur SIREN (str)</w:t>
            </w:r>
          </w:p>
        </w:tc>
        <w:tc>
          <w:tcPr>
            <w:tcW w:type="dxa" w:w="4226"/>
            <w:tcBorders>
              <w:top w:val="single" w:color="CCCCCC" w:sz="1"/>
              <w:left w:val="single" w:color="CCCCCC" w:sz="1"/>
              <w:bottom w:val="single" w:color="CCCCCC" w:sz="1"/>
              <w:right w:val="single" w:color="CCCCCC" w:sz="1"/>
            </w:tcBorders>
            <w:shd w:fill="F0F5FB"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9"/>
                <w:szCs w:val="19"/>
              </w:rPr>
              <w:t xml:space="preserve">df_final — 32 colonnes</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9"/>
                <w:szCs w:val="19"/>
              </w:rPr>
              <w:t xml:space="preserve">3</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9"/>
                <w:szCs w:val="19"/>
              </w:rPr>
              <w:t xml:space="preserve">Création secteur_macro</w:t>
            </w:r>
          </w:p>
        </w:tc>
        <w:tc>
          <w:tcPr>
            <w:tcW w:type="dxa" w:w="4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9"/>
                <w:szCs w:val="19"/>
              </w:rPr>
              <w:t xml:space="preserve">20 catégories sectorielles</w:t>
            </w:r>
          </w:p>
        </w:tc>
      </w:tr>
      <w:tr>
        <w:tc>
          <w:tcPr>
            <w:tcW w:type="dxa" w:w="800"/>
            <w:tcBorders>
              <w:top w:val="single" w:color="CCCCCC" w:sz="1"/>
              <w:left w:val="single" w:color="CCCCCC" w:sz="1"/>
              <w:bottom w:val="single" w:color="CCCCCC" w:sz="1"/>
              <w:right w:val="single" w:color="CCCCCC" w:sz="1"/>
            </w:tcBorders>
            <w:shd w:fill="F0F5FB"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9"/>
                <w:szCs w:val="19"/>
              </w:rPr>
              <w:t xml:space="preserve">4</w:t>
            </w:r>
          </w:p>
        </w:tc>
        <w:tc>
          <w:tcPr>
            <w:tcW w:type="dxa" w:w="4000"/>
            <w:tcBorders>
              <w:top w:val="single" w:color="CCCCCC" w:sz="1"/>
              <w:left w:val="single" w:color="CCCCCC" w:sz="1"/>
              <w:bottom w:val="single" w:color="CCCCCC" w:sz="1"/>
              <w:right w:val="single" w:color="CCCCCC" w:sz="1"/>
            </w:tcBorders>
            <w:shd w:fill="F0F5FB"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9"/>
                <w:szCs w:val="19"/>
              </w:rPr>
              <w:t xml:space="preserve">Sous-ensembles filtrés</w:t>
            </w:r>
          </w:p>
        </w:tc>
        <w:tc>
          <w:tcPr>
            <w:tcW w:type="dxa" w:w="4226"/>
            <w:tcBorders>
              <w:top w:val="single" w:color="CCCCCC" w:sz="1"/>
              <w:left w:val="single" w:color="CCCCCC" w:sz="1"/>
              <w:bottom w:val="single" w:color="CCCCCC" w:sz="1"/>
              <w:right w:val="single" w:color="CCCCCC" w:sz="1"/>
            </w:tcBorders>
            <w:shd w:fill="F0F5FB"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9"/>
                <w:szCs w:val="19"/>
              </w:rPr>
              <w:t xml:space="preserve">df_bfr, df_cycle, df_flux</w:t>
            </w:r>
          </w:p>
        </w:tc>
      </w:tr>
    </w:tbl>
    <w:p>
      <w:pPr>
        <w:spacing w:after="80" w:before="80"/>
      </w:pPr>
      <w:r>
        <w:t xml:space="preserve"/>
      </w:r>
    </w:p>
    <w:p>
      <w:pPr>
        <w:pStyle w:val="Heading2"/>
        <w:spacing w:after="100" w:before="280"/>
      </w:pPr>
      <w:r>
        <w:rPr>
          <w:rFonts w:ascii="Arial" w:cs="Arial" w:eastAsia="Arial" w:hAnsi="Arial"/>
          <w:b/>
          <w:bCs/>
          <w:color w:val="2E75B6"/>
          <w:sz w:val="26"/>
          <w:szCs w:val="26"/>
        </w:rPr>
        <w:t xml:space="preserve">1.2  Répartition par secteur macro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700"/>
        <w:gridCol w:w="2800"/>
        <w:gridCol w:w="1726"/>
      </w:tblGrid>
      <w:tr>
        <w:tc>
          <w:tcPr>
            <w:tcW w:type="dxa" w:w="28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Secteur</w:t>
            </w:r>
          </w:p>
        </w:tc>
        <w:tc>
          <w:tcPr>
            <w:tcW w:type="dxa" w:w="17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Entreprises</w:t>
            </w:r>
          </w:p>
        </w:tc>
        <w:tc>
          <w:tcPr>
            <w:tcW w:type="dxa" w:w="28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Secteur</w:t>
            </w:r>
          </w:p>
        </w:tc>
        <w:tc>
          <w:tcPr>
            <w:tcW w:type="dxa" w:w="1726"/>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Entreprises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9"/>
                <w:szCs w:val="19"/>
              </w:rPr>
              <w:t xml:space="preserve">Services spécialisés</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9"/>
                <w:szCs w:val="19"/>
              </w:rPr>
              <w:t xml:space="preserve">441 829</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9"/>
                <w:szCs w:val="19"/>
              </w:rPr>
              <w:t xml:space="preserve">Transport</w:t>
            </w:r>
          </w:p>
        </w:tc>
        <w:tc>
          <w:tcPr>
            <w:tcW w:type="dxa" w:w="17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9"/>
                <w:szCs w:val="19"/>
              </w:rPr>
              <w:t xml:space="preserve">128 855</w:t>
            </w:r>
          </w:p>
        </w:tc>
      </w:tr>
      <w:tr>
        <w:tc>
          <w:tcPr>
            <w:tcW w:type="dxa" w:w="2800"/>
            <w:tcBorders>
              <w:top w:val="single" w:color="CCCCCC" w:sz="1"/>
              <w:left w:val="single" w:color="CCCCCC" w:sz="1"/>
              <w:bottom w:val="single" w:color="CCCCCC" w:sz="1"/>
              <w:right w:val="single" w:color="CCCCCC" w:sz="1"/>
            </w:tcBorders>
            <w:shd w:fill="F0F5FB"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9"/>
                <w:szCs w:val="19"/>
              </w:rPr>
              <w:t xml:space="preserve">Commerce</w:t>
            </w:r>
          </w:p>
        </w:tc>
        <w:tc>
          <w:tcPr>
            <w:tcW w:type="dxa" w:w="1700"/>
            <w:tcBorders>
              <w:top w:val="single" w:color="CCCCCC" w:sz="1"/>
              <w:left w:val="single" w:color="CCCCCC" w:sz="1"/>
              <w:bottom w:val="single" w:color="CCCCCC" w:sz="1"/>
              <w:right w:val="single" w:color="CCCCCC" w:sz="1"/>
            </w:tcBorders>
            <w:shd w:fill="F0F5FB"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9"/>
                <w:szCs w:val="19"/>
              </w:rPr>
              <w:t xml:space="preserve">318 692</w:t>
            </w:r>
          </w:p>
        </w:tc>
        <w:tc>
          <w:tcPr>
            <w:tcW w:type="dxa" w:w="2800"/>
            <w:tcBorders>
              <w:top w:val="single" w:color="CCCCCC" w:sz="1"/>
              <w:left w:val="single" w:color="CCCCCC" w:sz="1"/>
              <w:bottom w:val="single" w:color="CCCCCC" w:sz="1"/>
              <w:right w:val="single" w:color="CCCCCC" w:sz="1"/>
            </w:tcBorders>
            <w:shd w:fill="F0F5FB"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9"/>
                <w:szCs w:val="19"/>
              </w:rPr>
              <w:t xml:space="preserve">Industrie manufacturière</w:t>
            </w:r>
          </w:p>
        </w:tc>
        <w:tc>
          <w:tcPr>
            <w:tcW w:type="dxa" w:w="1726"/>
            <w:tcBorders>
              <w:top w:val="single" w:color="CCCCCC" w:sz="1"/>
              <w:left w:val="single" w:color="CCCCCC" w:sz="1"/>
              <w:bottom w:val="single" w:color="CCCCCC" w:sz="1"/>
              <w:right w:val="single" w:color="CCCCCC" w:sz="1"/>
            </w:tcBorders>
            <w:shd w:fill="F0F5FB"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9"/>
                <w:szCs w:val="19"/>
              </w:rPr>
              <w:t xml:space="preserve">126 824</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9"/>
                <w:szCs w:val="19"/>
              </w:rPr>
              <w:t xml:space="preserve">Finance / Assurance</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9"/>
                <w:szCs w:val="19"/>
              </w:rPr>
              <w:t xml:space="preserve">277 078</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9"/>
                <w:szCs w:val="19"/>
              </w:rPr>
              <w:t xml:space="preserve">Services administratifs</w:t>
            </w:r>
          </w:p>
        </w:tc>
        <w:tc>
          <w:tcPr>
            <w:tcW w:type="dxa" w:w="17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9"/>
                <w:szCs w:val="19"/>
              </w:rPr>
              <w:t xml:space="preserve">96 872</w:t>
            </w:r>
          </w:p>
        </w:tc>
      </w:tr>
      <w:tr>
        <w:tc>
          <w:tcPr>
            <w:tcW w:type="dxa" w:w="2800"/>
            <w:tcBorders>
              <w:top w:val="single" w:color="CCCCCC" w:sz="1"/>
              <w:left w:val="single" w:color="CCCCCC" w:sz="1"/>
              <w:bottom w:val="single" w:color="CCCCCC" w:sz="1"/>
              <w:right w:val="single" w:color="CCCCCC" w:sz="1"/>
            </w:tcBorders>
            <w:shd w:fill="F0F5FB"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9"/>
                <w:szCs w:val="19"/>
              </w:rPr>
              <w:t xml:space="preserve">Construction</w:t>
            </w:r>
          </w:p>
        </w:tc>
        <w:tc>
          <w:tcPr>
            <w:tcW w:type="dxa" w:w="1700"/>
            <w:tcBorders>
              <w:top w:val="single" w:color="CCCCCC" w:sz="1"/>
              <w:left w:val="single" w:color="CCCCCC" w:sz="1"/>
              <w:bottom w:val="single" w:color="CCCCCC" w:sz="1"/>
              <w:right w:val="single" w:color="CCCCCC" w:sz="1"/>
            </w:tcBorders>
            <w:shd w:fill="F0F5FB"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9"/>
                <w:szCs w:val="19"/>
              </w:rPr>
              <w:t xml:space="preserve">210 408</w:t>
            </w:r>
          </w:p>
        </w:tc>
        <w:tc>
          <w:tcPr>
            <w:tcW w:type="dxa" w:w="2800"/>
            <w:tcBorders>
              <w:top w:val="single" w:color="CCCCCC" w:sz="1"/>
              <w:left w:val="single" w:color="CCCCCC" w:sz="1"/>
              <w:bottom w:val="single" w:color="CCCCCC" w:sz="1"/>
              <w:right w:val="single" w:color="CCCCCC" w:sz="1"/>
            </w:tcBorders>
            <w:shd w:fill="F0F5FB"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9"/>
                <w:szCs w:val="19"/>
              </w:rPr>
              <w:t xml:space="preserve">Information / Communication</w:t>
            </w:r>
          </w:p>
        </w:tc>
        <w:tc>
          <w:tcPr>
            <w:tcW w:type="dxa" w:w="1726"/>
            <w:tcBorders>
              <w:top w:val="single" w:color="CCCCCC" w:sz="1"/>
              <w:left w:val="single" w:color="CCCCCC" w:sz="1"/>
              <w:bottom w:val="single" w:color="CCCCCC" w:sz="1"/>
              <w:right w:val="single" w:color="CCCCCC" w:sz="1"/>
            </w:tcBorders>
            <w:shd w:fill="F0F5FB"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9"/>
                <w:szCs w:val="19"/>
              </w:rPr>
              <w:t xml:space="preserve">96 422</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9"/>
                <w:szCs w:val="19"/>
              </w:rPr>
              <w:t xml:space="preserve">Hébergement / Restauration</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9"/>
                <w:szCs w:val="19"/>
              </w:rPr>
              <w:t xml:space="preserve">75 327</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9"/>
                <w:szCs w:val="19"/>
              </w:rPr>
              <w:t xml:space="preserve">Immobilier</w:t>
            </w:r>
          </w:p>
        </w:tc>
        <w:tc>
          <w:tcPr>
            <w:tcW w:type="dxa" w:w="17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9"/>
                <w:szCs w:val="19"/>
              </w:rPr>
              <w:t xml:space="preserve">79 673</w:t>
            </w:r>
          </w:p>
        </w:tc>
      </w:tr>
      <w:tr>
        <w:tc>
          <w:tcPr>
            <w:tcW w:type="dxa" w:w="2800"/>
            <w:tcBorders>
              <w:top w:val="single" w:color="CCCCCC" w:sz="1"/>
              <w:left w:val="single" w:color="CCCCCC" w:sz="1"/>
              <w:bottom w:val="single" w:color="CCCCCC" w:sz="1"/>
              <w:right w:val="single" w:color="CCCCCC" w:sz="1"/>
            </w:tcBorders>
            <w:shd w:fill="F0F5FB"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9"/>
                <w:szCs w:val="19"/>
              </w:rPr>
              <w:t xml:space="preserve">Agriculture</w:t>
            </w:r>
          </w:p>
        </w:tc>
        <w:tc>
          <w:tcPr>
            <w:tcW w:type="dxa" w:w="1700"/>
            <w:tcBorders>
              <w:top w:val="single" w:color="CCCCCC" w:sz="1"/>
              <w:left w:val="single" w:color="CCCCCC" w:sz="1"/>
              <w:bottom w:val="single" w:color="CCCCCC" w:sz="1"/>
              <w:right w:val="single" w:color="CCCCCC" w:sz="1"/>
            </w:tcBorders>
            <w:shd w:fill="F0F5FB"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9"/>
                <w:szCs w:val="19"/>
              </w:rPr>
              <w:t xml:space="preserve">11 170</w:t>
            </w:r>
          </w:p>
        </w:tc>
        <w:tc>
          <w:tcPr>
            <w:tcW w:type="dxa" w:w="2800"/>
            <w:tcBorders>
              <w:top w:val="single" w:color="CCCCCC" w:sz="1"/>
              <w:left w:val="single" w:color="CCCCCC" w:sz="1"/>
              <w:bottom w:val="single" w:color="CCCCCC" w:sz="1"/>
              <w:right w:val="single" w:color="CCCCCC" w:sz="1"/>
            </w:tcBorders>
            <w:shd w:fill="F0F5FB"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9"/>
                <w:szCs w:val="19"/>
              </w:rPr>
              <w:t xml:space="preserve">Eau / Déchets</w:t>
            </w:r>
          </w:p>
        </w:tc>
        <w:tc>
          <w:tcPr>
            <w:tcW w:type="dxa" w:w="1726"/>
            <w:tcBorders>
              <w:top w:val="single" w:color="CCCCCC" w:sz="1"/>
              <w:left w:val="single" w:color="CCCCCC" w:sz="1"/>
              <w:bottom w:val="single" w:color="CCCCCC" w:sz="1"/>
              <w:right w:val="single" w:color="CCCCCC" w:sz="1"/>
            </w:tcBorders>
            <w:shd w:fill="F0F5FB"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9"/>
                <w:szCs w:val="19"/>
              </w:rPr>
              <w:t xml:space="preserve">8 752</w:t>
            </w:r>
          </w:p>
        </w:tc>
      </w:tr>
    </w:tbl>
    <w:p>
      <w:r>
        <w:br w:type="page"/>
      </w:r>
    </w:p>
    <w:p>
      <w:pPr>
        <w:pStyle w:val="Heading1"/>
        <w:pBdr>
          <w:bottom w:val="single" w:color="1F3864" w:sz="6" w:space="6"/>
        </w:pBdr>
        <w:spacing w:after="160" w:before="420"/>
      </w:pPr>
      <w:r>
        <w:rPr>
          <w:rFonts w:ascii="Arial" w:cs="Arial" w:eastAsia="Arial" w:hAnsi="Arial"/>
          <w:b/>
          <w:bCs/>
          <w:color w:val="1F3864"/>
          <w:sz w:val="34"/>
          <w:szCs w:val="34"/>
        </w:rPr>
        <w:t xml:space="preserve">2. Analyse sectorielle du BFR / CA</w:t>
      </w:r>
    </w:p>
    <w:p>
      <w:pPr>
        <w:spacing w:after="70" w:before="70"/>
        <w:jc w:val="both"/>
      </w:pPr>
      <w:r>
        <w:rPr>
          <w:rFonts w:ascii="Arial" w:cs="Arial" w:eastAsia="Arial" w:hAnsi="Arial"/>
          <w:b w:val="false"/>
          <w:bCs w:val="false"/>
          <w:color w:val="222222"/>
          <w:sz w:val="22"/>
          <w:szCs w:val="22"/>
        </w:rPr>
        <w:t xml:space="preserve">Le Besoin en Fonds de Roulement rapporté au Chiffre d'Affaires est l'indicateur opérationnel le plus actionnable pour un dirigeant. Analyser sa médiane par secteur permet d'identifier des comportements structurels liés au modèle économique, au pouvoir de négociation et à la nature des cycles d'activité.</w:t>
      </w:r>
    </w:p>
    <w:p>
      <w:pPr>
        <w:spacing w:after="80" w:before="80"/>
      </w:pPr>
      <w:r>
        <w:t xml:space="preserve"/>
      </w:r>
    </w:p>
    <w:p>
      <w:pPr>
        <w:pStyle w:val="Heading2"/>
        <w:spacing w:after="100" w:before="280"/>
      </w:pPr>
      <w:r>
        <w:rPr>
          <w:rFonts w:ascii="Arial" w:cs="Arial" w:eastAsia="Arial" w:hAnsi="Arial"/>
          <w:b/>
          <w:bCs/>
          <w:color w:val="2E75B6"/>
          <w:sz w:val="26"/>
          <w:szCs w:val="26"/>
        </w:rPr>
        <w:t xml:space="preserve">2.1  BFR médian par secteur — résultats complets</w:t>
      </w:r>
    </w:p>
    <w:p>
      <w:pPr>
        <w:spacing w:after="40" w:before="120"/>
        <w:jc w:val="center"/>
      </w:pPr>
      <w:r>
        <w:drawing>
          <wp:inline distT="0" distB="0" distL="0" distR="0">
            <wp:extent cx="5334000" cy="4000500"/>
            <wp:effectExtent t="0" r="0" b="0" l="0"/>
            <wp:docPr id="1" name="Fig. 1 — BFR/CA médian par secteur (données réelles INPI/BCE, n = 2 018 584)" descr="Fig. 1 — BFR/CA médian par secteur (données réelles INPI/BCE, n = 2 018 584)" title="Fig. 1 — BFR/CA médian par secteur (données réelles INPI/BCE, n = 2 018 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4000500"/>
                    </a:xfrm>
                    <a:prstGeom prst="rect">
                      <a:avLst/>
                    </a:prstGeom>
                  </pic:spPr>
                </pic:pic>
              </a:graphicData>
            </a:graphic>
          </wp:inline>
        </w:drawing>
      </w:r>
    </w:p>
    <w:p>
      <w:pPr>
        <w:spacing w:after="180" w:before="0"/>
        <w:jc w:val="center"/>
      </w:pPr>
      <w:r>
        <w:rPr>
          <w:rFonts w:ascii="Arial" w:cs="Arial" w:eastAsia="Arial" w:hAnsi="Arial"/>
          <w:color w:val="777777"/>
          <w:sz w:val="18"/>
          <w:szCs w:val="18"/>
        </w:rPr>
        <w:t xml:space="preserve">Fig. 1 — BFR/CA médian par secteur (données réelles INPI/BCE, n = 2 018 584)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2E75B6" w:sz="20"/>
              <w:bottom w:val="single" w:color="CCCCCC" w:sz="1"/>
              <w:right w:val="single" w:color="CCCCCC" w:sz="1"/>
            </w:tcBorders>
            <w:shd w:fill="EBF3FB" w:val="clear"/>
            <w:tcMar>
              <w:top w:type="dxa" w:w="120"/>
              <w:left w:type="dxa" w:w="220"/>
              <w:bottom w:type="dxa" w:w="120"/>
              <w:right w:type="dxa" w:w="160"/>
            </w:tcMar>
          </w:tcPr>
          <w:p>
            <w:pPr>
              <w:jc w:val="both"/>
            </w:pPr>
            <w:r>
              <w:rPr>
                <w:rFonts w:ascii="Arial" w:cs="Arial" w:eastAsia="Arial" w:hAnsi="Arial"/>
                <w:color w:val="1A1A2E"/>
                <w:sz w:val="21"/>
                <w:szCs w:val="21"/>
              </w:rPr>
              <w:t xml:space="preserve">Comment lire ce graphique : Chaque barre représente la médiane du ratio BFR/CA pour l'ensemble des entreprises d'un secteur sur la période 2010–2024. Un BFR négatif (vert) signifie que les fournisseurs financent le cycle — c'est un signal de force opérationnelle. Un BFR élevé (rouge) traduit une immobilisation forte de trésorerie dans le cycle d'exploitation.</w:t>
            </w:r>
          </w:p>
        </w:tc>
      </w:tr>
    </w:tbl>
    <w:p>
      <w:pPr>
        <w:spacing w:after="80" w:before="80"/>
      </w:pPr>
      <w:r>
        <w:t xml:space="preserve"/>
      </w:r>
    </w:p>
    <w:p>
      <w:pPr>
        <w:pStyle w:val="Heading2"/>
        <w:spacing w:after="100" w:before="280"/>
      </w:pPr>
      <w:r>
        <w:rPr>
          <w:rFonts w:ascii="Arial" w:cs="Arial" w:eastAsia="Arial" w:hAnsi="Arial"/>
          <w:b/>
          <w:bCs/>
          <w:color w:val="2E75B6"/>
          <w:sz w:val="26"/>
          <w:szCs w:val="26"/>
        </w:rPr>
        <w:t xml:space="preserve">2.2  Les trois familles sectorielles</w:t>
      </w:r>
    </w:p>
    <w:p>
      <w:pPr>
        <w:spacing w:after="40" w:before="40"/>
      </w:pPr>
      <w:r>
        <w:t xml:space="preserve"/>
      </w:r>
    </w:p>
    <w:p>
      <w:pPr>
        <w:pStyle w:val="Heading3"/>
        <w:spacing w:after="80" w:before="180"/>
      </w:pPr>
      <w:r>
        <w:rPr>
          <w:rFonts w:ascii="Arial" w:cs="Arial" w:eastAsia="Arial" w:hAnsi="Arial"/>
          <w:b/>
          <w:bCs/>
          <w:color w:val="404040"/>
          <w:sz w:val="22"/>
          <w:szCs w:val="22"/>
        </w:rPr>
        <w:t xml:space="preserve">A — Secteurs cash-light (BFR ≤ 5) : le modèle idéal</w:t>
      </w:r>
    </w:p>
    <w:p>
      <w:pPr>
        <w:spacing w:after="70" w:before="70"/>
        <w:jc w:val="both"/>
      </w:pPr>
      <w:r>
        <w:rPr>
          <w:rFonts w:ascii="Arial" w:cs="Arial" w:eastAsia="Arial" w:hAnsi="Arial"/>
          <w:b w:val="false"/>
          <w:bCs w:val="false"/>
          <w:color w:val="222222"/>
          <w:sz w:val="22"/>
          <w:szCs w:val="22"/>
        </w:rPr>
        <w:t xml:space="preserve">Ces secteurs encaissent vite, stockent peu et imposent leurs conditions aux fournisseurs. Ils représentent un modèle de cycle vertueux.</w:t>
      </w:r>
    </w:p>
    <w:p>
      <w:pPr>
        <w:pStyle w:val="ListParagraph"/>
        <w:numPr>
          <w:ilvl w:val="0"/>
          <w:numId w:val="2"/>
        </w:numPr>
        <w:spacing w:after="40" w:before="40"/>
      </w:pPr>
      <w:r>
        <w:rPr>
          <w:rFonts w:ascii="Arial" w:cs="Arial" w:eastAsia="Arial" w:hAnsi="Arial"/>
          <w:color w:val="333333"/>
          <w:sz w:val="21"/>
          <w:szCs w:val="21"/>
        </w:rPr>
        <w:t xml:space="preserve">Autres services (–5.12) : BFR négatif — les fournisseurs financent le cycle</w:t>
      </w:r>
    </w:p>
    <w:p>
      <w:pPr>
        <w:pStyle w:val="ListParagraph"/>
        <w:numPr>
          <w:ilvl w:val="0"/>
          <w:numId w:val="2"/>
        </w:numPr>
        <w:spacing w:after="40" w:before="40"/>
      </w:pPr>
      <w:r>
        <w:rPr>
          <w:rFonts w:ascii="Arial" w:cs="Arial" w:eastAsia="Arial" w:hAnsi="Arial"/>
          <w:color w:val="333333"/>
          <w:sz w:val="21"/>
          <w:szCs w:val="21"/>
        </w:rPr>
        <w:t xml:space="preserve">Hébergement / Restauration (–3.65) : encaissement immédiat en caisse, crédit client nul</w:t>
      </w:r>
    </w:p>
    <w:p>
      <w:pPr>
        <w:pStyle w:val="ListParagraph"/>
        <w:numPr>
          <w:ilvl w:val="0"/>
          <w:numId w:val="2"/>
        </w:numPr>
        <w:spacing w:after="40" w:before="40"/>
      </w:pPr>
      <w:r>
        <w:rPr>
          <w:rFonts w:ascii="Arial" w:cs="Arial" w:eastAsia="Arial" w:hAnsi="Arial"/>
          <w:color w:val="333333"/>
          <w:sz w:val="21"/>
          <w:szCs w:val="21"/>
        </w:rPr>
        <w:t xml:space="preserve">Immobilier (0.12) : quasi-équilibre, loyers encaissés à terme fixe</w:t>
      </w:r>
    </w:p>
    <w:p>
      <w:pPr>
        <w:pStyle w:val="ListParagraph"/>
        <w:numPr>
          <w:ilvl w:val="0"/>
          <w:numId w:val="2"/>
        </w:numPr>
        <w:spacing w:after="40" w:before="40"/>
      </w:pPr>
      <w:r>
        <w:rPr>
          <w:rFonts w:ascii="Arial" w:cs="Arial" w:eastAsia="Arial" w:hAnsi="Arial"/>
          <w:color w:val="333333"/>
          <w:sz w:val="21"/>
          <w:szCs w:val="21"/>
        </w:rPr>
        <w:t xml:space="preserve">Santé (2.63) : remboursements Sécu réguliers, peu de stocks</w:t>
      </w:r>
    </w:p>
    <w:p>
      <w:pPr>
        <w:pStyle w:val="ListParagraph"/>
        <w:numPr>
          <w:ilvl w:val="0"/>
          <w:numId w:val="2"/>
        </w:numPr>
        <w:spacing w:after="40" w:before="40"/>
      </w:pPr>
      <w:r>
        <w:rPr>
          <w:rFonts w:ascii="Arial" w:cs="Arial" w:eastAsia="Arial" w:hAnsi="Arial"/>
          <w:color w:val="333333"/>
          <w:sz w:val="21"/>
          <w:szCs w:val="21"/>
        </w:rPr>
        <w:t xml:space="preserve">Éducation (3.25) : paiements en avance fréquents, cycles courts</w:t>
      </w:r>
    </w:p>
    <w:p>
      <w:pPr>
        <w:spacing w:after="70" w:before="70"/>
        <w:jc w:val="both"/>
      </w:pPr>
      <w:r>
        <w:rPr>
          <w:rFonts w:ascii="Arial" w:cs="Arial" w:eastAsia="Arial" w:hAnsi="Arial"/>
          <w:b w:val="false"/>
          <w:bCs w:val="false"/>
          <w:color w:val="222222"/>
          <w:sz w:val="22"/>
          <w:szCs w:val="22"/>
        </w:rPr>
        <w:t xml:space="preserve">Implication business : Ces secteurs peuvent fonctionner avec un fonds de roulement minimal. Le risque de rupture de trésorerie y est faible en régime normal.</w:t>
      </w:r>
    </w:p>
    <w:p>
      <w:pPr>
        <w:spacing w:after="60" w:before="60"/>
      </w:pPr>
      <w:r>
        <w:t xml:space="preserve"/>
      </w:r>
    </w:p>
    <w:p>
      <w:pPr>
        <w:pStyle w:val="Heading3"/>
        <w:spacing w:after="80" w:before="180"/>
      </w:pPr>
      <w:r>
        <w:rPr>
          <w:rFonts w:ascii="Arial" w:cs="Arial" w:eastAsia="Arial" w:hAnsi="Arial"/>
          <w:b/>
          <w:bCs/>
          <w:color w:val="404040"/>
          <w:sz w:val="22"/>
          <w:szCs w:val="22"/>
        </w:rPr>
        <w:t xml:space="preserve">B — Secteurs à BFR modéré (5 à 15) : la norme PME française</w:t>
      </w:r>
    </w:p>
    <w:p>
      <w:pPr>
        <w:spacing w:after="70" w:before="70"/>
        <w:jc w:val="both"/>
      </w:pPr>
      <w:r>
        <w:rPr>
          <w:rFonts w:ascii="Arial" w:cs="Arial" w:eastAsia="Arial" w:hAnsi="Arial"/>
          <w:b w:val="false"/>
          <w:bCs w:val="false"/>
          <w:color w:val="222222"/>
          <w:sz w:val="22"/>
          <w:szCs w:val="22"/>
        </w:rPr>
        <w:t xml:space="preserve">Ces secteurs représentent la grande majorité des PME françaises. Leur BFR est positif mais gérable, financé partiellement par le crédit fournisseur.</w:t>
      </w:r>
    </w:p>
    <w:p>
      <w:pPr>
        <w:pStyle w:val="ListParagraph"/>
        <w:numPr>
          <w:ilvl w:val="0"/>
          <w:numId w:val="2"/>
        </w:numPr>
        <w:spacing w:after="40" w:before="40"/>
      </w:pPr>
      <w:r>
        <w:rPr>
          <w:rFonts w:ascii="Arial" w:cs="Arial" w:eastAsia="Arial" w:hAnsi="Arial"/>
          <w:color w:val="333333"/>
          <w:sz w:val="21"/>
          <w:szCs w:val="21"/>
        </w:rPr>
        <w:t xml:space="preserve">Services administratifs (6.35) : prestations B2B avec délais clients</w:t>
      </w:r>
    </w:p>
    <w:p>
      <w:pPr>
        <w:pStyle w:val="ListParagraph"/>
        <w:numPr>
          <w:ilvl w:val="0"/>
          <w:numId w:val="2"/>
        </w:numPr>
        <w:spacing w:after="40" w:before="40"/>
      </w:pPr>
      <w:r>
        <w:rPr>
          <w:rFonts w:ascii="Arial" w:cs="Arial" w:eastAsia="Arial" w:hAnsi="Arial"/>
          <w:color w:val="333333"/>
          <w:sz w:val="21"/>
          <w:szCs w:val="21"/>
        </w:rPr>
        <w:t xml:space="preserve">Construction (8.21) : acomptes clients mais matériaux à financer</w:t>
      </w:r>
    </w:p>
    <w:p>
      <w:pPr>
        <w:pStyle w:val="ListParagraph"/>
        <w:numPr>
          <w:ilvl w:val="0"/>
          <w:numId w:val="2"/>
        </w:numPr>
        <w:spacing w:after="40" w:before="40"/>
      </w:pPr>
      <w:r>
        <w:rPr>
          <w:rFonts w:ascii="Arial" w:cs="Arial" w:eastAsia="Arial" w:hAnsi="Arial"/>
          <w:color w:val="333333"/>
          <w:sz w:val="21"/>
          <w:szCs w:val="21"/>
        </w:rPr>
        <w:t xml:space="preserve">Information / Communication (8.24) : abonnements et projets longs</w:t>
      </w:r>
    </w:p>
    <w:p>
      <w:pPr>
        <w:pStyle w:val="ListParagraph"/>
        <w:numPr>
          <w:ilvl w:val="0"/>
          <w:numId w:val="2"/>
        </w:numPr>
        <w:spacing w:after="40" w:before="40"/>
      </w:pPr>
      <w:r>
        <w:rPr>
          <w:rFonts w:ascii="Arial" w:cs="Arial" w:eastAsia="Arial" w:hAnsi="Arial"/>
          <w:color w:val="333333"/>
          <w:sz w:val="21"/>
          <w:szCs w:val="21"/>
        </w:rPr>
        <w:t xml:space="preserve">Services spécialisés (11.33) : forte dépendance aux délais clients B2B</w:t>
      </w:r>
    </w:p>
    <w:p>
      <w:pPr>
        <w:pStyle w:val="ListParagraph"/>
        <w:numPr>
          <w:ilvl w:val="0"/>
          <w:numId w:val="2"/>
        </w:numPr>
        <w:spacing w:after="40" w:before="40"/>
      </w:pPr>
      <w:r>
        <w:rPr>
          <w:rFonts w:ascii="Arial" w:cs="Arial" w:eastAsia="Arial" w:hAnsi="Arial"/>
          <w:color w:val="333333"/>
          <w:sz w:val="21"/>
          <w:szCs w:val="21"/>
        </w:rPr>
        <w:t xml:space="preserve">Commerce (11.49) : stock + délai client compensé partiellement par les fournisseurs</w:t>
      </w:r>
    </w:p>
    <w:p>
      <w:pPr>
        <w:spacing w:after="60" w:before="60"/>
      </w:pPr>
      <w:r>
        <w:t xml:space="preserve"/>
      </w:r>
    </w:p>
    <w:p>
      <w:pPr>
        <w:pStyle w:val="Heading3"/>
        <w:spacing w:after="80" w:before="180"/>
      </w:pPr>
      <w:r>
        <w:rPr>
          <w:rFonts w:ascii="Arial" w:cs="Arial" w:eastAsia="Arial" w:hAnsi="Arial"/>
          <w:b/>
          <w:bCs/>
          <w:color w:val="404040"/>
          <w:sz w:val="22"/>
          <w:szCs w:val="22"/>
        </w:rPr>
        <w:t xml:space="preserve">C — Secteurs cash-heavy (BFR &gt; 15) : tension structurelle</w:t>
      </w:r>
    </w:p>
    <w:p>
      <w:pPr>
        <w:spacing w:after="70" w:before="70"/>
        <w:jc w:val="both"/>
      </w:pPr>
      <w:r>
        <w:rPr>
          <w:rFonts w:ascii="Arial" w:cs="Arial" w:eastAsia="Arial" w:hAnsi="Arial"/>
          <w:b w:val="false"/>
          <w:bCs w:val="false"/>
          <w:color w:val="222222"/>
          <w:sz w:val="22"/>
          <w:szCs w:val="22"/>
        </w:rPr>
        <w:t xml:space="preserve">Ces secteurs immobilisent massivement leur trésorerie. Sans une gestion rigoureuse du cycle ou un financement bancaire adapté, ils sont exposés à des tensions de liquidité récurrentes.</w:t>
      </w:r>
    </w:p>
    <w:p>
      <w:pPr>
        <w:pStyle w:val="ListParagraph"/>
        <w:numPr>
          <w:ilvl w:val="0"/>
          <w:numId w:val="2"/>
        </w:numPr>
        <w:spacing w:after="40" w:before="40"/>
      </w:pPr>
      <w:r>
        <w:rPr>
          <w:rFonts w:ascii="Arial" w:cs="Arial" w:eastAsia="Arial" w:hAnsi="Arial"/>
          <w:color w:val="333333"/>
          <w:sz w:val="21"/>
          <w:szCs w:val="21"/>
        </w:rPr>
        <w:t xml:space="preserve">Transport (15.38) : délais clients longs (B2B), actifs mobilisés</w:t>
      </w:r>
    </w:p>
    <w:p>
      <w:pPr>
        <w:pStyle w:val="ListParagraph"/>
        <w:numPr>
          <w:ilvl w:val="0"/>
          <w:numId w:val="2"/>
        </w:numPr>
        <w:spacing w:after="40" w:before="40"/>
      </w:pPr>
      <w:r>
        <w:rPr>
          <w:rFonts w:ascii="Arial" w:cs="Arial" w:eastAsia="Arial" w:hAnsi="Arial"/>
          <w:color w:val="333333"/>
          <w:sz w:val="21"/>
          <w:szCs w:val="21"/>
        </w:rPr>
        <w:t xml:space="preserve">Agriculture (14.29) : stocks saisonniers importants, délais récolte-vente</w:t>
      </w:r>
    </w:p>
    <w:p>
      <w:pPr>
        <w:pStyle w:val="ListParagraph"/>
        <w:numPr>
          <w:ilvl w:val="0"/>
          <w:numId w:val="2"/>
        </w:numPr>
        <w:spacing w:after="40" w:before="40"/>
      </w:pPr>
      <w:r>
        <w:rPr>
          <w:rFonts w:ascii="Arial" w:cs="Arial" w:eastAsia="Arial" w:hAnsi="Arial"/>
          <w:color w:val="333333"/>
          <w:sz w:val="21"/>
          <w:szCs w:val="21"/>
        </w:rPr>
        <w:t xml:space="preserve">Eau / Déchets (19.60) : contrats publics, délais de paiement administrations</w:t>
      </w:r>
    </w:p>
    <w:p>
      <w:pPr>
        <w:pStyle w:val="ListParagraph"/>
        <w:numPr>
          <w:ilvl w:val="0"/>
          <w:numId w:val="2"/>
        </w:numPr>
        <w:spacing w:after="40" w:before="40"/>
      </w:pPr>
      <w:r>
        <w:rPr>
          <w:rFonts w:ascii="Arial" w:cs="Arial" w:eastAsia="Arial" w:hAnsi="Arial"/>
          <w:color w:val="333333"/>
          <w:sz w:val="21"/>
          <w:szCs w:val="21"/>
        </w:rPr>
        <w:t xml:space="preserve">Industrie manufacturière (20.07) : DIO élevé + DSO long = double pression</w:t>
      </w:r>
    </w:p>
    <w:p>
      <w:pPr>
        <w:pStyle w:val="ListParagraph"/>
        <w:numPr>
          <w:ilvl w:val="0"/>
          <w:numId w:val="2"/>
        </w:numPr>
        <w:spacing w:after="40" w:before="40"/>
      </w:pPr>
      <w:r>
        <w:rPr>
          <w:rFonts w:ascii="Arial" w:cs="Arial" w:eastAsia="Arial" w:hAnsi="Arial"/>
          <w:color w:val="333333"/>
          <w:sz w:val="21"/>
          <w:szCs w:val="21"/>
        </w:rPr>
        <w:t xml:space="preserve">Finance / Assurance (24.03) : modèle atypique, engagements différés massifs</w:t>
      </w:r>
    </w:p>
    <w:p>
      <w:pPr>
        <w:pStyle w:val="ListParagraph"/>
        <w:numPr>
          <w:ilvl w:val="0"/>
          <w:numId w:val="2"/>
        </w:numPr>
        <w:spacing w:after="40" w:before="40"/>
      </w:pPr>
      <w:r>
        <w:rPr>
          <w:rFonts w:ascii="Arial" w:cs="Arial" w:eastAsia="Arial" w:hAnsi="Arial"/>
          <w:color w:val="333333"/>
          <w:sz w:val="21"/>
          <w:szCs w:val="21"/>
        </w:rPr>
        <w:t xml:space="preserve">Industries extractives (28.25) : cycle extrêmement long, investissements lourds</w:t>
      </w:r>
    </w:p>
    <w:p>
      <w:pPr>
        <w:spacing w:after="80" w:before="80"/>
      </w:pPr>
      <w:r>
        <w:t xml:space="preserve"/>
      </w:r>
    </w:p>
    <w:p>
      <w:pPr>
        <w:spacing w:after="40" w:before="120"/>
        <w:jc w:val="center"/>
      </w:pPr>
      <w:r>
        <w:drawing>
          <wp:inline distT="0" distB="0" distL="0" distR="0">
            <wp:extent cx="5524500" cy="2571750"/>
            <wp:effectExtent t="0" r="0" b="0" l="0"/>
            <wp:docPr id="1" name="Fig. 2 — Comparaison Top 5 secteurs cash-light vs Top 5 cash-heavy" descr="Fig. 2 — Comparaison Top 5 secteurs cash-light vs Top 5 cash-heavy" title="Fig. 2 — Comparaison Top 5 secteurs cash-light vs Top 5 cash-heav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2571750"/>
                    </a:xfrm>
                    <a:prstGeom prst="rect">
                      <a:avLst/>
                    </a:prstGeom>
                  </pic:spPr>
                </pic:pic>
              </a:graphicData>
            </a:graphic>
          </wp:inline>
        </w:drawing>
      </w:r>
    </w:p>
    <w:p>
      <w:pPr>
        <w:spacing w:after="180" w:before="0"/>
        <w:jc w:val="center"/>
      </w:pPr>
      <w:r>
        <w:rPr>
          <w:rFonts w:ascii="Arial" w:cs="Arial" w:eastAsia="Arial" w:hAnsi="Arial"/>
          <w:color w:val="777777"/>
          <w:sz w:val="18"/>
          <w:szCs w:val="18"/>
        </w:rPr>
        <w:t xml:space="preserve">Fig. 2 — Comparaison Top 5 secteurs cash-light vs Top 5 cash-heavy</w:t>
      </w:r>
    </w:p>
    <w:p>
      <w:r>
        <w:br w:type="page"/>
      </w:r>
    </w:p>
    <w:p>
      <w:pPr>
        <w:pStyle w:val="Heading1"/>
        <w:pBdr>
          <w:bottom w:val="single" w:color="1F3864" w:sz="6" w:space="6"/>
        </w:pBdr>
        <w:spacing w:after="160" w:before="420"/>
      </w:pPr>
      <w:r>
        <w:rPr>
          <w:rFonts w:ascii="Arial" w:cs="Arial" w:eastAsia="Arial" w:hAnsi="Arial"/>
          <w:b/>
          <w:bCs/>
          <w:color w:val="1F3864"/>
          <w:sz w:val="34"/>
          <w:szCs w:val="34"/>
        </w:rPr>
        <w:t xml:space="preserve">3. Cycle d'exploitation par secteur (DIO + DSO − DPO)</w:t>
      </w:r>
    </w:p>
    <w:p>
      <w:pPr>
        <w:spacing w:after="70" w:before="70"/>
        <w:jc w:val="both"/>
      </w:pPr>
      <w:r>
        <w:rPr>
          <w:rFonts w:ascii="Arial" w:cs="Arial" w:eastAsia="Arial" w:hAnsi="Arial"/>
          <w:b w:val="false"/>
          <w:bCs w:val="false"/>
          <w:color w:val="222222"/>
          <w:sz w:val="22"/>
          <w:szCs w:val="22"/>
        </w:rPr>
        <w:t xml:space="preserve">Le cycle d'exploitation mesure en jours le décalage entre les sorties de trésorerie (achats, production) et les entrées (encaissements clients). Un cycle négatif est un signal de force : l'entreprise encaisse avant de payer. Un cycle positif nécessite un financement.</w:t>
      </w:r>
    </w:p>
    <w:p>
      <w:pPr>
        <w:spacing w:after="80" w:before="80"/>
      </w:pPr>
      <w:r>
        <w:t xml:space="preserve"/>
      </w:r>
    </w:p>
    <w:p>
      <w:pPr>
        <w:spacing w:after="80" w:before="80"/>
        <w:jc w:val="center"/>
      </w:pPr>
      <w:r>
        <w:rPr>
          <w:rFonts w:ascii="Arial" w:cs="Arial" w:eastAsia="Arial" w:hAnsi="Arial"/>
          <w:b/>
          <w:bCs/>
          <w:color w:val="1F3864"/>
          <w:sz w:val="26"/>
          <w:szCs w:val="26"/>
        </w:rPr>
        <w:t xml:space="preserve">Cycle d'exploitation = DIO + DSO − DPO</w:t>
      </w:r>
    </w:p>
    <w:p>
      <w:pPr>
        <w:spacing w:after="80" w:before="80"/>
      </w:pPr>
      <w:r>
        <w:t xml:space="preserve"/>
      </w:r>
    </w:p>
    <w:p>
      <w:pPr>
        <w:pStyle w:val="Heading2"/>
        <w:spacing w:after="100" w:before="280"/>
      </w:pPr>
      <w:r>
        <w:rPr>
          <w:rFonts w:ascii="Arial" w:cs="Arial" w:eastAsia="Arial" w:hAnsi="Arial"/>
          <w:b/>
          <w:bCs/>
          <w:color w:val="2E75B6"/>
          <w:sz w:val="26"/>
          <w:szCs w:val="26"/>
        </w:rPr>
        <w:t xml:space="preserve">3.1  Résultats complets — cycle médian par secteur</w:t>
      </w:r>
    </w:p>
    <w:p>
      <w:pPr>
        <w:spacing w:after="40" w:before="120"/>
        <w:jc w:val="center"/>
      </w:pPr>
      <w:r>
        <w:drawing>
          <wp:inline distT="0" distB="0" distL="0" distR="0">
            <wp:extent cx="5334000" cy="4000500"/>
            <wp:effectExtent t="0" r="0" b="0" l="0"/>
            <wp:docPr id="1" name="Fig. 3 — Cycle d'exploitation médian (jours) par secteur — données réelles INPI/BCE" descr="Fig. 3 — Cycle d'exploitation médian (jours) par secteur — données réelles INPI/BCE" title="Fig. 3 — Cycle d'exploitation médian (jours) par secteur — données réelles INPI/B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4000500"/>
                    </a:xfrm>
                    <a:prstGeom prst="rect">
                      <a:avLst/>
                    </a:prstGeom>
                  </pic:spPr>
                </pic:pic>
              </a:graphicData>
            </a:graphic>
          </wp:inline>
        </w:drawing>
      </w:r>
    </w:p>
    <w:p>
      <w:pPr>
        <w:spacing w:after="180" w:before="0"/>
        <w:jc w:val="center"/>
      </w:pPr>
      <w:r>
        <w:rPr>
          <w:rFonts w:ascii="Arial" w:cs="Arial" w:eastAsia="Arial" w:hAnsi="Arial"/>
          <w:color w:val="777777"/>
          <w:sz w:val="18"/>
          <w:szCs w:val="18"/>
        </w:rPr>
        <w:t xml:space="preserve">Fig. 3 — Cycle d'exploitation médian (jours) par secteur — données réelles INPI/BCE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2E75B6" w:sz="20"/>
              <w:bottom w:val="single" w:color="CCCCCC" w:sz="1"/>
              <w:right w:val="single" w:color="CCCCCC" w:sz="1"/>
            </w:tcBorders>
            <w:shd w:fill="EBF3FB" w:val="clear"/>
            <w:tcMar>
              <w:top w:type="dxa" w:w="120"/>
              <w:left w:type="dxa" w:w="220"/>
              <w:bottom w:type="dxa" w:w="120"/>
              <w:right w:type="dxa" w:w="160"/>
            </w:tcMar>
          </w:tcPr>
          <w:p>
            <w:pPr>
              <w:jc w:val="both"/>
            </w:pPr>
            <w:r>
              <w:rPr>
                <w:rFonts w:ascii="Arial" w:cs="Arial" w:eastAsia="Arial" w:hAnsi="Arial"/>
                <w:color w:val="1A1A2E"/>
                <w:sz w:val="21"/>
                <w:szCs w:val="21"/>
              </w:rPr>
              <w:t xml:space="preserve">Confirmation et approfondissement : La hiérarchie sectorielle observée sur le BFR se retrouve fidèlement sur le cycle d'exploitation. Les secteurs à BFR négatif ont tous un cycle négatif (Hébergement : –17.1 j, Santé : –11.9 j), tandis que l'Industrie manufacturière affiche le cycle le plus long à +29.3 jours.</w:t>
            </w:r>
          </w:p>
        </w:tc>
      </w:tr>
    </w:tbl>
    <w:p>
      <w:pPr>
        <w:spacing w:after="80" w:before="80"/>
      </w:pPr>
      <w:r>
        <w:t xml:space="preserve"/>
      </w:r>
    </w:p>
    <w:p>
      <w:pPr>
        <w:pStyle w:val="Heading2"/>
        <w:spacing w:after="100" w:before="280"/>
      </w:pPr>
      <w:r>
        <w:rPr>
          <w:rFonts w:ascii="Arial" w:cs="Arial" w:eastAsia="Arial" w:hAnsi="Arial"/>
          <w:b/>
          <w:bCs/>
          <w:color w:val="2E75B6"/>
          <w:sz w:val="26"/>
          <w:szCs w:val="26"/>
        </w:rPr>
        <w:t xml:space="preserve">3.2  Résultats remarquables</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800"/>
        <w:gridCol w:w="3026"/>
      </w:tblGrid>
      <w:tr>
        <w:tc>
          <w:tcPr>
            <w:tcW w:type="dxa" w:w="26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Secteur</w:t>
            </w:r>
          </w:p>
        </w:tc>
        <w:tc>
          <w:tcPr>
            <w:tcW w:type="dxa" w:w="16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Cycle médian</w:t>
            </w:r>
          </w:p>
        </w:tc>
        <w:tc>
          <w:tcPr>
            <w:tcW w:type="dxa" w:w="18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DPO &gt; DIO+DSO ?</w:t>
            </w:r>
          </w:p>
        </w:tc>
        <w:tc>
          <w:tcPr>
            <w:tcW w:type="dxa" w:w="3026"/>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Interprétation</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9"/>
                <w:szCs w:val="19"/>
              </w:rPr>
              <w:t xml:space="preserve">Hébergement / Restauration</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9"/>
                <w:szCs w:val="19"/>
              </w:rPr>
              <w:t xml:space="preserve">–17.1 j</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9"/>
                <w:szCs w:val="19"/>
              </w:rPr>
              <w:t xml:space="preserve">Oui largement</w:t>
            </w:r>
          </w:p>
        </w:tc>
        <w:tc>
          <w:tcPr>
            <w:tcW w:type="dxa" w:w="3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9"/>
                <w:szCs w:val="19"/>
              </w:rPr>
              <w:t xml:space="preserve">Clients payent comptant, fournisseurs à 28 j</w:t>
            </w:r>
          </w:p>
        </w:tc>
      </w:tr>
      <w:tr>
        <w:tc>
          <w:tcPr>
            <w:tcW w:type="dxa" w:w="2600"/>
            <w:tcBorders>
              <w:top w:val="single" w:color="CCCCCC" w:sz="1"/>
              <w:left w:val="single" w:color="CCCCCC" w:sz="1"/>
              <w:bottom w:val="single" w:color="CCCCCC" w:sz="1"/>
              <w:right w:val="single" w:color="CCCCCC" w:sz="1"/>
            </w:tcBorders>
            <w:shd w:fill="F0F5FB"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9"/>
                <w:szCs w:val="19"/>
              </w:rPr>
              <w:t xml:space="preserve">Santé</w:t>
            </w:r>
          </w:p>
        </w:tc>
        <w:tc>
          <w:tcPr>
            <w:tcW w:type="dxa" w:w="1600"/>
            <w:tcBorders>
              <w:top w:val="single" w:color="CCCCCC" w:sz="1"/>
              <w:left w:val="single" w:color="CCCCCC" w:sz="1"/>
              <w:bottom w:val="single" w:color="CCCCCC" w:sz="1"/>
              <w:right w:val="single" w:color="CCCCCC" w:sz="1"/>
            </w:tcBorders>
            <w:shd w:fill="F0F5FB"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9"/>
                <w:szCs w:val="19"/>
              </w:rPr>
              <w:t xml:space="preserve">–11.9 j</w:t>
            </w:r>
          </w:p>
        </w:tc>
        <w:tc>
          <w:tcPr>
            <w:tcW w:type="dxa" w:w="1800"/>
            <w:tcBorders>
              <w:top w:val="single" w:color="CCCCCC" w:sz="1"/>
              <w:left w:val="single" w:color="CCCCCC" w:sz="1"/>
              <w:bottom w:val="single" w:color="CCCCCC" w:sz="1"/>
              <w:right w:val="single" w:color="CCCCCC" w:sz="1"/>
            </w:tcBorders>
            <w:shd w:fill="F0F5FB"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9"/>
                <w:szCs w:val="19"/>
              </w:rPr>
              <w:t xml:space="preserve">Oui</w:t>
            </w:r>
          </w:p>
        </w:tc>
        <w:tc>
          <w:tcPr>
            <w:tcW w:type="dxa" w:w="3026"/>
            <w:tcBorders>
              <w:top w:val="single" w:color="CCCCCC" w:sz="1"/>
              <w:left w:val="single" w:color="CCCCCC" w:sz="1"/>
              <w:bottom w:val="single" w:color="CCCCCC" w:sz="1"/>
              <w:right w:val="single" w:color="CCCCCC" w:sz="1"/>
            </w:tcBorders>
            <w:shd w:fill="F0F5FB"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9"/>
                <w:szCs w:val="19"/>
              </w:rPr>
              <w:t xml:space="preserve">Sécu &amp; mutuelles paient en délai structuré</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9"/>
                <w:szCs w:val="19"/>
              </w:rPr>
              <w:t xml:space="preserve">Énergie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9"/>
                <w:szCs w:val="19"/>
              </w:rPr>
              <w:t xml:space="preserve">–9.6 j</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9"/>
                <w:szCs w:val="19"/>
              </w:rPr>
              <w:t xml:space="preserve">Oui</w:t>
            </w:r>
          </w:p>
        </w:tc>
        <w:tc>
          <w:tcPr>
            <w:tcW w:type="dxa" w:w="3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9"/>
                <w:szCs w:val="19"/>
              </w:rPr>
              <w:t xml:space="preserve">DPO très élevé compense les délais clients</w:t>
            </w:r>
          </w:p>
        </w:tc>
      </w:tr>
      <w:tr>
        <w:tc>
          <w:tcPr>
            <w:tcW w:type="dxa" w:w="2600"/>
            <w:tcBorders>
              <w:top w:val="single" w:color="CCCCCC" w:sz="1"/>
              <w:left w:val="single" w:color="CCCCCC" w:sz="1"/>
              <w:bottom w:val="single" w:color="CCCCCC" w:sz="1"/>
              <w:right w:val="single" w:color="CCCCCC" w:sz="1"/>
            </w:tcBorders>
            <w:shd w:fill="F0F5FB"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9"/>
                <w:szCs w:val="19"/>
              </w:rPr>
              <w:t xml:space="preserve">Industrie manufacturière</w:t>
            </w:r>
          </w:p>
        </w:tc>
        <w:tc>
          <w:tcPr>
            <w:tcW w:type="dxa" w:w="1600"/>
            <w:tcBorders>
              <w:top w:val="single" w:color="CCCCCC" w:sz="1"/>
              <w:left w:val="single" w:color="CCCCCC" w:sz="1"/>
              <w:bottom w:val="single" w:color="CCCCCC" w:sz="1"/>
              <w:right w:val="single" w:color="CCCCCC" w:sz="1"/>
            </w:tcBorders>
            <w:shd w:fill="F0F5FB"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9"/>
                <w:szCs w:val="19"/>
              </w:rPr>
              <w:t xml:space="preserve">+29.3 j</w:t>
            </w:r>
          </w:p>
        </w:tc>
        <w:tc>
          <w:tcPr>
            <w:tcW w:type="dxa" w:w="1800"/>
            <w:tcBorders>
              <w:top w:val="single" w:color="CCCCCC" w:sz="1"/>
              <w:left w:val="single" w:color="CCCCCC" w:sz="1"/>
              <w:bottom w:val="single" w:color="CCCCCC" w:sz="1"/>
              <w:right w:val="single" w:color="CCCCCC" w:sz="1"/>
            </w:tcBorders>
            <w:shd w:fill="F0F5FB"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9"/>
                <w:szCs w:val="19"/>
              </w:rPr>
              <w:t xml:space="preserve">Non</w:t>
            </w:r>
          </w:p>
        </w:tc>
        <w:tc>
          <w:tcPr>
            <w:tcW w:type="dxa" w:w="3026"/>
            <w:tcBorders>
              <w:top w:val="single" w:color="CCCCCC" w:sz="1"/>
              <w:left w:val="single" w:color="CCCCCC" w:sz="1"/>
              <w:bottom w:val="single" w:color="CCCCCC" w:sz="1"/>
              <w:right w:val="single" w:color="CCCCCC" w:sz="1"/>
            </w:tcBorders>
            <w:shd w:fill="F0F5FB"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9"/>
                <w:szCs w:val="19"/>
              </w:rPr>
              <w:t xml:space="preserve">Stocks + délais clients non compensés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9"/>
                <w:szCs w:val="19"/>
              </w:rPr>
              <w:t xml:space="preserve">Industries extractives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9"/>
                <w:szCs w:val="19"/>
              </w:rPr>
              <w:t xml:space="preserve">+26.5 j</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9"/>
                <w:szCs w:val="19"/>
              </w:rPr>
              <w:t xml:space="preserve">Non</w:t>
            </w:r>
          </w:p>
        </w:tc>
        <w:tc>
          <w:tcPr>
            <w:tcW w:type="dxa" w:w="3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9"/>
                <w:szCs w:val="19"/>
              </w:rPr>
              <w:t xml:space="preserve">Cycle extrêmement lourd</w:t>
            </w:r>
          </w:p>
        </w:tc>
      </w:tr>
      <w:tr>
        <w:tc>
          <w:tcPr>
            <w:tcW w:type="dxa" w:w="2600"/>
            <w:tcBorders>
              <w:top w:val="single" w:color="CCCCCC" w:sz="1"/>
              <w:left w:val="single" w:color="CCCCCC" w:sz="1"/>
              <w:bottom w:val="single" w:color="CCCCCC" w:sz="1"/>
              <w:right w:val="single" w:color="CCCCCC" w:sz="1"/>
            </w:tcBorders>
            <w:shd w:fill="F0F5FB"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9"/>
                <w:szCs w:val="19"/>
              </w:rPr>
              <w:t xml:space="preserve">Agriculture</w:t>
            </w:r>
          </w:p>
        </w:tc>
        <w:tc>
          <w:tcPr>
            <w:tcW w:type="dxa" w:w="1600"/>
            <w:tcBorders>
              <w:top w:val="single" w:color="CCCCCC" w:sz="1"/>
              <w:left w:val="single" w:color="CCCCCC" w:sz="1"/>
              <w:bottom w:val="single" w:color="CCCCCC" w:sz="1"/>
              <w:right w:val="single" w:color="CCCCCC" w:sz="1"/>
            </w:tcBorders>
            <w:shd w:fill="F0F5FB"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9"/>
                <w:szCs w:val="19"/>
              </w:rPr>
              <w:t xml:space="preserve">+17.7 j</w:t>
            </w:r>
          </w:p>
        </w:tc>
        <w:tc>
          <w:tcPr>
            <w:tcW w:type="dxa" w:w="1800"/>
            <w:tcBorders>
              <w:top w:val="single" w:color="CCCCCC" w:sz="1"/>
              <w:left w:val="single" w:color="CCCCCC" w:sz="1"/>
              <w:bottom w:val="single" w:color="CCCCCC" w:sz="1"/>
              <w:right w:val="single" w:color="CCCCCC" w:sz="1"/>
            </w:tcBorders>
            <w:shd w:fill="F0F5FB"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9"/>
                <w:szCs w:val="19"/>
              </w:rPr>
              <w:t xml:space="preserve">Non</w:t>
            </w:r>
          </w:p>
        </w:tc>
        <w:tc>
          <w:tcPr>
            <w:tcW w:type="dxa" w:w="3026"/>
            <w:tcBorders>
              <w:top w:val="single" w:color="CCCCCC" w:sz="1"/>
              <w:left w:val="single" w:color="CCCCCC" w:sz="1"/>
              <w:bottom w:val="single" w:color="CCCCCC" w:sz="1"/>
              <w:right w:val="single" w:color="CCCCCC" w:sz="1"/>
            </w:tcBorders>
            <w:shd w:fill="F0F5FB"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9"/>
                <w:szCs w:val="19"/>
              </w:rPr>
              <w:t xml:space="preserve">Saisonnalité + délais récolte-commercialisation</w:t>
            </w:r>
          </w:p>
        </w:tc>
      </w:tr>
    </w:tbl>
    <w:p>
      <w:pPr>
        <w:spacing w:after="80" w:before="80"/>
      </w:pPr>
      <w:r>
        <w:t xml:space="preserve"/>
      </w:r>
    </w:p>
    <w:p>
      <w:pPr>
        <w:pStyle w:val="Heading2"/>
        <w:spacing w:after="100" w:before="280"/>
      </w:pPr>
      <w:r>
        <w:rPr>
          <w:rFonts w:ascii="Arial" w:cs="Arial" w:eastAsia="Arial" w:hAnsi="Arial"/>
          <w:b/>
          <w:bCs/>
          <w:color w:val="2E75B6"/>
          <w:sz w:val="26"/>
          <w:szCs w:val="26"/>
        </w:rPr>
        <w:t xml:space="preserve">3.3  Éducation et Services administratifs : le cas zéro</w:t>
      </w:r>
    </w:p>
    <w:p>
      <w:pPr>
        <w:spacing w:after="70" w:before="70"/>
        <w:jc w:val="both"/>
      </w:pPr>
      <w:r>
        <w:rPr>
          <w:rFonts w:ascii="Arial" w:cs="Arial" w:eastAsia="Arial" w:hAnsi="Arial"/>
          <w:b w:val="false"/>
          <w:bCs w:val="false"/>
          <w:color w:val="222222"/>
          <w:sz w:val="22"/>
          <w:szCs w:val="22"/>
        </w:rPr>
        <w:t xml:space="preserve">Ces deux secteurs affichent une médiane exactement à 0.0 jour — ni tension ni excédent. C'est le cas d'équilibre parfait : DPO = DIO + DSO. Ce résultat s'explique par la nature des paiements dans ces secteurs (frais de scolarité versés à l'avance, marchés publics à délai normé, prestation-facturation simultanée dans les services administratifs).</w:t>
      </w:r>
    </w:p>
    <w:p>
      <w:r>
        <w:br w:type="page"/>
      </w:r>
    </w:p>
    <w:p>
      <w:pPr>
        <w:pStyle w:val="Heading1"/>
        <w:pBdr>
          <w:bottom w:val="single" w:color="1F3864" w:sz="6" w:space="6"/>
        </w:pBdr>
        <w:spacing w:after="160" w:before="420"/>
      </w:pPr>
      <w:r>
        <w:rPr>
          <w:rFonts w:ascii="Arial" w:cs="Arial" w:eastAsia="Arial" w:hAnsi="Arial"/>
          <w:b/>
          <w:bCs/>
          <w:color w:val="1F3864"/>
          <w:sz w:val="34"/>
          <w:szCs w:val="34"/>
        </w:rPr>
        <w:t xml:space="preserve">4. Décomposition sectorielle : DIO / DSO / DPO</w:t>
      </w:r>
    </w:p>
    <w:p>
      <w:pPr>
        <w:spacing w:after="70" w:before="70"/>
        <w:jc w:val="both"/>
      </w:pPr>
      <w:r>
        <w:rPr>
          <w:rFonts w:ascii="Arial" w:cs="Arial" w:eastAsia="Arial" w:hAnsi="Arial"/>
          <w:b w:val="false"/>
          <w:bCs w:val="false"/>
          <w:color w:val="222222"/>
          <w:sz w:val="22"/>
          <w:szCs w:val="22"/>
        </w:rPr>
        <w:t xml:space="preserve">La heatmap suivante est la visualisation la plus dense et la plus informative de ce rapport. Elle permet de voir d'un coup d'œil les forces et faiblesses opérationnelles de chaque secteur sur les trois composantes du cycle.</w:t>
      </w:r>
    </w:p>
    <w:p>
      <w:pPr>
        <w:spacing w:after="80" w:before="80"/>
      </w:pPr>
      <w:r>
        <w:t xml:space="preserve"/>
      </w:r>
    </w:p>
    <w:p>
      <w:pPr>
        <w:pStyle w:val="Heading2"/>
        <w:spacing w:after="100" w:before="280"/>
      </w:pPr>
      <w:r>
        <w:rPr>
          <w:rFonts w:ascii="Arial" w:cs="Arial" w:eastAsia="Arial" w:hAnsi="Arial"/>
          <w:b/>
          <w:bCs/>
          <w:color w:val="2E75B6"/>
          <w:sz w:val="26"/>
          <w:szCs w:val="26"/>
        </w:rPr>
        <w:t xml:space="preserve">4.1  Heatmap DIO / DSO / DPO — 20 secteurs</w:t>
      </w:r>
    </w:p>
    <w:p>
      <w:pPr>
        <w:spacing w:after="40" w:before="120"/>
        <w:jc w:val="center"/>
      </w:pPr>
      <w:r>
        <w:drawing>
          <wp:inline distT="0" distB="0" distL="0" distR="0">
            <wp:extent cx="4191000" cy="5715000"/>
            <wp:effectExtent t="0" r="0" b="0" l="0"/>
            <wp:docPr id="1" name="Fig. 4 — DIO / DSO / DPO médians (jours) par secteur — heatmap complète" descr="Fig. 4 — DIO / DSO / DPO médians (jours) par secteur — heatmap complète" title="Fig. 4 — DIO / DSO / DPO médians (jours) par secteur — heatmap complè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5715000"/>
                    </a:xfrm>
                    <a:prstGeom prst="rect">
                      <a:avLst/>
                    </a:prstGeom>
                  </pic:spPr>
                </pic:pic>
              </a:graphicData>
            </a:graphic>
          </wp:inline>
        </w:drawing>
      </w:r>
    </w:p>
    <w:p>
      <w:pPr>
        <w:spacing w:after="180" w:before="0"/>
        <w:jc w:val="center"/>
      </w:pPr>
      <w:r>
        <w:rPr>
          <w:rFonts w:ascii="Arial" w:cs="Arial" w:eastAsia="Arial" w:hAnsi="Arial"/>
          <w:color w:val="777777"/>
          <w:sz w:val="18"/>
          <w:szCs w:val="18"/>
        </w:rPr>
        <w:t xml:space="preserve">Fig. 4 — DIO / DSO / DPO médians (jours) par secteur — heatmap complète</w:t>
      </w:r>
    </w:p>
    <w:p>
      <w:pPr>
        <w:pStyle w:val="Heading2"/>
        <w:spacing w:after="100" w:before="280"/>
      </w:pPr>
      <w:r>
        <w:rPr>
          <w:rFonts w:ascii="Arial" w:cs="Arial" w:eastAsia="Arial" w:hAnsi="Arial"/>
          <w:b/>
          <w:bCs/>
          <w:color w:val="2E75B6"/>
          <w:sz w:val="26"/>
          <w:szCs w:val="26"/>
        </w:rPr>
        <w:t xml:space="preserve">4.2  Lecture par dimension</w:t>
      </w:r>
    </w:p>
    <w:p>
      <w:pPr>
        <w:spacing w:after="40" w:before="40"/>
      </w:pPr>
      <w:r>
        <w:t xml:space="preserve"/>
      </w:r>
    </w:p>
    <w:p>
      <w:pPr>
        <w:pStyle w:val="Heading3"/>
        <w:spacing w:after="80" w:before="180"/>
      </w:pPr>
      <w:r>
        <w:rPr>
          <w:rFonts w:ascii="Arial" w:cs="Arial" w:eastAsia="Arial" w:hAnsi="Arial"/>
          <w:b/>
          <w:bCs/>
          <w:color w:val="404040"/>
          <w:sz w:val="22"/>
          <w:szCs w:val="22"/>
        </w:rPr>
        <w:t xml:space="preserve">DIO — Rotation des stocks</w:t>
      </w:r>
    </w:p>
    <w:p>
      <w:pPr>
        <w:spacing w:after="70" w:before="70"/>
        <w:jc w:val="both"/>
      </w:pPr>
      <w:r>
        <w:rPr>
          <w:rFonts w:ascii="Arial" w:cs="Arial" w:eastAsia="Arial" w:hAnsi="Arial"/>
          <w:b w:val="false"/>
          <w:bCs w:val="false"/>
          <w:color w:val="222222"/>
          <w:sz w:val="22"/>
          <w:szCs w:val="22"/>
        </w:rPr>
        <w:t xml:space="preserve">Le DIO distingue immédiatement deux mondes : les secteurs sans stock physique (DIO = 0 pour Services, Immobilier, Santé, Finance, Construction) et les secteurs industriels ou agricoles à stock important.</w:t>
      </w:r>
    </w:p>
    <w:p>
      <w:pPr>
        <w:pStyle w:val="ListParagraph"/>
        <w:numPr>
          <w:ilvl w:val="0"/>
          <w:numId w:val="2"/>
        </w:numPr>
        <w:spacing w:after="40" w:before="40"/>
      </w:pPr>
      <w:r>
        <w:rPr>
          <w:rFonts w:ascii="Arial" w:cs="Arial" w:eastAsia="Arial" w:hAnsi="Arial"/>
          <w:color w:val="333333"/>
          <w:sz w:val="21"/>
          <w:szCs w:val="21"/>
        </w:rPr>
        <w:t xml:space="preserve">DIO le plus élevé : Industries extractives (30.8 j), Industrie manufacturière (19.5 j), Commerce (14.8 j)</w:t>
      </w:r>
    </w:p>
    <w:p>
      <w:pPr>
        <w:pStyle w:val="ListParagraph"/>
        <w:numPr>
          <w:ilvl w:val="0"/>
          <w:numId w:val="2"/>
        </w:numPr>
        <w:spacing w:after="40" w:before="40"/>
      </w:pPr>
      <w:r>
        <w:rPr>
          <w:rFonts w:ascii="Arial" w:cs="Arial" w:eastAsia="Arial" w:hAnsi="Arial"/>
          <w:color w:val="333333"/>
          <w:sz w:val="21"/>
          <w:szCs w:val="21"/>
        </w:rPr>
        <w:t xml:space="preserve">DIO nul : Tous les secteurs de services — confirme l'absence d'actif de stock</w:t>
      </w:r>
    </w:p>
    <w:p>
      <w:pPr>
        <w:spacing w:after="70" w:before="70"/>
        <w:jc w:val="both"/>
      </w:pPr>
      <w:r>
        <w:rPr>
          <w:rFonts w:ascii="Arial" w:cs="Arial" w:eastAsia="Arial" w:hAnsi="Arial"/>
          <w:b w:val="false"/>
          <w:bCs w:val="false"/>
          <w:color w:val="222222"/>
          <w:sz w:val="22"/>
          <w:szCs w:val="22"/>
        </w:rPr>
        <w:t xml:space="preserve">Implication : Pour les secteurs industriels, optimiser la rotation des stocks (réduction des en-cours, juste-à-temps) est le premier levier de réduction du BFR.</w:t>
      </w:r>
    </w:p>
    <w:p>
      <w:pPr>
        <w:spacing w:after="60" w:before="60"/>
      </w:pPr>
      <w:r>
        <w:t xml:space="preserve"/>
      </w:r>
    </w:p>
    <w:p>
      <w:pPr>
        <w:pStyle w:val="Heading3"/>
        <w:spacing w:after="80" w:before="180"/>
      </w:pPr>
      <w:r>
        <w:rPr>
          <w:rFonts w:ascii="Arial" w:cs="Arial" w:eastAsia="Arial" w:hAnsi="Arial"/>
          <w:b/>
          <w:bCs/>
          <w:color w:val="404040"/>
          <w:sz w:val="22"/>
          <w:szCs w:val="22"/>
        </w:rPr>
        <w:t xml:space="preserve">DSO — Crédit clients</w:t>
      </w:r>
    </w:p>
    <w:p>
      <w:pPr>
        <w:spacing w:after="70" w:before="70"/>
        <w:jc w:val="both"/>
      </w:pPr>
      <w:r>
        <w:rPr>
          <w:rFonts w:ascii="Arial" w:cs="Arial" w:eastAsia="Arial" w:hAnsi="Arial"/>
          <w:b w:val="false"/>
          <w:bCs w:val="false"/>
          <w:color w:val="222222"/>
          <w:sz w:val="22"/>
          <w:szCs w:val="22"/>
        </w:rPr>
        <w:t xml:space="preserve">Le DSO révèle le pouvoir de négociation d'un secteur vis-à-vis de ses clients. Les secteurs B2B subissent des délais longs ; les secteurs B2C encaissent souvent immédiatement.</w:t>
      </w:r>
    </w:p>
    <w:p>
      <w:pPr>
        <w:pStyle w:val="ListParagraph"/>
        <w:numPr>
          <w:ilvl w:val="0"/>
          <w:numId w:val="2"/>
        </w:numPr>
        <w:spacing w:after="40" w:before="40"/>
      </w:pPr>
      <w:r>
        <w:rPr>
          <w:rFonts w:ascii="Arial" w:cs="Arial" w:eastAsia="Arial" w:hAnsi="Arial"/>
          <w:color w:val="333333"/>
          <w:sz w:val="21"/>
          <w:szCs w:val="21"/>
        </w:rPr>
        <w:t xml:space="preserve">DSO le plus élevé : Eau/Déchets (60.2 j), Industrie manufacturière (50.8 j), Industries extractives (57.2 j)</w:t>
      </w:r>
    </w:p>
    <w:p>
      <w:pPr>
        <w:pStyle w:val="ListParagraph"/>
        <w:numPr>
          <w:ilvl w:val="0"/>
          <w:numId w:val="2"/>
        </w:numPr>
        <w:spacing w:after="40" w:before="40"/>
      </w:pPr>
      <w:r>
        <w:rPr>
          <w:rFonts w:ascii="Arial" w:cs="Arial" w:eastAsia="Arial" w:hAnsi="Arial"/>
          <w:color w:val="333333"/>
          <w:sz w:val="21"/>
          <w:szCs w:val="21"/>
        </w:rPr>
        <w:t xml:space="preserve">DSO nul ou proche : Hébergement/Restauration (0 j — paiement comptant), Autres services (0 j)</w:t>
      </w:r>
    </w:p>
    <w:p>
      <w:pPr>
        <w:spacing w:after="70" w:before="70"/>
        <w:jc w:val="both"/>
      </w:pPr>
      <w:r>
        <w:rPr>
          <w:rFonts w:ascii="Arial" w:cs="Arial" w:eastAsia="Arial" w:hAnsi="Arial"/>
          <w:b w:val="false"/>
          <w:bCs w:val="false"/>
          <w:color w:val="222222"/>
          <w:sz w:val="22"/>
          <w:szCs w:val="22"/>
        </w:rPr>
        <w:t xml:space="preserve">Implication : Un DSO élevé signifie que l'entreprise finance ses clients. Réduire le DSO de 10 jours sur un CA de 10 M€ libère ~280 k€ de trésorerie immédiate.</w:t>
      </w:r>
    </w:p>
    <w:p>
      <w:pPr>
        <w:spacing w:after="60" w:before="60"/>
      </w:pPr>
      <w:r>
        <w:t xml:space="preserve"/>
      </w:r>
    </w:p>
    <w:p>
      <w:pPr>
        <w:pStyle w:val="Heading3"/>
        <w:spacing w:after="80" w:before="180"/>
      </w:pPr>
      <w:r>
        <w:rPr>
          <w:rFonts w:ascii="Arial" w:cs="Arial" w:eastAsia="Arial" w:hAnsi="Arial"/>
          <w:b/>
          <w:bCs/>
          <w:color w:val="404040"/>
          <w:sz w:val="22"/>
          <w:szCs w:val="22"/>
        </w:rPr>
        <w:t xml:space="preserve">DPO — Crédit fournisseurs</w:t>
      </w:r>
    </w:p>
    <w:p>
      <w:pPr>
        <w:spacing w:after="70" w:before="70"/>
        <w:jc w:val="both"/>
      </w:pPr>
      <w:r>
        <w:rPr>
          <w:rFonts w:ascii="Arial" w:cs="Arial" w:eastAsia="Arial" w:hAnsi="Arial"/>
          <w:b w:val="false"/>
          <w:bCs w:val="false"/>
          <w:color w:val="222222"/>
          <w:sz w:val="22"/>
          <w:szCs w:val="22"/>
        </w:rPr>
        <w:t xml:space="preserve">Le DPO est le seul levier qui réduit le BFR. Un DPO élevé signifie que les fournisseurs financent le cycle — ce qui est favorable tant que les relations commerciales restent saines.</w:t>
      </w:r>
    </w:p>
    <w:p>
      <w:pPr>
        <w:pStyle w:val="ListParagraph"/>
        <w:numPr>
          <w:ilvl w:val="0"/>
          <w:numId w:val="2"/>
        </w:numPr>
        <w:spacing w:after="40" w:before="40"/>
      </w:pPr>
      <w:r>
        <w:rPr>
          <w:rFonts w:ascii="Arial" w:cs="Arial" w:eastAsia="Arial" w:hAnsi="Arial"/>
          <w:color w:val="333333"/>
          <w:sz w:val="21"/>
          <w:szCs w:val="21"/>
        </w:rPr>
        <w:t xml:space="preserve">DPO le plus élevé : Industries extractives (71.3 j), Eau/Déchets (62.7 j), Finance/Assurance (57.4 j)</w:t>
      </w:r>
    </w:p>
    <w:p>
      <w:pPr>
        <w:pStyle w:val="ListParagraph"/>
        <w:numPr>
          <w:ilvl w:val="0"/>
          <w:numId w:val="2"/>
        </w:numPr>
        <w:spacing w:after="40" w:before="40"/>
      </w:pPr>
      <w:r>
        <w:rPr>
          <w:rFonts w:ascii="Arial" w:cs="Arial" w:eastAsia="Arial" w:hAnsi="Arial"/>
          <w:color w:val="333333"/>
          <w:sz w:val="21"/>
          <w:szCs w:val="21"/>
        </w:rPr>
        <w:t xml:space="preserve">DPO le plus faible : Éducation (22 j), Santé (~25 j), Hébergement/Restauration (27.8 j)</w:t>
      </w:r>
    </w:p>
    <w:p>
      <w:pPr>
        <w:spacing w:after="70" w:before="70"/>
        <w:jc w:val="both"/>
      </w:pPr>
      <w:r>
        <w:rPr>
          <w:rFonts w:ascii="Arial" w:cs="Arial" w:eastAsia="Arial" w:hAnsi="Arial"/>
          <w:b w:val="false"/>
          <w:bCs w:val="false"/>
          <w:color w:val="222222"/>
          <w:sz w:val="22"/>
          <w:szCs w:val="22"/>
        </w:rPr>
        <w:t xml:space="preserve">Implication : Pour les secteurs à DPO faible, négocier des délais fournisseurs plus longs est le levier le plus rapide pour améliorer la trésorerie sans investir ni réduire les stocks.</w:t>
      </w:r>
    </w:p>
    <w:p>
      <w:pPr>
        <w:spacing w:after="80" w:before="80"/>
      </w:pPr>
      <w:r>
        <w:t xml:space="preserve"/>
      </w:r>
    </w:p>
    <w:p>
      <w:pPr>
        <w:spacing w:after="40" w:before="120"/>
        <w:jc w:val="center"/>
      </w:pPr>
      <w:r>
        <w:drawing>
          <wp:inline distT="0" distB="0" distL="0" distR="0">
            <wp:extent cx="3619500" cy="3048000"/>
            <wp:effectExtent t="0" r="0" b="0" l="0"/>
            <wp:docPr id="1" name="Fig. 5 — Profil opérationnel de l'Industrie manufacturière (radar DIO/DSO/DPO)" descr="Fig. 5 — Profil opérationnel de l'Industrie manufacturière (radar DIO/DSO/DPO)" title="Fig. 5 — Profil opérationnel de l'Industrie manufacturière (radar DIO/DSO/D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619500" cy="3048000"/>
                    </a:xfrm>
                    <a:prstGeom prst="rect">
                      <a:avLst/>
                    </a:prstGeom>
                  </pic:spPr>
                </pic:pic>
              </a:graphicData>
            </a:graphic>
          </wp:inline>
        </w:drawing>
      </w:r>
    </w:p>
    <w:p>
      <w:pPr>
        <w:spacing w:after="180" w:before="0"/>
        <w:jc w:val="center"/>
      </w:pPr>
      <w:r>
        <w:rPr>
          <w:rFonts w:ascii="Arial" w:cs="Arial" w:eastAsia="Arial" w:hAnsi="Arial"/>
          <w:color w:val="777777"/>
          <w:sz w:val="18"/>
          <w:szCs w:val="18"/>
        </w:rPr>
        <w:t xml:space="preserve">Fig. 5 — Profil opérationnel de l'Industrie manufacturière (radar DIO/DSO/DPO)</w:t>
      </w:r>
    </w:p>
    <w:p>
      <w:pPr>
        <w:pStyle w:val="Heading2"/>
        <w:spacing w:after="100" w:before="280"/>
      </w:pPr>
      <w:r>
        <w:rPr>
          <w:rFonts w:ascii="Arial" w:cs="Arial" w:eastAsia="Arial" w:hAnsi="Arial"/>
          <w:b/>
          <w:bCs/>
          <w:color w:val="2E75B6"/>
          <w:sz w:val="26"/>
          <w:szCs w:val="26"/>
        </w:rPr>
        <w:t xml:space="preserve">4.3  Focus Industrie manufacturière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E74C3C" w:sz="20"/>
              <w:bottom w:val="single" w:color="CCCCCC" w:sz="1"/>
              <w:right w:val="single" w:color="CCCCCC" w:sz="1"/>
            </w:tcBorders>
            <w:shd w:fill="FFF0F0" w:val="clear"/>
            <w:tcMar>
              <w:top w:type="dxa" w:w="120"/>
              <w:left w:type="dxa" w:w="220"/>
              <w:bottom w:type="dxa" w:w="120"/>
              <w:right w:type="dxa" w:w="160"/>
            </w:tcMar>
          </w:tcPr>
          <w:p>
            <w:pPr>
              <w:jc w:val="both"/>
            </w:pPr>
            <w:r>
              <w:rPr>
                <w:rFonts w:ascii="Arial" w:cs="Arial" w:eastAsia="Arial" w:hAnsi="Arial"/>
                <w:color w:val="1A1A2E"/>
                <w:sz w:val="21"/>
                <w:szCs w:val="21"/>
              </w:rPr>
              <w:t xml:space="preserve">L'industrie manufacturière est le secteur le plus représentatif du problème de BFR : DIO = 19.5 j (stocks importants de matières premières et produits finis), DSO = 50.8 j (clients B2B qui paient lentement), DPO = 50.0 j (fournisseurs payés en 50 j — insuffisant pour compenser DIO+DSO). Résultat : cycle net de +29.3 jours et BFR médian à +20.07. C'est un secteur structurellement gourmand en financement du cycle.</w:t>
            </w:r>
          </w:p>
        </w:tc>
      </w:tr>
    </w:tbl>
    <w:p>
      <w:pPr>
        <w:spacing w:after="80" w:before="80"/>
      </w:pPr>
      <w:r>
        <w:t xml:space="preserve"/>
      </w:r>
    </w:p>
    <w:p>
      <w:pPr>
        <w:pStyle w:val="Heading2"/>
        <w:spacing w:after="100" w:before="280"/>
      </w:pPr>
      <w:r>
        <w:rPr>
          <w:rFonts w:ascii="Arial" w:cs="Arial" w:eastAsia="Arial" w:hAnsi="Arial"/>
          <w:b/>
          <w:bCs/>
          <w:color w:val="2E75B6"/>
          <w:sz w:val="26"/>
          <w:szCs w:val="26"/>
        </w:rPr>
        <w:t xml:space="preserve">4.4  Focus Hébergement / Restauration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2ECC71" w:sz="20"/>
              <w:bottom w:val="single" w:color="CCCCCC" w:sz="1"/>
              <w:right w:val="single" w:color="CCCCCC" w:sz="1"/>
            </w:tcBorders>
            <w:shd w:fill="F0FFF0" w:val="clear"/>
            <w:tcMar>
              <w:top w:type="dxa" w:w="120"/>
              <w:left w:type="dxa" w:w="220"/>
              <w:bottom w:type="dxa" w:w="120"/>
              <w:right w:type="dxa" w:w="160"/>
            </w:tcMar>
          </w:tcPr>
          <w:p>
            <w:pPr>
              <w:jc w:val="both"/>
            </w:pPr>
            <w:r>
              <w:rPr>
                <w:rFonts w:ascii="Arial" w:cs="Arial" w:eastAsia="Arial" w:hAnsi="Arial"/>
                <w:color w:val="1A1A2E"/>
                <w:sz w:val="21"/>
                <w:szCs w:val="21"/>
              </w:rPr>
              <w:t xml:space="preserve">À l'opposé, l'hébergement et la restauration affichent le profil idéal : DIO = 2.8 j (peu de stocks, produits frais à rotation rapide), DSO = 0 j (paiement comptant — CB, espèces, réservation), DPO = 27.8 j (fournisseurs alimentaires payés à 30 j). Résultat : cycle de –17.1 jours. Ce secteur génère de la trésorerie avant même de payer ses charges — un avantage opérationnel considérable.</w:t>
            </w:r>
          </w:p>
        </w:tc>
      </w:tr>
    </w:tbl>
    <w:p>
      <w:r>
        <w:br w:type="page"/>
      </w:r>
    </w:p>
    <w:p>
      <w:pPr>
        <w:pStyle w:val="Heading1"/>
        <w:pBdr>
          <w:bottom w:val="single" w:color="1F3864" w:sz="6" w:space="6"/>
        </w:pBdr>
        <w:spacing w:after="160" w:before="420"/>
      </w:pPr>
      <w:r>
        <w:rPr>
          <w:rFonts w:ascii="Arial" w:cs="Arial" w:eastAsia="Arial" w:hAnsi="Arial"/>
          <w:b/>
          <w:bCs/>
          <w:color w:val="1F3864"/>
          <w:sz w:val="34"/>
          <w:szCs w:val="34"/>
        </w:rPr>
        <w:t xml:space="preserve">5. Relation BFR / CA et cycle d'exploitation</w:t>
      </w:r>
    </w:p>
    <w:p>
      <w:pPr>
        <w:spacing w:after="40" w:before="120"/>
        <w:jc w:val="center"/>
      </w:pPr>
      <w:r>
        <w:drawing>
          <wp:inline distT="0" distB="0" distL="0" distR="0">
            <wp:extent cx="5143500" cy="3048000"/>
            <wp:effectExtent t="0" r="0" b="0" l="0"/>
            <wp:docPr id="1" name="Fig. 6 — Relation entre cycle d'exploitation et BFR/CA — par famille sectorielle" descr="Fig. 6 — Relation entre cycle d'exploitation et BFR/CA — par famille sectorielle" title="Fig. 6 — Relation entre cycle d'exploitation et BFR/CA — par famille sectoriel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3048000"/>
                    </a:xfrm>
                    <a:prstGeom prst="rect">
                      <a:avLst/>
                    </a:prstGeom>
                  </pic:spPr>
                </pic:pic>
              </a:graphicData>
            </a:graphic>
          </wp:inline>
        </w:drawing>
      </w:r>
    </w:p>
    <w:p>
      <w:pPr>
        <w:spacing w:after="180" w:before="0"/>
        <w:jc w:val="center"/>
      </w:pPr>
      <w:r>
        <w:rPr>
          <w:rFonts w:ascii="Arial" w:cs="Arial" w:eastAsia="Arial" w:hAnsi="Arial"/>
          <w:color w:val="777777"/>
          <w:sz w:val="18"/>
          <w:szCs w:val="18"/>
        </w:rPr>
        <w:t xml:space="preserve">Fig. 6 — Relation entre cycle d'exploitation et BFR/CA — par famille sectorielle</w:t>
      </w:r>
    </w:p>
    <w:p>
      <w:pPr>
        <w:spacing w:after="70" w:before="70"/>
        <w:jc w:val="both"/>
      </w:pPr>
      <w:r>
        <w:rPr>
          <w:rFonts w:ascii="Arial" w:cs="Arial" w:eastAsia="Arial" w:hAnsi="Arial"/>
          <w:b w:val="false"/>
          <w:bCs w:val="false"/>
          <w:color w:val="222222"/>
          <w:sz w:val="22"/>
          <w:szCs w:val="22"/>
        </w:rPr>
        <w:t xml:space="preserve">Le nuage de points confirme la relation structurelle entre la longueur du cycle et le niveau de BFR. Quelques observations clés :</w:t>
      </w:r>
    </w:p>
    <w:p>
      <w:pPr>
        <w:spacing w:after="40" w:before="40"/>
      </w:pPr>
      <w:r>
        <w:t xml:space="preserve"/>
      </w:r>
    </w:p>
    <w:p>
      <w:pPr>
        <w:pStyle w:val="ListParagraph"/>
        <w:numPr>
          <w:ilvl w:val="0"/>
          <w:numId w:val="2"/>
        </w:numPr>
        <w:spacing w:after="40" w:before="40"/>
      </w:pPr>
      <w:r>
        <w:rPr>
          <w:rFonts w:ascii="Arial" w:cs="Arial" w:eastAsia="Arial" w:hAnsi="Arial"/>
          <w:color w:val="333333"/>
          <w:sz w:val="21"/>
          <w:szCs w:val="21"/>
        </w:rPr>
        <w:t xml:space="preserve">Les services (vert) se concentrent autour de l'origine — cycles courts et BFR faibles</w:t>
      </w:r>
    </w:p>
    <w:p>
      <w:pPr>
        <w:pStyle w:val="ListParagraph"/>
        <w:numPr>
          <w:ilvl w:val="0"/>
          <w:numId w:val="2"/>
        </w:numPr>
        <w:spacing w:after="40" w:before="40"/>
      </w:pPr>
      <w:r>
        <w:rPr>
          <w:rFonts w:ascii="Arial" w:cs="Arial" w:eastAsia="Arial" w:hAnsi="Arial"/>
          <w:color w:val="333333"/>
          <w:sz w:val="21"/>
          <w:szCs w:val="21"/>
        </w:rPr>
        <w:t xml:space="preserve">Commerce et Construction (orange) forment un nuage intermédiaire cohérent</w:t>
      </w:r>
    </w:p>
    <w:p>
      <w:pPr>
        <w:pStyle w:val="ListParagraph"/>
        <w:numPr>
          <w:ilvl w:val="0"/>
          <w:numId w:val="2"/>
        </w:numPr>
        <w:spacing w:after="40" w:before="40"/>
      </w:pPr>
      <w:r>
        <w:rPr>
          <w:rFonts w:ascii="Arial" w:cs="Arial" w:eastAsia="Arial" w:hAnsi="Arial"/>
          <w:color w:val="333333"/>
          <w:sz w:val="21"/>
          <w:szCs w:val="21"/>
        </w:rPr>
        <w:t xml:space="preserve">Industrie et Agriculture (rouge) s'étalent vers la droite et le haut — cycles longs, BFR élevés</w:t>
      </w:r>
    </w:p>
    <w:p>
      <w:pPr>
        <w:pStyle w:val="ListParagraph"/>
        <w:numPr>
          <w:ilvl w:val="0"/>
          <w:numId w:val="2"/>
        </w:numPr>
        <w:spacing w:after="40" w:before="40"/>
      </w:pPr>
      <w:r>
        <w:rPr>
          <w:rFonts w:ascii="Arial" w:cs="Arial" w:eastAsia="Arial" w:hAnsi="Arial"/>
          <w:color w:val="333333"/>
          <w:sz w:val="21"/>
          <w:szCs w:val="21"/>
        </w:rPr>
        <w:t xml:space="preserve">Finance et Assurance (violet) présentent une forte dispersion verticale — cycles variables, BFR extrêmes</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2E75B6" w:sz="20"/>
              <w:bottom w:val="single" w:color="CCCCCC" w:sz="1"/>
              <w:right w:val="single" w:color="CCCCCC" w:sz="1"/>
            </w:tcBorders>
            <w:shd w:fill="EBF3FB" w:val="clear"/>
            <w:tcMar>
              <w:top w:type="dxa" w:w="120"/>
              <w:left w:type="dxa" w:w="220"/>
              <w:bottom w:type="dxa" w:w="120"/>
              <w:right w:type="dxa" w:w="160"/>
            </w:tcMar>
          </w:tcPr>
          <w:p>
            <w:pPr>
              <w:jc w:val="both"/>
            </w:pPr>
            <w:r>
              <w:rPr>
                <w:rFonts w:ascii="Arial" w:cs="Arial" w:eastAsia="Arial" w:hAnsi="Arial"/>
                <w:color w:val="1A1A2E"/>
                <w:sz w:val="21"/>
                <w:szCs w:val="21"/>
              </w:rPr>
              <w:t xml:space="preserve">Conclusion quantitative : La tendance générale est claire — chaque jour de cycle supplémentaire correspond en moyenne à une augmentation du BFR/CA. La relation n'est pas parfaite (r &lt; 1) car le DPO joue un rôle correctif important : un secteur peut avoir un cycle long mais un BFR modéré grâce à un fort pouvoir fournisseur.</w:t>
            </w:r>
          </w:p>
        </w:tc>
      </w:tr>
    </w:tbl>
    <w:p>
      <w:r>
        <w:br w:type="page"/>
      </w:r>
    </w:p>
    <w:p>
      <w:pPr>
        <w:pStyle w:val="Heading1"/>
        <w:pBdr>
          <w:bottom w:val="single" w:color="1F3864" w:sz="6" w:space="6"/>
        </w:pBdr>
        <w:spacing w:after="160" w:before="420"/>
      </w:pPr>
      <w:r>
        <w:rPr>
          <w:rFonts w:ascii="Arial" w:cs="Arial" w:eastAsia="Arial" w:hAnsi="Arial"/>
          <w:b/>
          <w:bCs/>
          <w:color w:val="1F3864"/>
          <w:sz w:val="34"/>
          <w:szCs w:val="34"/>
        </w:rPr>
        <w:t xml:space="preserve">6. Synthèse sectorielle — tableau de bord complet</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200"/>
        <w:gridCol w:w="900"/>
        <w:gridCol w:w="900"/>
        <w:gridCol w:w="900"/>
        <w:gridCol w:w="1426"/>
      </w:tblGrid>
      <w:tr>
        <w:tc>
          <w:tcPr>
            <w:tcW w:type="dxa" w:w="2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Secteur</w:t>
            </w:r>
          </w:p>
        </w:tc>
        <w:tc>
          <w:tcPr>
            <w:tcW w:type="dxa" w:w="15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BFR/CA médian</w:t>
            </w:r>
          </w:p>
        </w:tc>
        <w:tc>
          <w:tcPr>
            <w:tcW w:type="dxa" w:w="1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Cycle (j)</w:t>
            </w:r>
          </w:p>
        </w:tc>
        <w:tc>
          <w:tcPr>
            <w:tcW w:type="dxa" w:w="9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DIO</w:t>
            </w:r>
          </w:p>
        </w:tc>
        <w:tc>
          <w:tcPr>
            <w:tcW w:type="dxa" w:w="9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DSO</w:t>
            </w:r>
          </w:p>
        </w:tc>
        <w:tc>
          <w:tcPr>
            <w:tcW w:type="dxa" w:w="9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DPO</w:t>
            </w:r>
          </w:p>
        </w:tc>
        <w:tc>
          <w:tcPr>
            <w:tcW w:type="dxa" w:w="1426"/>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Profil</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9"/>
                <w:szCs w:val="19"/>
              </w:rPr>
              <w:t xml:space="preserve">Hébergement/Rest.</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9"/>
                <w:szCs w:val="19"/>
              </w:rPr>
              <w:t xml:space="preserve">–3.65</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9"/>
                <w:szCs w:val="19"/>
              </w:rPr>
              <w:t xml:space="preserve">–17.1</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9"/>
                <w:szCs w:val="19"/>
              </w:rPr>
              <w:t xml:space="preserve">3j</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9"/>
                <w:szCs w:val="19"/>
              </w:rPr>
              <w:t xml:space="preserve">0j</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9"/>
                <w:szCs w:val="19"/>
              </w:rPr>
              <w:t xml:space="preserve">28j</w:t>
            </w:r>
          </w:p>
        </w:tc>
        <w:tc>
          <w:tcPr>
            <w:tcW w:type="dxa" w:w="14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9"/>
                <w:szCs w:val="19"/>
              </w:rPr>
              <w:t xml:space="preserve">Cash machine</w:t>
            </w:r>
          </w:p>
        </w:tc>
      </w:tr>
      <w:tr>
        <w:tc>
          <w:tcPr>
            <w:tcW w:type="dxa" w:w="2200"/>
            <w:tcBorders>
              <w:top w:val="single" w:color="CCCCCC" w:sz="1"/>
              <w:left w:val="single" w:color="CCCCCC" w:sz="1"/>
              <w:bottom w:val="single" w:color="CCCCCC" w:sz="1"/>
              <w:right w:val="single" w:color="CCCCCC" w:sz="1"/>
            </w:tcBorders>
            <w:shd w:fill="F0F5FB"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9"/>
                <w:szCs w:val="19"/>
              </w:rPr>
              <w:t xml:space="preserve">Autres services</w:t>
            </w:r>
          </w:p>
        </w:tc>
        <w:tc>
          <w:tcPr>
            <w:tcW w:type="dxa" w:w="1500"/>
            <w:tcBorders>
              <w:top w:val="single" w:color="CCCCCC" w:sz="1"/>
              <w:left w:val="single" w:color="CCCCCC" w:sz="1"/>
              <w:bottom w:val="single" w:color="CCCCCC" w:sz="1"/>
              <w:right w:val="single" w:color="CCCCCC" w:sz="1"/>
            </w:tcBorders>
            <w:shd w:fill="F0F5FB"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9"/>
                <w:szCs w:val="19"/>
              </w:rPr>
              <w:t xml:space="preserve">–5.12</w:t>
            </w:r>
          </w:p>
        </w:tc>
        <w:tc>
          <w:tcPr>
            <w:tcW w:type="dxa" w:w="1200"/>
            <w:tcBorders>
              <w:top w:val="single" w:color="CCCCCC" w:sz="1"/>
              <w:left w:val="single" w:color="CCCCCC" w:sz="1"/>
              <w:bottom w:val="single" w:color="CCCCCC" w:sz="1"/>
              <w:right w:val="single" w:color="CCCCCC" w:sz="1"/>
            </w:tcBorders>
            <w:shd w:fill="F0F5FB"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9"/>
                <w:szCs w:val="19"/>
              </w:rPr>
              <w:t xml:space="preserve">–6.0</w:t>
            </w:r>
          </w:p>
        </w:tc>
        <w:tc>
          <w:tcPr>
            <w:tcW w:type="dxa" w:w="900"/>
            <w:tcBorders>
              <w:top w:val="single" w:color="CCCCCC" w:sz="1"/>
              <w:left w:val="single" w:color="CCCCCC" w:sz="1"/>
              <w:bottom w:val="single" w:color="CCCCCC" w:sz="1"/>
              <w:right w:val="single" w:color="CCCCCC" w:sz="1"/>
            </w:tcBorders>
            <w:shd w:fill="F0F5FB"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9"/>
                <w:szCs w:val="19"/>
              </w:rPr>
              <w:t xml:space="preserve">1j</w:t>
            </w:r>
          </w:p>
        </w:tc>
        <w:tc>
          <w:tcPr>
            <w:tcW w:type="dxa" w:w="900"/>
            <w:tcBorders>
              <w:top w:val="single" w:color="CCCCCC" w:sz="1"/>
              <w:left w:val="single" w:color="CCCCCC" w:sz="1"/>
              <w:bottom w:val="single" w:color="CCCCCC" w:sz="1"/>
              <w:right w:val="single" w:color="CCCCCC" w:sz="1"/>
            </w:tcBorders>
            <w:shd w:fill="F0F5FB"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9"/>
                <w:szCs w:val="19"/>
              </w:rPr>
              <w:t xml:space="preserve">0j</w:t>
            </w:r>
          </w:p>
        </w:tc>
        <w:tc>
          <w:tcPr>
            <w:tcW w:type="dxa" w:w="900"/>
            <w:tcBorders>
              <w:top w:val="single" w:color="CCCCCC" w:sz="1"/>
              <w:left w:val="single" w:color="CCCCCC" w:sz="1"/>
              <w:bottom w:val="single" w:color="CCCCCC" w:sz="1"/>
              <w:right w:val="single" w:color="CCCCCC" w:sz="1"/>
            </w:tcBorders>
            <w:shd w:fill="F0F5FB"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9"/>
                <w:szCs w:val="19"/>
              </w:rPr>
              <w:t xml:space="preserve">26j</w:t>
            </w:r>
          </w:p>
        </w:tc>
        <w:tc>
          <w:tcPr>
            <w:tcW w:type="dxa" w:w="1426"/>
            <w:tcBorders>
              <w:top w:val="single" w:color="CCCCCC" w:sz="1"/>
              <w:left w:val="single" w:color="CCCCCC" w:sz="1"/>
              <w:bottom w:val="single" w:color="CCCCCC" w:sz="1"/>
              <w:right w:val="single" w:color="CCCCCC" w:sz="1"/>
            </w:tcBorders>
            <w:shd w:fill="F0F5FB"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9"/>
                <w:szCs w:val="19"/>
              </w:rPr>
              <w:t xml:space="preserve">Cash machine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9"/>
                <w:szCs w:val="19"/>
              </w:rPr>
              <w:t xml:space="preserve">Santé</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9"/>
                <w:szCs w:val="19"/>
              </w:rPr>
              <w:t xml:space="preserve">+2.63</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9"/>
                <w:szCs w:val="19"/>
              </w:rPr>
              <w:t xml:space="preserve">–11.9</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9"/>
                <w:szCs w:val="19"/>
              </w:rPr>
              <w:t xml:space="preserve">0j</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9"/>
                <w:szCs w:val="19"/>
              </w:rPr>
              <w:t xml:space="preserve">28j</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9"/>
                <w:szCs w:val="19"/>
              </w:rPr>
              <w:t xml:space="preserve">25j</w:t>
            </w:r>
          </w:p>
        </w:tc>
        <w:tc>
          <w:tcPr>
            <w:tcW w:type="dxa" w:w="14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9"/>
                <w:szCs w:val="19"/>
              </w:rPr>
              <w:t xml:space="preserve">Cycle court</w:t>
            </w:r>
          </w:p>
        </w:tc>
      </w:tr>
      <w:tr>
        <w:tc>
          <w:tcPr>
            <w:tcW w:type="dxa" w:w="2200"/>
            <w:tcBorders>
              <w:top w:val="single" w:color="CCCCCC" w:sz="1"/>
              <w:left w:val="single" w:color="CCCCCC" w:sz="1"/>
              <w:bottom w:val="single" w:color="CCCCCC" w:sz="1"/>
              <w:right w:val="single" w:color="CCCCCC" w:sz="1"/>
            </w:tcBorders>
            <w:shd w:fill="F0F5FB"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9"/>
                <w:szCs w:val="19"/>
              </w:rPr>
              <w:t xml:space="preserve">Commerce</w:t>
            </w:r>
          </w:p>
        </w:tc>
        <w:tc>
          <w:tcPr>
            <w:tcW w:type="dxa" w:w="1500"/>
            <w:tcBorders>
              <w:top w:val="single" w:color="CCCCCC" w:sz="1"/>
              <w:left w:val="single" w:color="CCCCCC" w:sz="1"/>
              <w:bottom w:val="single" w:color="CCCCCC" w:sz="1"/>
              <w:right w:val="single" w:color="CCCCCC" w:sz="1"/>
            </w:tcBorders>
            <w:shd w:fill="F0F5FB"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9"/>
                <w:szCs w:val="19"/>
              </w:rPr>
              <w:t xml:space="preserve">+11.49</w:t>
            </w:r>
          </w:p>
        </w:tc>
        <w:tc>
          <w:tcPr>
            <w:tcW w:type="dxa" w:w="1200"/>
            <w:tcBorders>
              <w:top w:val="single" w:color="CCCCCC" w:sz="1"/>
              <w:left w:val="single" w:color="CCCCCC" w:sz="1"/>
              <w:bottom w:val="single" w:color="CCCCCC" w:sz="1"/>
              <w:right w:val="single" w:color="CCCCCC" w:sz="1"/>
            </w:tcBorders>
            <w:shd w:fill="F0F5FB"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9"/>
                <w:szCs w:val="19"/>
              </w:rPr>
              <w:t xml:space="preserve">+10.6</w:t>
            </w:r>
          </w:p>
        </w:tc>
        <w:tc>
          <w:tcPr>
            <w:tcW w:type="dxa" w:w="900"/>
            <w:tcBorders>
              <w:top w:val="single" w:color="CCCCCC" w:sz="1"/>
              <w:left w:val="single" w:color="CCCCCC" w:sz="1"/>
              <w:bottom w:val="single" w:color="CCCCCC" w:sz="1"/>
              <w:right w:val="single" w:color="CCCCCC" w:sz="1"/>
            </w:tcBorders>
            <w:shd w:fill="F0F5FB"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9"/>
                <w:szCs w:val="19"/>
              </w:rPr>
              <w:t xml:space="preserve">15j</w:t>
            </w:r>
          </w:p>
        </w:tc>
        <w:tc>
          <w:tcPr>
            <w:tcW w:type="dxa" w:w="900"/>
            <w:tcBorders>
              <w:top w:val="single" w:color="CCCCCC" w:sz="1"/>
              <w:left w:val="single" w:color="CCCCCC" w:sz="1"/>
              <w:bottom w:val="single" w:color="CCCCCC" w:sz="1"/>
              <w:right w:val="single" w:color="CCCCCC" w:sz="1"/>
            </w:tcBorders>
            <w:shd w:fill="F0F5FB"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9"/>
                <w:szCs w:val="19"/>
              </w:rPr>
              <w:t xml:space="preserve">20j</w:t>
            </w:r>
          </w:p>
        </w:tc>
        <w:tc>
          <w:tcPr>
            <w:tcW w:type="dxa" w:w="900"/>
            <w:tcBorders>
              <w:top w:val="single" w:color="CCCCCC" w:sz="1"/>
              <w:left w:val="single" w:color="CCCCCC" w:sz="1"/>
              <w:bottom w:val="single" w:color="CCCCCC" w:sz="1"/>
              <w:right w:val="single" w:color="CCCCCC" w:sz="1"/>
            </w:tcBorders>
            <w:shd w:fill="F0F5FB"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9"/>
                <w:szCs w:val="19"/>
              </w:rPr>
              <w:t xml:space="preserve">39j</w:t>
            </w:r>
          </w:p>
        </w:tc>
        <w:tc>
          <w:tcPr>
            <w:tcW w:type="dxa" w:w="1426"/>
            <w:tcBorders>
              <w:top w:val="single" w:color="CCCCCC" w:sz="1"/>
              <w:left w:val="single" w:color="CCCCCC" w:sz="1"/>
              <w:bottom w:val="single" w:color="CCCCCC" w:sz="1"/>
              <w:right w:val="single" w:color="CCCCCC" w:sz="1"/>
            </w:tcBorders>
            <w:shd w:fill="F0F5FB"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9"/>
                <w:szCs w:val="19"/>
              </w:rPr>
              <w:t xml:space="preserve">Équilibré</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9"/>
                <w:szCs w:val="19"/>
              </w:rPr>
              <w:t xml:space="preserve">Construction</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9"/>
                <w:szCs w:val="19"/>
              </w:rPr>
              <w:t xml:space="preserve">+8.21</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9"/>
                <w:szCs w:val="19"/>
              </w:rPr>
              <w:t xml:space="preserve">+11.9</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9"/>
                <w:szCs w:val="19"/>
              </w:rPr>
              <w:t xml:space="preserve">0j</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9"/>
                <w:szCs w:val="19"/>
              </w:rPr>
              <w:t xml:space="preserve">40j</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9"/>
                <w:szCs w:val="19"/>
              </w:rPr>
              <w:t xml:space="preserve">35j</w:t>
            </w:r>
          </w:p>
        </w:tc>
        <w:tc>
          <w:tcPr>
            <w:tcW w:type="dxa" w:w="14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9"/>
                <w:szCs w:val="19"/>
              </w:rPr>
              <w:t xml:space="preserve">Délai clients</w:t>
            </w:r>
          </w:p>
        </w:tc>
      </w:tr>
      <w:tr>
        <w:tc>
          <w:tcPr>
            <w:tcW w:type="dxa" w:w="2200"/>
            <w:tcBorders>
              <w:top w:val="single" w:color="CCCCCC" w:sz="1"/>
              <w:left w:val="single" w:color="CCCCCC" w:sz="1"/>
              <w:bottom w:val="single" w:color="CCCCCC" w:sz="1"/>
              <w:right w:val="single" w:color="CCCCCC" w:sz="1"/>
            </w:tcBorders>
            <w:shd w:fill="F0F5FB"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9"/>
                <w:szCs w:val="19"/>
              </w:rPr>
              <w:t xml:space="preserve">Transport</w:t>
            </w:r>
          </w:p>
        </w:tc>
        <w:tc>
          <w:tcPr>
            <w:tcW w:type="dxa" w:w="1500"/>
            <w:tcBorders>
              <w:top w:val="single" w:color="CCCCCC" w:sz="1"/>
              <w:left w:val="single" w:color="CCCCCC" w:sz="1"/>
              <w:bottom w:val="single" w:color="CCCCCC" w:sz="1"/>
              <w:right w:val="single" w:color="CCCCCC" w:sz="1"/>
            </w:tcBorders>
            <w:shd w:fill="F0F5FB"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9"/>
                <w:szCs w:val="19"/>
              </w:rPr>
              <w:t xml:space="preserve">+15.38</w:t>
            </w:r>
          </w:p>
        </w:tc>
        <w:tc>
          <w:tcPr>
            <w:tcW w:type="dxa" w:w="1200"/>
            <w:tcBorders>
              <w:top w:val="single" w:color="CCCCCC" w:sz="1"/>
              <w:left w:val="single" w:color="CCCCCC" w:sz="1"/>
              <w:bottom w:val="single" w:color="CCCCCC" w:sz="1"/>
              <w:right w:val="single" w:color="CCCCCC" w:sz="1"/>
            </w:tcBorders>
            <w:shd w:fill="F0F5FB"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9"/>
                <w:szCs w:val="19"/>
              </w:rPr>
              <w:t xml:space="preserve">+9.9</w:t>
            </w:r>
          </w:p>
        </w:tc>
        <w:tc>
          <w:tcPr>
            <w:tcW w:type="dxa" w:w="900"/>
            <w:tcBorders>
              <w:top w:val="single" w:color="CCCCCC" w:sz="1"/>
              <w:left w:val="single" w:color="CCCCCC" w:sz="1"/>
              <w:bottom w:val="single" w:color="CCCCCC" w:sz="1"/>
              <w:right w:val="single" w:color="CCCCCC" w:sz="1"/>
            </w:tcBorders>
            <w:shd w:fill="F0F5FB"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9"/>
                <w:szCs w:val="19"/>
              </w:rPr>
              <w:t xml:space="preserve">0j</w:t>
            </w:r>
          </w:p>
        </w:tc>
        <w:tc>
          <w:tcPr>
            <w:tcW w:type="dxa" w:w="900"/>
            <w:tcBorders>
              <w:top w:val="single" w:color="CCCCCC" w:sz="1"/>
              <w:left w:val="single" w:color="CCCCCC" w:sz="1"/>
              <w:bottom w:val="single" w:color="CCCCCC" w:sz="1"/>
              <w:right w:val="single" w:color="CCCCCC" w:sz="1"/>
            </w:tcBorders>
            <w:shd w:fill="F0F5FB"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9"/>
                <w:szCs w:val="19"/>
              </w:rPr>
              <w:t xml:space="preserve">35j</w:t>
            </w:r>
          </w:p>
        </w:tc>
        <w:tc>
          <w:tcPr>
            <w:tcW w:type="dxa" w:w="900"/>
            <w:tcBorders>
              <w:top w:val="single" w:color="CCCCCC" w:sz="1"/>
              <w:left w:val="single" w:color="CCCCCC" w:sz="1"/>
              <w:bottom w:val="single" w:color="CCCCCC" w:sz="1"/>
              <w:right w:val="single" w:color="CCCCCC" w:sz="1"/>
            </w:tcBorders>
            <w:shd w:fill="F0F5FB"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9"/>
                <w:szCs w:val="19"/>
              </w:rPr>
              <w:t xml:space="preserve">30j</w:t>
            </w:r>
          </w:p>
        </w:tc>
        <w:tc>
          <w:tcPr>
            <w:tcW w:type="dxa" w:w="1426"/>
            <w:tcBorders>
              <w:top w:val="single" w:color="CCCCCC" w:sz="1"/>
              <w:left w:val="single" w:color="CCCCCC" w:sz="1"/>
              <w:bottom w:val="single" w:color="CCCCCC" w:sz="1"/>
              <w:right w:val="single" w:color="CCCCCC" w:sz="1"/>
            </w:tcBorders>
            <w:shd w:fill="F0F5FB"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9"/>
                <w:szCs w:val="19"/>
              </w:rPr>
              <w:t xml:space="preserve">Tension modérée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9"/>
                <w:szCs w:val="19"/>
              </w:rPr>
              <w:t xml:space="preserve">Agriculture</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9"/>
                <w:szCs w:val="19"/>
              </w:rPr>
              <w:t xml:space="preserve">+14.29</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9"/>
                <w:szCs w:val="19"/>
              </w:rPr>
              <w:t xml:space="preserve">+17.7</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9"/>
                <w:szCs w:val="19"/>
              </w:rPr>
              <w:t xml:space="preserve">2j</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9"/>
                <w:szCs w:val="19"/>
              </w:rPr>
              <w:t xml:space="preserve">38j</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9"/>
                <w:szCs w:val="19"/>
              </w:rPr>
              <w:t xml:space="preserve">47j</w:t>
            </w:r>
          </w:p>
        </w:tc>
        <w:tc>
          <w:tcPr>
            <w:tcW w:type="dxa" w:w="14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9"/>
                <w:szCs w:val="19"/>
              </w:rPr>
              <w:t xml:space="preserve">Stocks + saisonnal.</w:t>
            </w:r>
          </w:p>
        </w:tc>
      </w:tr>
      <w:tr>
        <w:tc>
          <w:tcPr>
            <w:tcW w:type="dxa" w:w="2200"/>
            <w:tcBorders>
              <w:top w:val="single" w:color="CCCCCC" w:sz="1"/>
              <w:left w:val="single" w:color="CCCCCC" w:sz="1"/>
              <w:bottom w:val="single" w:color="CCCCCC" w:sz="1"/>
              <w:right w:val="single" w:color="CCCCCC" w:sz="1"/>
            </w:tcBorders>
            <w:shd w:fill="F0F5FB"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9"/>
                <w:szCs w:val="19"/>
              </w:rPr>
              <w:t xml:space="preserve">Industrie manuf.</w:t>
            </w:r>
          </w:p>
        </w:tc>
        <w:tc>
          <w:tcPr>
            <w:tcW w:type="dxa" w:w="1500"/>
            <w:tcBorders>
              <w:top w:val="single" w:color="CCCCCC" w:sz="1"/>
              <w:left w:val="single" w:color="CCCCCC" w:sz="1"/>
              <w:bottom w:val="single" w:color="CCCCCC" w:sz="1"/>
              <w:right w:val="single" w:color="CCCCCC" w:sz="1"/>
            </w:tcBorders>
            <w:shd w:fill="F0F5FB"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9"/>
                <w:szCs w:val="19"/>
              </w:rPr>
              <w:t xml:space="preserve">+20.07</w:t>
            </w:r>
          </w:p>
        </w:tc>
        <w:tc>
          <w:tcPr>
            <w:tcW w:type="dxa" w:w="1200"/>
            <w:tcBorders>
              <w:top w:val="single" w:color="CCCCCC" w:sz="1"/>
              <w:left w:val="single" w:color="CCCCCC" w:sz="1"/>
              <w:bottom w:val="single" w:color="CCCCCC" w:sz="1"/>
              <w:right w:val="single" w:color="CCCCCC" w:sz="1"/>
            </w:tcBorders>
            <w:shd w:fill="F0F5FB"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9"/>
                <w:szCs w:val="19"/>
              </w:rPr>
              <w:t xml:space="preserve">+29.3</w:t>
            </w:r>
          </w:p>
        </w:tc>
        <w:tc>
          <w:tcPr>
            <w:tcW w:type="dxa" w:w="900"/>
            <w:tcBorders>
              <w:top w:val="single" w:color="CCCCCC" w:sz="1"/>
              <w:left w:val="single" w:color="CCCCCC" w:sz="1"/>
              <w:bottom w:val="single" w:color="CCCCCC" w:sz="1"/>
              <w:right w:val="single" w:color="CCCCCC" w:sz="1"/>
            </w:tcBorders>
            <w:shd w:fill="F0F5FB"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9"/>
                <w:szCs w:val="19"/>
              </w:rPr>
              <w:t xml:space="preserve">19j</w:t>
            </w:r>
          </w:p>
        </w:tc>
        <w:tc>
          <w:tcPr>
            <w:tcW w:type="dxa" w:w="900"/>
            <w:tcBorders>
              <w:top w:val="single" w:color="CCCCCC" w:sz="1"/>
              <w:left w:val="single" w:color="CCCCCC" w:sz="1"/>
              <w:bottom w:val="single" w:color="CCCCCC" w:sz="1"/>
              <w:right w:val="single" w:color="CCCCCC" w:sz="1"/>
            </w:tcBorders>
            <w:shd w:fill="F0F5FB"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9"/>
                <w:szCs w:val="19"/>
              </w:rPr>
              <w:t xml:space="preserve">51j</w:t>
            </w:r>
          </w:p>
        </w:tc>
        <w:tc>
          <w:tcPr>
            <w:tcW w:type="dxa" w:w="900"/>
            <w:tcBorders>
              <w:top w:val="single" w:color="CCCCCC" w:sz="1"/>
              <w:left w:val="single" w:color="CCCCCC" w:sz="1"/>
              <w:bottom w:val="single" w:color="CCCCCC" w:sz="1"/>
              <w:right w:val="single" w:color="CCCCCC" w:sz="1"/>
            </w:tcBorders>
            <w:shd w:fill="F0F5FB"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9"/>
                <w:szCs w:val="19"/>
              </w:rPr>
              <w:t xml:space="preserve">50j</w:t>
            </w:r>
          </w:p>
        </w:tc>
        <w:tc>
          <w:tcPr>
            <w:tcW w:type="dxa" w:w="1426"/>
            <w:tcBorders>
              <w:top w:val="single" w:color="CCCCCC" w:sz="1"/>
              <w:left w:val="single" w:color="CCCCCC" w:sz="1"/>
              <w:bottom w:val="single" w:color="CCCCCC" w:sz="1"/>
              <w:right w:val="single" w:color="CCCCCC" w:sz="1"/>
            </w:tcBorders>
            <w:shd w:fill="F0F5FB"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9"/>
                <w:szCs w:val="19"/>
              </w:rPr>
              <w:t xml:space="preserve">Triple pression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9"/>
                <w:szCs w:val="19"/>
              </w:rPr>
              <w:t xml:space="preserve">Eau / Déchets</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9"/>
                <w:szCs w:val="19"/>
              </w:rPr>
              <w:t xml:space="preserve">+19.60</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9"/>
                <w:szCs w:val="19"/>
              </w:rPr>
              <w:t xml:space="preserve">+13.9</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9"/>
                <w:szCs w:val="19"/>
              </w:rPr>
              <w:t xml:space="preserve">3j</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9"/>
                <w:szCs w:val="19"/>
              </w:rPr>
              <w:t xml:space="preserve">60j</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9"/>
                <w:szCs w:val="19"/>
              </w:rPr>
              <w:t xml:space="preserve">63j</w:t>
            </w:r>
          </w:p>
        </w:tc>
        <w:tc>
          <w:tcPr>
            <w:tcW w:type="dxa" w:w="14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9"/>
                <w:szCs w:val="19"/>
              </w:rPr>
              <w:t xml:space="preserve">DSO extrême</w:t>
            </w:r>
          </w:p>
        </w:tc>
      </w:tr>
      <w:tr>
        <w:tc>
          <w:tcPr>
            <w:tcW w:type="dxa" w:w="2200"/>
            <w:tcBorders>
              <w:top w:val="single" w:color="CCCCCC" w:sz="1"/>
              <w:left w:val="single" w:color="CCCCCC" w:sz="1"/>
              <w:bottom w:val="single" w:color="CCCCCC" w:sz="1"/>
              <w:right w:val="single" w:color="CCCCCC" w:sz="1"/>
            </w:tcBorders>
            <w:shd w:fill="F0F5FB"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9"/>
                <w:szCs w:val="19"/>
              </w:rPr>
              <w:t xml:space="preserve">Finance / Assurance</w:t>
            </w:r>
          </w:p>
        </w:tc>
        <w:tc>
          <w:tcPr>
            <w:tcW w:type="dxa" w:w="1500"/>
            <w:tcBorders>
              <w:top w:val="single" w:color="CCCCCC" w:sz="1"/>
              <w:left w:val="single" w:color="CCCCCC" w:sz="1"/>
              <w:bottom w:val="single" w:color="CCCCCC" w:sz="1"/>
              <w:right w:val="single" w:color="CCCCCC" w:sz="1"/>
            </w:tcBorders>
            <w:shd w:fill="F0F5FB"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9"/>
                <w:szCs w:val="19"/>
              </w:rPr>
              <w:t xml:space="preserve">+24.03</w:t>
            </w:r>
          </w:p>
        </w:tc>
        <w:tc>
          <w:tcPr>
            <w:tcW w:type="dxa" w:w="1200"/>
            <w:tcBorders>
              <w:top w:val="single" w:color="CCCCCC" w:sz="1"/>
              <w:left w:val="single" w:color="CCCCCC" w:sz="1"/>
              <w:bottom w:val="single" w:color="CCCCCC" w:sz="1"/>
              <w:right w:val="single" w:color="CCCCCC" w:sz="1"/>
            </w:tcBorders>
            <w:shd w:fill="F0F5FB"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9"/>
                <w:szCs w:val="19"/>
              </w:rPr>
              <w:t xml:space="preserve">–7.4</w:t>
            </w:r>
          </w:p>
        </w:tc>
        <w:tc>
          <w:tcPr>
            <w:tcW w:type="dxa" w:w="900"/>
            <w:tcBorders>
              <w:top w:val="single" w:color="CCCCCC" w:sz="1"/>
              <w:left w:val="single" w:color="CCCCCC" w:sz="1"/>
              <w:bottom w:val="single" w:color="CCCCCC" w:sz="1"/>
              <w:right w:val="single" w:color="CCCCCC" w:sz="1"/>
            </w:tcBorders>
            <w:shd w:fill="F0F5FB"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9"/>
                <w:szCs w:val="19"/>
              </w:rPr>
              <w:t xml:space="preserve">0j</w:t>
            </w:r>
          </w:p>
        </w:tc>
        <w:tc>
          <w:tcPr>
            <w:tcW w:type="dxa" w:w="900"/>
            <w:tcBorders>
              <w:top w:val="single" w:color="CCCCCC" w:sz="1"/>
              <w:left w:val="single" w:color="CCCCCC" w:sz="1"/>
              <w:bottom w:val="single" w:color="CCCCCC" w:sz="1"/>
              <w:right w:val="single" w:color="CCCCCC" w:sz="1"/>
            </w:tcBorders>
            <w:shd w:fill="F0F5FB"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9"/>
                <w:szCs w:val="19"/>
              </w:rPr>
              <w:t xml:space="preserve">35j</w:t>
            </w:r>
          </w:p>
        </w:tc>
        <w:tc>
          <w:tcPr>
            <w:tcW w:type="dxa" w:w="900"/>
            <w:tcBorders>
              <w:top w:val="single" w:color="CCCCCC" w:sz="1"/>
              <w:left w:val="single" w:color="CCCCCC" w:sz="1"/>
              <w:bottom w:val="single" w:color="CCCCCC" w:sz="1"/>
              <w:right w:val="single" w:color="CCCCCC" w:sz="1"/>
            </w:tcBorders>
            <w:shd w:fill="F0F5FB"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9"/>
                <w:szCs w:val="19"/>
              </w:rPr>
              <w:t xml:space="preserve">57j</w:t>
            </w:r>
          </w:p>
        </w:tc>
        <w:tc>
          <w:tcPr>
            <w:tcW w:type="dxa" w:w="1426"/>
            <w:tcBorders>
              <w:top w:val="single" w:color="CCCCCC" w:sz="1"/>
              <w:left w:val="single" w:color="CCCCCC" w:sz="1"/>
              <w:bottom w:val="single" w:color="CCCCCC" w:sz="1"/>
              <w:right w:val="single" w:color="CCCCCC" w:sz="1"/>
            </w:tcBorders>
            <w:shd w:fill="F0F5FB"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9"/>
                <w:szCs w:val="19"/>
              </w:rPr>
              <w:t xml:space="preserve">Modèle atypique</w:t>
            </w:r>
          </w:p>
        </w:tc>
      </w:tr>
    </w:tbl>
    <w:p>
      <w:pPr>
        <w:spacing w:after="80" w:before="80"/>
      </w:pPr>
      <w:r>
        <w:t xml:space="preserve"/>
      </w:r>
    </w:p>
    <w:p>
      <w:pPr>
        <w:pStyle w:val="Heading2"/>
        <w:spacing w:after="100" w:before="280"/>
      </w:pPr>
      <w:r>
        <w:rPr>
          <w:rFonts w:ascii="Arial" w:cs="Arial" w:eastAsia="Arial" w:hAnsi="Arial"/>
          <w:b/>
          <w:bCs/>
          <w:color w:val="2E75B6"/>
          <w:sz w:val="26"/>
          <w:szCs w:val="26"/>
        </w:rPr>
        <w:t xml:space="preserve">6.1  Messages clés pour les dirigeants</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2E75B6" w:sz="20"/>
              <w:bottom w:val="single" w:color="CCCCCC" w:sz="1"/>
              <w:right w:val="single" w:color="CCCCCC" w:sz="1"/>
            </w:tcBorders>
            <w:shd w:fill="EBF3FB" w:val="clear"/>
            <w:tcMar>
              <w:top w:type="dxa" w:w="120"/>
              <w:left w:type="dxa" w:w="220"/>
              <w:bottom w:type="dxa" w:w="120"/>
              <w:right w:type="dxa" w:w="160"/>
            </w:tcMar>
          </w:tcPr>
          <w:p>
            <w:pPr>
              <w:jc w:val="both"/>
            </w:pPr>
            <w:r>
              <w:rPr>
                <w:rFonts w:ascii="Arial" w:cs="Arial" w:eastAsia="Arial" w:hAnsi="Arial"/>
                <w:color w:val="1A1A2E"/>
                <w:sz w:val="21"/>
                <w:szCs w:val="21"/>
              </w:rPr>
              <w:t xml:space="preserve">1. Il n'existe pas un BFR 'normal' — il existe un BFR sectoriel. Comparer le BFR d'une entreprise à la moyenne nationale est une erreur d'analyse. La bonne référence est la médiane sectorielle. Un BFR de 15 jours est excellent pour un industriel, préoccupant pour un restaurateur.</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2E75B6" w:sz="20"/>
              <w:bottom w:val="single" w:color="CCCCCC" w:sz="1"/>
              <w:right w:val="single" w:color="CCCCCC" w:sz="1"/>
            </w:tcBorders>
            <w:shd w:fill="EBF3FB" w:val="clear"/>
            <w:tcMar>
              <w:top w:type="dxa" w:w="120"/>
              <w:left w:type="dxa" w:w="220"/>
              <w:bottom w:type="dxa" w:w="120"/>
              <w:right w:type="dxa" w:w="160"/>
            </w:tcMar>
          </w:tcPr>
          <w:p>
            <w:pPr>
              <w:jc w:val="both"/>
            </w:pPr>
            <w:r>
              <w:rPr>
                <w:rFonts w:ascii="Arial" w:cs="Arial" w:eastAsia="Arial" w:hAnsi="Arial"/>
                <w:color w:val="1A1A2E"/>
                <w:sz w:val="21"/>
                <w:szCs w:val="21"/>
              </w:rPr>
              <w:t xml:space="preserve">2. Le DPO est le levier le plus immédiat et le moins coûteux. Négocier 10 jours de délai fournisseur supplémentaires sur un CA de 5 M€ libère environ 140 k€ de trésorerie sans toucher au compte de résultat, sans réduire les stocks et sans relancer les clients.</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2E75B6" w:sz="20"/>
              <w:bottom w:val="single" w:color="CCCCCC" w:sz="1"/>
              <w:right w:val="single" w:color="CCCCCC" w:sz="1"/>
            </w:tcBorders>
            <w:shd w:fill="EBF3FB" w:val="clear"/>
            <w:tcMar>
              <w:top w:type="dxa" w:w="120"/>
              <w:left w:type="dxa" w:w="220"/>
              <w:bottom w:type="dxa" w:w="120"/>
              <w:right w:type="dxa" w:w="160"/>
            </w:tcMar>
          </w:tcPr>
          <w:p>
            <w:pPr>
              <w:jc w:val="both"/>
            </w:pPr>
            <w:r>
              <w:rPr>
                <w:rFonts w:ascii="Arial" w:cs="Arial" w:eastAsia="Arial" w:hAnsi="Arial"/>
                <w:color w:val="1A1A2E"/>
                <w:sz w:val="21"/>
                <w:szCs w:val="21"/>
              </w:rPr>
              <w:t xml:space="preserve">3. Les secteurs industriels et agricoles ont besoin de financements spécifiques. Un Dailly, un affacturage ou une ligne de crédit court terme n'est pas un luxe pour ces entreprises — c'est une nécessité structurelle liée à la nature de leur cycle, pas à leur performance.</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2E75B6" w:sz="20"/>
              <w:bottom w:val="single" w:color="CCCCCC" w:sz="1"/>
              <w:right w:val="single" w:color="CCCCCC" w:sz="1"/>
            </w:tcBorders>
            <w:shd w:fill="EBF3FB" w:val="clear"/>
            <w:tcMar>
              <w:top w:type="dxa" w:w="120"/>
              <w:left w:type="dxa" w:w="220"/>
              <w:bottom w:type="dxa" w:w="120"/>
              <w:right w:type="dxa" w:w="160"/>
            </w:tcMar>
          </w:tcPr>
          <w:p>
            <w:pPr>
              <w:jc w:val="both"/>
            </w:pPr>
            <w:r>
              <w:rPr>
                <w:rFonts w:ascii="Arial" w:cs="Arial" w:eastAsia="Arial" w:hAnsi="Arial"/>
                <w:color w:val="1A1A2E"/>
                <w:sz w:val="21"/>
                <w:szCs w:val="21"/>
              </w:rPr>
              <w:t xml:space="preserve">4. Les secteurs cash-light ont un avantage concurrentiel invisible. Un restaurateur qui encaisse avant de payer dispose structurellement d'un coussin de trésorerie que son homologue industriel n'aura jamais. Cet avantage doit être valorisé dans les décisions d'investissement et de croissance.</w:t>
            </w:r>
          </w:p>
        </w:tc>
      </w:tr>
    </w:tbl>
    <w:p>
      <w:r>
        <w:br w:type="page"/>
      </w:r>
    </w:p>
    <w:p>
      <w:pPr>
        <w:pStyle w:val="Heading1"/>
        <w:pBdr>
          <w:bottom w:val="single" w:color="1F3864" w:sz="6" w:space="6"/>
        </w:pBdr>
        <w:spacing w:after="160" w:before="420"/>
      </w:pPr>
      <w:r>
        <w:rPr>
          <w:rFonts w:ascii="Arial" w:cs="Arial" w:eastAsia="Arial" w:hAnsi="Arial"/>
          <w:b/>
          <w:bCs/>
          <w:color w:val="1F3864"/>
          <w:sz w:val="34"/>
          <w:szCs w:val="34"/>
        </w:rPr>
        <w:t xml:space="preserve">7. Perspectives — Partie 3 et axes non exploités</w:t>
      </w:r>
    </w:p>
    <w:p>
      <w:pPr>
        <w:spacing w:after="70" w:before="70"/>
        <w:jc w:val="both"/>
      </w:pPr>
      <w:r>
        <w:rPr>
          <w:rFonts w:ascii="Arial" w:cs="Arial" w:eastAsia="Arial" w:hAnsi="Arial"/>
          <w:b w:val="false"/>
          <w:bCs w:val="false"/>
          <w:color w:val="222222"/>
          <w:sz w:val="22"/>
          <w:szCs w:val="22"/>
        </w:rPr>
        <w:t xml:space="preserve">Ce rapport a couvert l'analyse sectorielle du BFR et du cycle d'exploitation. Le dataset INPI/BCE contient encore 7 variables non exploitées qui ouvrent des pistes d'analyse à fort potentiel business.</w:t>
      </w:r>
    </w:p>
    <w:p>
      <w:pPr>
        <w:spacing w:after="80" w:before="80"/>
      </w:pPr>
      <w:r>
        <w:t xml:space="preserve"/>
      </w:r>
    </w:p>
    <w:p>
      <w:pPr>
        <w:pStyle w:val="Heading2"/>
        <w:spacing w:after="100" w:before="280"/>
      </w:pPr>
      <w:r>
        <w:rPr>
          <w:rFonts w:ascii="Arial" w:cs="Arial" w:eastAsia="Arial" w:hAnsi="Arial"/>
          <w:b/>
          <w:bCs/>
          <w:color w:val="2E75B6"/>
          <w:sz w:val="26"/>
          <w:szCs w:val="26"/>
        </w:rPr>
        <w:t xml:space="preserve">7.1  Variables encore disponibles dans le dataset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800"/>
        <w:gridCol w:w="1626"/>
      </w:tblGrid>
      <w:tr>
        <w:tc>
          <w:tcPr>
            <w:tcW w:type="dxa" w:w="24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Variable</w:t>
            </w:r>
          </w:p>
        </w:tc>
        <w:tc>
          <w:tcPr>
            <w:tcW w:type="dxa" w:w="2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Définition</w:t>
            </w:r>
          </w:p>
        </w:tc>
        <w:tc>
          <w:tcPr>
            <w:tcW w:type="dxa" w:w="28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Axe d'analyse futur</w:t>
            </w:r>
          </w:p>
        </w:tc>
        <w:tc>
          <w:tcPr>
            <w:tcW w:type="dxa" w:w="1626"/>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Priorité</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9"/>
                <w:szCs w:val="19"/>
              </w:rPr>
              <w:t xml:space="preserve">Marge_EBE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9"/>
                <w:szCs w:val="19"/>
              </w:rPr>
              <w:t xml:space="preserve">EBE / CA — marge opérationnelle</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9"/>
                <w:szCs w:val="19"/>
              </w:rPr>
              <w:t xml:space="preserve">Rentabilité sectorielle — qui gagne vraiment ?</w:t>
            </w:r>
          </w:p>
        </w:tc>
        <w:tc>
          <w:tcPr>
            <w:tcW w:type="dxa" w:w="1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9"/>
                <w:szCs w:val="19"/>
              </w:rPr>
              <w:t xml:space="preserve">Haute</w:t>
            </w:r>
          </w:p>
        </w:tc>
      </w:tr>
      <w:tr>
        <w:tc>
          <w:tcPr>
            <w:tcW w:type="dxa" w:w="2400"/>
            <w:tcBorders>
              <w:top w:val="single" w:color="CCCCCC" w:sz="1"/>
              <w:left w:val="single" w:color="CCCCCC" w:sz="1"/>
              <w:bottom w:val="single" w:color="CCCCCC" w:sz="1"/>
              <w:right w:val="single" w:color="CCCCCC" w:sz="1"/>
            </w:tcBorders>
            <w:shd w:fill="F0F5FB"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9"/>
                <w:szCs w:val="19"/>
              </w:rPr>
              <w:t xml:space="preserve">Couverture_des_interets</w:t>
            </w:r>
          </w:p>
        </w:tc>
        <w:tc>
          <w:tcPr>
            <w:tcW w:type="dxa" w:w="2200"/>
            <w:tcBorders>
              <w:top w:val="single" w:color="CCCCCC" w:sz="1"/>
              <w:left w:val="single" w:color="CCCCCC" w:sz="1"/>
              <w:bottom w:val="single" w:color="CCCCCC" w:sz="1"/>
              <w:right w:val="single" w:color="CCCCCC" w:sz="1"/>
            </w:tcBorders>
            <w:shd w:fill="F0F5FB"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9"/>
                <w:szCs w:val="19"/>
              </w:rPr>
              <w:t xml:space="preserve">EBIT / Charges financières</w:t>
            </w:r>
          </w:p>
        </w:tc>
        <w:tc>
          <w:tcPr>
            <w:tcW w:type="dxa" w:w="2800"/>
            <w:tcBorders>
              <w:top w:val="single" w:color="CCCCCC" w:sz="1"/>
              <w:left w:val="single" w:color="CCCCCC" w:sz="1"/>
              <w:bottom w:val="single" w:color="CCCCCC" w:sz="1"/>
              <w:right w:val="single" w:color="CCCCCC" w:sz="1"/>
            </w:tcBorders>
            <w:shd w:fill="F0F5FB"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9"/>
                <w:szCs w:val="19"/>
              </w:rPr>
              <w:t xml:space="preserve">Modèle de scoring du risque de crédit</w:t>
            </w:r>
          </w:p>
        </w:tc>
        <w:tc>
          <w:tcPr>
            <w:tcW w:type="dxa" w:w="1626"/>
            <w:tcBorders>
              <w:top w:val="single" w:color="CCCCCC" w:sz="1"/>
              <w:left w:val="single" w:color="CCCCCC" w:sz="1"/>
              <w:bottom w:val="single" w:color="CCCCCC" w:sz="1"/>
              <w:right w:val="single" w:color="CCCCCC" w:sz="1"/>
            </w:tcBorders>
            <w:shd w:fill="F0F5FB"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9"/>
                <w:szCs w:val="19"/>
              </w:rPr>
              <w:t xml:space="preserve">Haute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9"/>
                <w:szCs w:val="19"/>
              </w:rPr>
              <w:t xml:space="preserve">Capacite_de_remboursement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9"/>
                <w:szCs w:val="19"/>
              </w:rPr>
              <w:t xml:space="preserve">Dettes nettes / CAF</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9"/>
                <w:szCs w:val="19"/>
              </w:rPr>
              <w:t xml:space="preserve">Durée pour rembourser — outil banquier</w:t>
            </w:r>
          </w:p>
        </w:tc>
        <w:tc>
          <w:tcPr>
            <w:tcW w:type="dxa" w:w="1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9"/>
                <w:szCs w:val="19"/>
              </w:rPr>
              <w:t xml:space="preserve">Haute</w:t>
            </w:r>
          </w:p>
        </w:tc>
      </w:tr>
      <w:tr>
        <w:tc>
          <w:tcPr>
            <w:tcW w:type="dxa" w:w="2400"/>
            <w:tcBorders>
              <w:top w:val="single" w:color="CCCCCC" w:sz="1"/>
              <w:left w:val="single" w:color="CCCCCC" w:sz="1"/>
              <w:bottom w:val="single" w:color="CCCCCC" w:sz="1"/>
              <w:right w:val="single" w:color="CCCCCC" w:sz="1"/>
            </w:tcBorders>
            <w:shd w:fill="F0F5FB"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9"/>
                <w:szCs w:val="19"/>
              </w:rPr>
              <w:t xml:space="preserve">Ratio_de_liquidite</w:t>
            </w:r>
          </w:p>
        </w:tc>
        <w:tc>
          <w:tcPr>
            <w:tcW w:type="dxa" w:w="2200"/>
            <w:tcBorders>
              <w:top w:val="single" w:color="CCCCCC" w:sz="1"/>
              <w:left w:val="single" w:color="CCCCCC" w:sz="1"/>
              <w:bottom w:val="single" w:color="CCCCCC" w:sz="1"/>
              <w:right w:val="single" w:color="CCCCCC" w:sz="1"/>
            </w:tcBorders>
            <w:shd w:fill="F0F5FB"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9"/>
                <w:szCs w:val="19"/>
              </w:rPr>
              <w:t xml:space="preserve">Actifs CT / Passifs CT</w:t>
            </w:r>
          </w:p>
        </w:tc>
        <w:tc>
          <w:tcPr>
            <w:tcW w:type="dxa" w:w="2800"/>
            <w:tcBorders>
              <w:top w:val="single" w:color="CCCCCC" w:sz="1"/>
              <w:left w:val="single" w:color="CCCCCC" w:sz="1"/>
              <w:bottom w:val="single" w:color="CCCCCC" w:sz="1"/>
              <w:right w:val="single" w:color="CCCCCC" w:sz="1"/>
            </w:tcBorders>
            <w:shd w:fill="F0F5FB"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9"/>
                <w:szCs w:val="19"/>
              </w:rPr>
              <w:t xml:space="preserve">Entreprises sous stress de liquidité immédiate</w:t>
            </w:r>
          </w:p>
        </w:tc>
        <w:tc>
          <w:tcPr>
            <w:tcW w:type="dxa" w:w="1626"/>
            <w:tcBorders>
              <w:top w:val="single" w:color="CCCCCC" w:sz="1"/>
              <w:left w:val="single" w:color="CCCCCC" w:sz="1"/>
              <w:bottom w:val="single" w:color="CCCCCC" w:sz="1"/>
              <w:right w:val="single" w:color="CCCCCC" w:sz="1"/>
            </w:tcBorders>
            <w:shd w:fill="F0F5FB"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9"/>
                <w:szCs w:val="19"/>
              </w:rPr>
              <w:t xml:space="preserve">Moyenne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9"/>
                <w:szCs w:val="19"/>
              </w:rPr>
              <w:t xml:space="preserve">Resultat_courant_sur_CA</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9"/>
                <w:szCs w:val="19"/>
              </w:rPr>
              <w:t xml:space="preserve">Résultat courant / CA</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9"/>
                <w:szCs w:val="19"/>
              </w:rPr>
              <w:t xml:space="preserve">Performance après frais financiers</w:t>
            </w:r>
          </w:p>
        </w:tc>
        <w:tc>
          <w:tcPr>
            <w:tcW w:type="dxa" w:w="1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9"/>
                <w:szCs w:val="19"/>
              </w:rPr>
              <w:t xml:space="preserve">Moyenne</w:t>
            </w:r>
          </w:p>
        </w:tc>
      </w:tr>
      <w:tr>
        <w:tc>
          <w:tcPr>
            <w:tcW w:type="dxa" w:w="2400"/>
            <w:tcBorders>
              <w:top w:val="single" w:color="CCCCCC" w:sz="1"/>
              <w:left w:val="single" w:color="CCCCCC" w:sz="1"/>
              <w:bottom w:val="single" w:color="CCCCCC" w:sz="1"/>
              <w:right w:val="single" w:color="CCCCCC" w:sz="1"/>
            </w:tcBorders>
            <w:shd w:fill="F0F5FB"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9"/>
                <w:szCs w:val="19"/>
              </w:rPr>
              <w:t xml:space="preserve">Marge_brute</w:t>
            </w:r>
          </w:p>
        </w:tc>
        <w:tc>
          <w:tcPr>
            <w:tcW w:type="dxa" w:w="2200"/>
            <w:tcBorders>
              <w:top w:val="single" w:color="CCCCCC" w:sz="1"/>
              <w:left w:val="single" w:color="CCCCCC" w:sz="1"/>
              <w:bottom w:val="single" w:color="CCCCCC" w:sz="1"/>
              <w:right w:val="single" w:color="CCCCCC" w:sz="1"/>
            </w:tcBorders>
            <w:shd w:fill="F0F5FB"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9"/>
                <w:szCs w:val="19"/>
              </w:rPr>
              <w:t xml:space="preserve">CA – Coûts directs</w:t>
            </w:r>
          </w:p>
        </w:tc>
        <w:tc>
          <w:tcPr>
            <w:tcW w:type="dxa" w:w="2800"/>
            <w:tcBorders>
              <w:top w:val="single" w:color="CCCCCC" w:sz="1"/>
              <w:left w:val="single" w:color="CCCCCC" w:sz="1"/>
              <w:bottom w:val="single" w:color="CCCCCC" w:sz="1"/>
              <w:right w:val="single" w:color="CCCCCC" w:sz="1"/>
            </w:tcBorders>
            <w:shd w:fill="F0F5FB"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9"/>
                <w:szCs w:val="19"/>
              </w:rPr>
              <w:t xml:space="preserve">Valeur ajoutée brute sectorielle</w:t>
            </w:r>
          </w:p>
        </w:tc>
        <w:tc>
          <w:tcPr>
            <w:tcW w:type="dxa" w:w="1626"/>
            <w:tcBorders>
              <w:top w:val="single" w:color="CCCCCC" w:sz="1"/>
              <w:left w:val="single" w:color="CCCCCC" w:sz="1"/>
              <w:bottom w:val="single" w:color="CCCCCC" w:sz="1"/>
              <w:right w:val="single" w:color="CCCCCC" w:sz="1"/>
            </w:tcBorders>
            <w:shd w:fill="F0F5FB"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9"/>
                <w:szCs w:val="19"/>
              </w:rPr>
              <w:t xml:space="preserve">Moyenne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9"/>
                <w:szCs w:val="19"/>
              </w:rPr>
              <w:t xml:space="preserve">Ratio_de_vetuste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9"/>
                <w:szCs w:val="19"/>
              </w:rPr>
              <w:t xml:space="preserve">Amortissements / Valeur brute</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9"/>
                <w:szCs w:val="19"/>
              </w:rPr>
              <w:t xml:space="preserve">Vieillissement des actifs — besoins d'investissement</w:t>
            </w:r>
          </w:p>
        </w:tc>
        <w:tc>
          <w:tcPr>
            <w:tcW w:type="dxa" w:w="1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9"/>
                <w:szCs w:val="19"/>
              </w:rPr>
              <w:t xml:space="preserve">Faible</w:t>
            </w:r>
          </w:p>
        </w:tc>
      </w:tr>
    </w:tbl>
    <w:p>
      <w:pPr>
        <w:spacing w:after="80" w:before="80"/>
      </w:pPr>
      <w:r>
        <w:t xml:space="preserve"/>
      </w:r>
    </w:p>
    <w:p>
      <w:pPr>
        <w:pStyle w:val="Heading2"/>
        <w:spacing w:after="100" w:before="280"/>
      </w:pPr>
      <w:r>
        <w:rPr>
          <w:rFonts w:ascii="Arial" w:cs="Arial" w:eastAsia="Arial" w:hAnsi="Arial"/>
          <w:b/>
          <w:bCs/>
          <w:color w:val="2E75B6"/>
          <w:sz w:val="26"/>
          <w:szCs w:val="26"/>
        </w:rPr>
        <w:t xml:space="preserve">7.2  Axes d'analyse prioritaires pour la Partie 3</w:t>
      </w:r>
    </w:p>
    <w:p>
      <w:pPr>
        <w:spacing w:after="40" w:before="40"/>
      </w:pPr>
      <w:r>
        <w:t xml:space="preserve"/>
      </w:r>
    </w:p>
    <w:p>
      <w:pPr>
        <w:pStyle w:val="Heading3"/>
        <w:spacing w:after="80" w:before="180"/>
      </w:pPr>
      <w:r>
        <w:rPr>
          <w:rFonts w:ascii="Arial" w:cs="Arial" w:eastAsia="Arial" w:hAnsi="Arial"/>
          <w:b/>
          <w:bCs/>
          <w:color w:val="404040"/>
          <w:sz w:val="22"/>
          <w:szCs w:val="22"/>
        </w:rPr>
        <w:t xml:space="preserve">A — Scoring de santé financière multi-dimensionnel</w:t>
      </w:r>
    </w:p>
    <w:p>
      <w:pPr>
        <w:spacing w:after="70" w:before="70"/>
        <w:jc w:val="both"/>
      </w:pPr>
      <w:r>
        <w:rPr>
          <w:rFonts w:ascii="Arial" w:cs="Arial" w:eastAsia="Arial" w:hAnsi="Arial"/>
          <w:b w:val="false"/>
          <w:bCs w:val="false"/>
          <w:color w:val="222222"/>
          <w:sz w:val="22"/>
          <w:szCs w:val="22"/>
        </w:rPr>
        <w:t xml:space="preserve">Combiner les 6 ratios les plus discriminants (endettement, autonomie, CAF/CA, liquidité, couverture des intérêts, capacité de remboursement) dans un score composite sur 10. Ce score permettrait de classer chaque entreprise et de construire un vrai outil d'aide à la décision pour les banquiers et les investisseurs.</w:t>
      </w:r>
    </w:p>
    <w:p>
      <w:pPr>
        <w:spacing w:after="60" w:before="60"/>
      </w:pPr>
      <w:r>
        <w:t xml:space="preserve"/>
      </w:r>
    </w:p>
    <w:p>
      <w:pPr>
        <w:pStyle w:val="Heading3"/>
        <w:spacing w:after="80" w:before="180"/>
      </w:pPr>
      <w:r>
        <w:rPr>
          <w:rFonts w:ascii="Arial" w:cs="Arial" w:eastAsia="Arial" w:hAnsi="Arial"/>
          <w:b/>
          <w:bCs/>
          <w:color w:val="404040"/>
          <w:sz w:val="22"/>
          <w:szCs w:val="22"/>
        </w:rPr>
        <w:t xml:space="preserve">B — Analyse de la rentabilité multi-niveaux</w:t>
      </w:r>
    </w:p>
    <w:p>
      <w:pPr>
        <w:spacing w:after="70" w:before="70"/>
        <w:jc w:val="both"/>
      </w:pPr>
      <w:r>
        <w:rPr>
          <w:rFonts w:ascii="Arial" w:cs="Arial" w:eastAsia="Arial" w:hAnsi="Arial"/>
          <w:b w:val="false"/>
          <w:bCs w:val="false"/>
          <w:color w:val="222222"/>
          <w:sz w:val="22"/>
          <w:szCs w:val="22"/>
        </w:rPr>
        <w:t xml:space="preserve">Le dataset dispose de 4 niveaux de marge : Marge_brute, EBE, EBIT, Résultat_net. Analyser leur évolution conjointe par secteur permet d'identifier précisément où la valeur est créée ou détruite dans la chaîne — au niveau commercial, opérationnel ou financier.</w:t>
      </w:r>
    </w:p>
    <w:p>
      <w:pPr>
        <w:spacing w:after="60" w:before="60"/>
      </w:pPr>
      <w:r>
        <w:t xml:space="preserve"/>
      </w:r>
    </w:p>
    <w:p>
      <w:pPr>
        <w:pStyle w:val="Heading3"/>
        <w:spacing w:after="80" w:before="180"/>
      </w:pPr>
      <w:r>
        <w:rPr>
          <w:rFonts w:ascii="Arial" w:cs="Arial" w:eastAsia="Arial" w:hAnsi="Arial"/>
          <w:b/>
          <w:bCs/>
          <w:color w:val="404040"/>
          <w:sz w:val="22"/>
          <w:szCs w:val="22"/>
        </w:rPr>
        <w:t xml:space="preserve">C — Modèle de scoring risque de crédit</w:t>
      </w:r>
    </w:p>
    <w:p>
      <w:pPr>
        <w:spacing w:after="70" w:before="70"/>
        <w:jc w:val="both"/>
      </w:pPr>
      <w:r>
        <w:rPr>
          <w:rFonts w:ascii="Arial" w:cs="Arial" w:eastAsia="Arial" w:hAnsi="Arial"/>
          <w:b w:val="false"/>
          <w:bCs w:val="false"/>
          <w:color w:val="222222"/>
          <w:sz w:val="22"/>
          <w:szCs w:val="22"/>
        </w:rPr>
        <w:t xml:space="preserve">La Couverture_des_interets (EBIT / charges financières) et la Capacite_de_remboursement (dettes nettes / CAF) sont les deux ratios les plus utilisés par les banques dans leurs comités de crédit. Croiser ces deux dimensions avec le type de bilan et le secteur permettrait de construire un modèle prédictif de défaillance.</w:t>
      </w:r>
    </w:p>
    <w:p>
      <w:pPr>
        <w:spacing w:after="60" w:before="60"/>
      </w:pPr>
      <w:r>
        <w:t xml:space="preserve"/>
      </w:r>
    </w:p>
    <w:p>
      <w:pPr>
        <w:pStyle w:val="Heading3"/>
        <w:spacing w:after="80" w:before="180"/>
      </w:pPr>
      <w:r>
        <w:rPr>
          <w:rFonts w:ascii="Arial" w:cs="Arial" w:eastAsia="Arial" w:hAnsi="Arial"/>
          <w:b/>
          <w:bCs/>
          <w:color w:val="404040"/>
          <w:sz w:val="22"/>
          <w:szCs w:val="22"/>
        </w:rPr>
        <w:t xml:space="preserve">D — Clustering des profils financiers</w:t>
      </w:r>
    </w:p>
    <w:p>
      <w:pPr>
        <w:spacing w:after="70" w:before="70"/>
        <w:jc w:val="both"/>
      </w:pPr>
      <w:r>
        <w:rPr>
          <w:rFonts w:ascii="Arial" w:cs="Arial" w:eastAsia="Arial" w:hAnsi="Arial"/>
          <w:b w:val="false"/>
          <w:bCs w:val="false"/>
          <w:color w:val="222222"/>
          <w:sz w:val="22"/>
          <w:szCs w:val="22"/>
        </w:rPr>
        <w:t xml:space="preserve">Utiliser l'ensemble des 19 ratios numériques dans un algorithme de clustering (K-Means ou DBSCAN) pour identifier 4 à 6 archétypes financiers naturels dans les données. Cette segmentation non supervisée pourrait révéler des patterns invisibles à l'analyse univariée.</w:t>
      </w:r>
    </w:p>
    <w:p>
      <w:pPr>
        <w:spacing w:after="80" w:before="80"/>
      </w:pPr>
      <w:r>
        <w:t xml:space="preserve"/>
      </w:r>
    </w:p>
    <w:p>
      <w:pPr>
        <w:pBdr>
          <w:top w:val="single" w:color="1F3864" w:sz="4" w:space="8"/>
        </w:pBdr>
        <w:spacing w:before="200"/>
        <w:jc w:val="center"/>
      </w:pPr>
      <w:r>
        <w:rPr>
          <w:rFonts w:ascii="Arial" w:cs="Arial" w:eastAsia="Arial" w:hAnsi="Arial"/>
          <w:color w:val="888888"/>
          <w:sz w:val="19"/>
          <w:szCs w:val="19"/>
        </w:rPr>
        <w:t xml:space="preserve">Fin — EDA Ratios Financiers Partie 2 — Analyse Sectorielle  |  Yacin  |  2025</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spacing w:before="80"/>
    </w:pPr>
    <w:r>
      <w:rPr>
        <w:rFonts w:ascii="Arial" w:cs="Arial" w:eastAsia="Arial" w:hAnsi="Arial"/>
        <w:color w:val="888888"/>
        <w:sz w:val="16"/>
        <w:szCs w:val="16"/>
      </w:rPr>
      <w:t xml:space="preserve">Confidentiel — EDA Ratios Financiers INPI/BCE  |  Partie 2  |  2025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spacing w:after="80"/>
    </w:pPr>
    <w:r>
      <w:rPr>
        <w:rFonts w:ascii="Arial" w:cs="Arial" w:eastAsia="Arial" w:hAnsi="Arial"/>
        <w:b/>
        <w:bCs/>
        <w:color w:val="1F3864"/>
        <w:sz w:val="18"/>
        <w:szCs w:val="18"/>
      </w:rPr>
      <w:t xml:space="preserve">EDA Ratios Financiers — Partie 2 : Analyse Sectorielle</w:t>
    </w:r>
    <w:r>
      <w:rPr>
        <w:rFonts w:ascii="Arial" w:cs="Arial" w:eastAsia="Arial" w:hAnsi="Arial"/>
        <w:color w:val="888888"/>
        <w:sz w:val="18"/>
        <w:szCs w:val="18"/>
      </w:rPr>
      <w:t xml:space="preserve">	Rapport Data Analyst — Yacin  |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20"/>
      <w:outlineLvl w:val="0"/>
    </w:pPr>
    <w:rPr>
      <w:rFonts w:ascii="Arial" w:cs="Arial" w:eastAsia="Arial" w:hAnsi="Arial"/>
      <w:b/>
      <w:bCs/>
      <w:color w:val="1F3864"/>
      <w:sz w:val="34"/>
      <w:szCs w:val="34"/>
    </w:rPr>
  </w:style>
  <w:style w:type="paragraph" w:styleId="Heading2">
    <w:name w:val="Heading 2"/>
    <w:basedOn w:val="Normal"/>
    <w:next w:val="Normal"/>
    <w:qFormat/>
    <w:pPr>
      <w:spacing w:after="10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a688fe8ba0cbc1357e5cd6425825e16cf4c7639.png"/><Relationship Id="rId10" Type="http://schemas.openxmlformats.org/officeDocument/2006/relationships/image" Target="media/a8eccf018968604aa611988bb72a4dc1f9033915.png"/><Relationship Id="rId11" Type="http://schemas.openxmlformats.org/officeDocument/2006/relationships/image" Target="media/c0852e31b2553d9e112a8807f1de73c7eb7b9c89.png"/><Relationship Id="rId12" Type="http://schemas.openxmlformats.org/officeDocument/2006/relationships/image" Target="media/66816061f8063cb903a8ba65ed3507bb7d060eb9.png"/><Relationship Id="rId13" Type="http://schemas.openxmlformats.org/officeDocument/2006/relationships/image" Target="media/f6e89491227caed3c56eb344b2f712f7044b7c05.png"/><Relationship Id="rId14" Type="http://schemas.openxmlformats.org/officeDocument/2006/relationships/image" Target="media/6ae0162652e8d8b5e0b8fd13758c9a494f4a7daa.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2026-04-26T17:06:11.689Z</dcterms:created>
  <dcterms:modified xsi:type="dcterms:W3CDTF">2026-04-26T17:06:11.690Z</dcterms:modified>
</cp:coreProperties>
</file>

<file path=docProps/custom.xml><?xml version="1.0" encoding="utf-8"?>
<Properties xmlns="http://schemas.openxmlformats.org/officeDocument/2006/custom-properties" xmlns:vt="http://schemas.openxmlformats.org/officeDocument/2006/docPropsVTypes"/>
</file>