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D5D0" w14:textId="77777777" w:rsidR="00053D21" w:rsidRDefault="00053D21">
      <w:pPr>
        <w:spacing w:before="1600" w:after="80"/>
      </w:pPr>
    </w:p>
    <w:p w14:paraId="08A25CAA" w14:textId="77777777" w:rsidR="00053D21" w:rsidRDefault="00000000">
      <w:pPr>
        <w:spacing w:after="120"/>
        <w:jc w:val="center"/>
      </w:pPr>
      <w:r>
        <w:rPr>
          <w:b/>
          <w:bCs/>
          <w:color w:val="1F3864"/>
          <w:sz w:val="54"/>
          <w:szCs w:val="54"/>
        </w:rPr>
        <w:t>ANALYSE EXPLORATOIRE DE DONNÉES</w:t>
      </w:r>
    </w:p>
    <w:p w14:paraId="57C99FE7" w14:textId="77777777" w:rsidR="00053D21" w:rsidRDefault="00000000">
      <w:pPr>
        <w:pBdr>
          <w:bottom w:val="single" w:sz="8" w:space="8" w:color="2E75B6"/>
        </w:pBdr>
        <w:spacing w:after="200"/>
        <w:jc w:val="center"/>
      </w:pPr>
      <w:r>
        <w:rPr>
          <w:color w:val="2E75B6"/>
          <w:sz w:val="36"/>
          <w:szCs w:val="36"/>
        </w:rPr>
        <w:t>Ratios Financiers des Entreprises Françaises</w:t>
      </w:r>
    </w:p>
    <w:p w14:paraId="6D0838F5" w14:textId="77777777" w:rsidR="00053D21" w:rsidRDefault="00053D21">
      <w:pPr>
        <w:spacing w:before="500" w:after="80"/>
      </w:pPr>
    </w:p>
    <w:p w14:paraId="6F7DF940" w14:textId="77777777" w:rsidR="00053D21" w:rsidRDefault="00000000">
      <w:pPr>
        <w:jc w:val="center"/>
      </w:pPr>
      <w:r>
        <w:rPr>
          <w:color w:val="555555"/>
        </w:rPr>
        <w:t>Source : INPI / BCE  —  ratios_inpi_bce.csv</w:t>
      </w:r>
    </w:p>
    <w:p w14:paraId="4ECFFBF8" w14:textId="77777777" w:rsidR="00053D21" w:rsidRDefault="00000000">
      <w:pPr>
        <w:spacing w:before="80" w:after="600"/>
        <w:jc w:val="center"/>
      </w:pPr>
      <w:r>
        <w:rPr>
          <w:color w:val="555555"/>
        </w:rPr>
        <w:t>6 051 701 entrées  |  23 variables  |  Période 2010–2024</w:t>
      </w:r>
    </w:p>
    <w:p w14:paraId="1C022C57" w14:textId="0C6BC50C" w:rsidR="00053D21" w:rsidRDefault="00000000">
      <w:pPr>
        <w:jc w:val="center"/>
      </w:pPr>
      <w:r>
        <w:rPr>
          <w:b/>
          <w:bCs/>
          <w:color w:val="1F3864"/>
          <w:sz w:val="28"/>
          <w:szCs w:val="28"/>
        </w:rPr>
        <w:t>Rapport réalisé par : Yacin</w:t>
      </w:r>
      <w:r w:rsidR="00935720">
        <w:rPr>
          <w:b/>
          <w:bCs/>
          <w:color w:val="1F3864"/>
          <w:sz w:val="28"/>
          <w:szCs w:val="28"/>
        </w:rPr>
        <w:t>e KHELIFA</w:t>
      </w:r>
      <w:r>
        <w:rPr>
          <w:b/>
          <w:bCs/>
          <w:color w:val="1F3864"/>
          <w:sz w:val="28"/>
          <w:szCs w:val="28"/>
        </w:rPr>
        <w:t xml:space="preserve">  |  202</w:t>
      </w:r>
      <w:r w:rsidR="00935720">
        <w:rPr>
          <w:b/>
          <w:bCs/>
          <w:color w:val="1F3864"/>
          <w:sz w:val="28"/>
          <w:szCs w:val="28"/>
        </w:rPr>
        <w:t>6</w:t>
      </w:r>
    </w:p>
    <w:p w14:paraId="1A6BD7E1" w14:textId="77777777" w:rsidR="00053D21" w:rsidRDefault="00000000">
      <w:r>
        <w:br w:type="page"/>
      </w:r>
    </w:p>
    <w:p w14:paraId="36459726" w14:textId="77777777" w:rsidR="00053D21" w:rsidRDefault="00000000">
      <w:pPr>
        <w:pStyle w:val="Titre1"/>
        <w:pBdr>
          <w:bottom w:val="single" w:sz="6" w:space="6" w:color="1F3864"/>
        </w:pBdr>
      </w:pPr>
      <w:r>
        <w:lastRenderedPageBreak/>
        <w:t>1. Présentation du projet</w:t>
      </w:r>
    </w:p>
    <w:p w14:paraId="26C4606D" w14:textId="77777777" w:rsidR="00053D21" w:rsidRDefault="00000000">
      <w:pPr>
        <w:spacing w:before="70" w:after="70"/>
        <w:jc w:val="both"/>
      </w:pPr>
      <w:r>
        <w:rPr>
          <w:color w:val="222222"/>
        </w:rPr>
        <w:t>Ce rapport présente les résultats d'une analyse exploratoire de données (EDA) conduite sur une base de ratios financiers d'entreprises françaises, issue d'un croisement INPI / BCE. L'objectif est d'identifier des patterns financiers significatifs à l'échelle nationale, en examinant la structure de financement, la rentabilité opérationnelle et le cycle d'exploitation. Ces enseignements ont vocation à éclairer des décisions stratégiques : allocation de crédit, segmentation de portefeuille, pilotage sectoriel.</w:t>
      </w:r>
    </w:p>
    <w:p w14:paraId="56B40459" w14:textId="77777777" w:rsidR="00053D21" w:rsidRDefault="00053D21">
      <w:pPr>
        <w:spacing w:before="80" w:after="80"/>
      </w:pPr>
    </w:p>
    <w:p w14:paraId="5317A080" w14:textId="77777777" w:rsidR="00053D21" w:rsidRDefault="00000000">
      <w:pPr>
        <w:pStyle w:val="Titre2"/>
      </w:pPr>
      <w:r>
        <w:t>1.1  Vue d'ensemble du dataset</w:t>
      </w:r>
    </w:p>
    <w:p w14:paraId="4C7523FE" w14:textId="77777777" w:rsidR="00053D21" w:rsidRDefault="00053D21">
      <w:pPr>
        <w:spacing w:before="40"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053D21" w14:paraId="0D2473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4F2AAC7" w14:textId="77777777" w:rsidR="00053D21" w:rsidRDefault="00000000">
            <w:pPr>
              <w:jc w:val="center"/>
            </w:pPr>
            <w:r>
              <w:rPr>
                <w:b/>
                <w:bCs/>
                <w:color w:val="FFFFFF"/>
                <w:sz w:val="20"/>
                <w:szCs w:val="20"/>
              </w:rPr>
              <w:t>Indicateur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C8E7687" w14:textId="77777777" w:rsidR="00053D21" w:rsidRDefault="00000000">
            <w:pPr>
              <w:jc w:val="center"/>
            </w:pPr>
            <w:r>
              <w:rPr>
                <w:b/>
                <w:bCs/>
                <w:color w:val="FFFFFF"/>
                <w:sz w:val="20"/>
                <w:szCs w:val="20"/>
              </w:rPr>
              <w:t>Valeur</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065D189" w14:textId="77777777" w:rsidR="00053D21" w:rsidRDefault="00000000">
            <w:pPr>
              <w:jc w:val="center"/>
            </w:pPr>
            <w:r>
              <w:rPr>
                <w:b/>
                <w:bCs/>
                <w:color w:val="FFFFFF"/>
                <w:sz w:val="20"/>
                <w:szCs w:val="20"/>
              </w:rPr>
              <w:t>Remarque</w:t>
            </w:r>
          </w:p>
        </w:tc>
      </w:tr>
      <w:tr w:rsidR="00053D21" w14:paraId="6B41CB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69090C" w14:textId="77777777" w:rsidR="00053D21" w:rsidRDefault="00000000">
            <w:pPr>
              <w:jc w:val="center"/>
            </w:pPr>
            <w:r>
              <w:rPr>
                <w:color w:val="222222"/>
                <w:sz w:val="20"/>
                <w:szCs w:val="20"/>
              </w:rPr>
              <w:t>Entrées brutes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8CFFA8" w14:textId="77777777" w:rsidR="00053D21" w:rsidRDefault="00000000">
            <w:pPr>
              <w:jc w:val="center"/>
            </w:pPr>
            <w:r>
              <w:rPr>
                <w:color w:val="222222"/>
                <w:sz w:val="20"/>
                <w:szCs w:val="20"/>
              </w:rPr>
              <w:t>6 051 701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3891E5" w14:textId="77777777" w:rsidR="00053D21" w:rsidRDefault="00000000">
            <w:pPr>
              <w:jc w:val="center"/>
            </w:pPr>
            <w:r>
              <w:rPr>
                <w:color w:val="222222"/>
                <w:sz w:val="20"/>
                <w:szCs w:val="20"/>
              </w:rPr>
              <w:t>Grande volumétrie — Big Data</w:t>
            </w:r>
          </w:p>
        </w:tc>
      </w:tr>
      <w:tr w:rsidR="00053D21" w14:paraId="6795C4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561832F3" w14:textId="77777777" w:rsidR="00053D21" w:rsidRDefault="00000000">
            <w:pPr>
              <w:jc w:val="center"/>
            </w:pPr>
            <w:r>
              <w:rPr>
                <w:color w:val="222222"/>
                <w:sz w:val="20"/>
                <w:szCs w:val="20"/>
              </w:rPr>
              <w:t>Variables</w:t>
            </w:r>
          </w:p>
        </w:tc>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79678424" w14:textId="77777777" w:rsidR="00053D21" w:rsidRDefault="00000000">
            <w:pPr>
              <w:jc w:val="center"/>
            </w:pPr>
            <w:r>
              <w:rPr>
                <w:color w:val="222222"/>
                <w:sz w:val="20"/>
                <w:szCs w:val="20"/>
              </w:rPr>
              <w:t>23</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1345608D" w14:textId="77777777" w:rsidR="00053D21" w:rsidRDefault="00000000">
            <w:pPr>
              <w:jc w:val="center"/>
            </w:pPr>
            <w:r>
              <w:rPr>
                <w:color w:val="222222"/>
                <w:sz w:val="20"/>
                <w:szCs w:val="20"/>
              </w:rPr>
              <w:t>19 ratios float + 2 catégorielles</w:t>
            </w:r>
          </w:p>
        </w:tc>
      </w:tr>
      <w:tr w:rsidR="00053D21" w14:paraId="07D2B6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97EDCC" w14:textId="77777777" w:rsidR="00053D21" w:rsidRDefault="00000000">
            <w:pPr>
              <w:jc w:val="center"/>
            </w:pPr>
            <w:r>
              <w:rPr>
                <w:color w:val="222222"/>
                <w:sz w:val="20"/>
                <w:szCs w:val="20"/>
              </w:rPr>
              <w:t>Période fiable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8A9DAD" w14:textId="77777777" w:rsidR="00053D21" w:rsidRDefault="00000000">
            <w:pPr>
              <w:jc w:val="center"/>
            </w:pPr>
            <w:r>
              <w:rPr>
                <w:color w:val="222222"/>
                <w:sz w:val="20"/>
                <w:szCs w:val="20"/>
              </w:rPr>
              <w:t>2010 – 2024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CFC559" w14:textId="77777777" w:rsidR="00053D21" w:rsidRDefault="00000000">
            <w:pPr>
              <w:jc w:val="center"/>
            </w:pPr>
            <w:r>
              <w:rPr>
                <w:color w:val="222222"/>
                <w:sz w:val="20"/>
                <w:szCs w:val="20"/>
              </w:rPr>
              <w:t>Données pré-2010 instables</w:t>
            </w:r>
          </w:p>
        </w:tc>
      </w:tr>
      <w:tr w:rsidR="00053D21" w14:paraId="76C469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39AE7927" w14:textId="77777777" w:rsidR="00053D21" w:rsidRDefault="00000000">
            <w:pPr>
              <w:jc w:val="center"/>
            </w:pPr>
            <w:r>
              <w:rPr>
                <w:color w:val="222222"/>
                <w:sz w:val="20"/>
                <w:szCs w:val="20"/>
              </w:rPr>
              <w:t>Identifiant</w:t>
            </w:r>
          </w:p>
        </w:tc>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756A8E0E" w14:textId="77777777" w:rsidR="00053D21" w:rsidRDefault="00000000">
            <w:pPr>
              <w:jc w:val="center"/>
            </w:pPr>
            <w:r>
              <w:rPr>
                <w:color w:val="222222"/>
                <w:sz w:val="20"/>
                <w:szCs w:val="20"/>
              </w:rPr>
              <w:t>SIREN</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13D89478" w14:textId="77777777" w:rsidR="00053D21" w:rsidRDefault="00000000">
            <w:pPr>
              <w:jc w:val="center"/>
            </w:pPr>
            <w:r>
              <w:rPr>
                <w:color w:val="222222"/>
                <w:sz w:val="20"/>
                <w:szCs w:val="20"/>
              </w:rPr>
              <w:t>Clé unique par entreprise</w:t>
            </w:r>
          </w:p>
        </w:tc>
      </w:tr>
      <w:tr w:rsidR="00053D21" w14:paraId="139BDB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209AFD" w14:textId="77777777" w:rsidR="00053D21" w:rsidRDefault="00000000">
            <w:pPr>
              <w:jc w:val="center"/>
            </w:pPr>
            <w:r>
              <w:rPr>
                <w:color w:val="222222"/>
                <w:sz w:val="20"/>
                <w:szCs w:val="20"/>
              </w:rPr>
              <w:t>Doublons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E6B958" w14:textId="77777777" w:rsidR="00053D21" w:rsidRDefault="00000000">
            <w:pPr>
              <w:jc w:val="center"/>
            </w:pPr>
            <w:r>
              <w:rPr>
                <w:color w:val="222222"/>
                <w:sz w:val="20"/>
                <w:szCs w:val="20"/>
              </w:rPr>
              <w:t>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615237" w14:textId="77777777" w:rsidR="00053D21" w:rsidRDefault="00000000">
            <w:pPr>
              <w:jc w:val="center"/>
            </w:pPr>
            <w:r>
              <w:rPr>
                <w:color w:val="222222"/>
                <w:sz w:val="20"/>
                <w:szCs w:val="20"/>
              </w:rPr>
              <w:t>Base propre</w:t>
            </w:r>
          </w:p>
        </w:tc>
      </w:tr>
      <w:tr w:rsidR="00053D21" w14:paraId="73AACF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5D3BD215" w14:textId="77777777" w:rsidR="00053D21" w:rsidRDefault="00000000">
            <w:pPr>
              <w:jc w:val="center"/>
            </w:pPr>
            <w:r>
              <w:rPr>
                <w:color w:val="222222"/>
                <w:sz w:val="20"/>
                <w:szCs w:val="20"/>
              </w:rPr>
              <w:t>Valeurs manquantes notables</w:t>
            </w:r>
          </w:p>
        </w:tc>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5AF75229" w14:textId="77777777" w:rsidR="00053D21" w:rsidRDefault="00000000">
            <w:pPr>
              <w:jc w:val="center"/>
            </w:pPr>
            <w:r>
              <w:rPr>
                <w:color w:val="222222"/>
                <w:sz w:val="20"/>
                <w:szCs w:val="20"/>
              </w:rPr>
              <w:t>Ratio_de_vetuste (~20 %)</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5D17C343" w14:textId="77777777" w:rsidR="00053D21" w:rsidRDefault="00000000">
            <w:pPr>
              <w:jc w:val="center"/>
            </w:pPr>
            <w:r>
              <w:rPr>
                <w:color w:val="222222"/>
                <w:sz w:val="20"/>
                <w:szCs w:val="20"/>
              </w:rPr>
              <w:t>Exclu des analyses principales</w:t>
            </w:r>
          </w:p>
        </w:tc>
      </w:tr>
      <w:tr w:rsidR="00053D21" w14:paraId="0A6CA6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E3C276" w14:textId="77777777" w:rsidR="00053D21" w:rsidRDefault="00000000">
            <w:pPr>
              <w:jc w:val="center"/>
            </w:pPr>
            <w:r>
              <w:rPr>
                <w:color w:val="222222"/>
                <w:sz w:val="20"/>
                <w:szCs w:val="20"/>
              </w:rPr>
              <w:t>Types de bilan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A82879" w14:textId="77777777" w:rsidR="00053D21" w:rsidRDefault="00000000">
            <w:pPr>
              <w:jc w:val="center"/>
            </w:pPr>
            <w:r>
              <w:rPr>
                <w:color w:val="222222"/>
                <w:sz w:val="20"/>
                <w:szCs w:val="20"/>
              </w:rPr>
              <w:t>S, C, 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256A52" w14:textId="77777777" w:rsidR="00053D21" w:rsidRDefault="00000000">
            <w:pPr>
              <w:jc w:val="center"/>
            </w:pPr>
            <w:r>
              <w:rPr>
                <w:color w:val="222222"/>
                <w:sz w:val="20"/>
                <w:szCs w:val="20"/>
              </w:rPr>
              <w:t>Simplifié, Complet, Consolidé</w:t>
            </w:r>
          </w:p>
        </w:tc>
      </w:tr>
    </w:tbl>
    <w:p w14:paraId="05460139" w14:textId="77777777" w:rsidR="00053D21" w:rsidRDefault="00053D21">
      <w:pPr>
        <w:spacing w:before="80" w:after="80"/>
      </w:pPr>
    </w:p>
    <w:p w14:paraId="69A9A9A4" w14:textId="77777777" w:rsidR="00053D21" w:rsidRDefault="00000000">
      <w:pPr>
        <w:pStyle w:val="Titre2"/>
      </w:pPr>
      <w:r>
        <w:t>1.2  Variables analysées dans ce rapport</w:t>
      </w:r>
    </w:p>
    <w:p w14:paraId="2CDDF2CA" w14:textId="77777777" w:rsidR="00053D21" w:rsidRDefault="00000000">
      <w:pPr>
        <w:pStyle w:val="Paragraphedeliste"/>
        <w:numPr>
          <w:ilvl w:val="0"/>
          <w:numId w:val="2"/>
        </w:numPr>
        <w:spacing w:before="40" w:after="40"/>
      </w:pPr>
      <w:r>
        <w:rPr>
          <w:color w:val="333333"/>
          <w:sz w:val="21"/>
          <w:szCs w:val="21"/>
        </w:rPr>
        <w:t>Taux_d_endettement : dettes financières / capitaux propres</w:t>
      </w:r>
    </w:p>
    <w:p w14:paraId="59B7ECAC" w14:textId="77777777" w:rsidR="00053D21" w:rsidRDefault="00000000">
      <w:pPr>
        <w:pStyle w:val="Paragraphedeliste"/>
        <w:numPr>
          <w:ilvl w:val="0"/>
          <w:numId w:val="2"/>
        </w:numPr>
        <w:spacing w:before="40" w:after="40"/>
      </w:pPr>
      <w:r>
        <w:rPr>
          <w:color w:val="333333"/>
          <w:sz w:val="21"/>
          <w:szCs w:val="21"/>
        </w:rPr>
        <w:t>CAF_sur_CA : Capacité d'Autofinancement / Chiffre d'Affaires</w:t>
      </w:r>
    </w:p>
    <w:p w14:paraId="7FFF72A6" w14:textId="77777777" w:rsidR="00053D21" w:rsidRDefault="00000000">
      <w:pPr>
        <w:pStyle w:val="Paragraphedeliste"/>
        <w:numPr>
          <w:ilvl w:val="0"/>
          <w:numId w:val="2"/>
        </w:numPr>
        <w:spacing w:before="40" w:after="40"/>
      </w:pPr>
      <w:r>
        <w:rPr>
          <w:color w:val="333333"/>
          <w:sz w:val="21"/>
          <w:szCs w:val="21"/>
        </w:rPr>
        <w:t>Autonomie_financiere : Capitaux propres / Total passif</w:t>
      </w:r>
    </w:p>
    <w:p w14:paraId="05DE474A" w14:textId="77777777" w:rsidR="00053D21" w:rsidRDefault="00000000">
      <w:pPr>
        <w:pStyle w:val="Paragraphedeliste"/>
        <w:numPr>
          <w:ilvl w:val="0"/>
          <w:numId w:val="2"/>
        </w:numPr>
        <w:spacing w:before="40" w:after="40"/>
      </w:pPr>
      <w:r>
        <w:rPr>
          <w:color w:val="333333"/>
          <w:sz w:val="21"/>
          <w:szCs w:val="21"/>
        </w:rPr>
        <w:t>Poids_BFR_exploitation_sur_CA : Besoin en Fonds de Roulement / CA</w:t>
      </w:r>
    </w:p>
    <w:p w14:paraId="3B619476" w14:textId="77777777" w:rsidR="00053D21" w:rsidRDefault="00000000">
      <w:pPr>
        <w:pStyle w:val="Paragraphedeliste"/>
        <w:numPr>
          <w:ilvl w:val="0"/>
          <w:numId w:val="2"/>
        </w:numPr>
        <w:spacing w:before="40" w:after="40"/>
      </w:pPr>
      <w:r>
        <w:rPr>
          <w:color w:val="333333"/>
          <w:sz w:val="21"/>
          <w:szCs w:val="21"/>
        </w:rPr>
        <w:t>DIO, DSO, DPO : composantes du cycle d'exploitation en jours</w:t>
      </w:r>
    </w:p>
    <w:p w14:paraId="29893DA6" w14:textId="77777777" w:rsidR="00053D21" w:rsidRDefault="00000000">
      <w:pPr>
        <w:pStyle w:val="Paragraphedeliste"/>
        <w:numPr>
          <w:ilvl w:val="0"/>
          <w:numId w:val="2"/>
        </w:numPr>
        <w:spacing w:before="40" w:after="40"/>
      </w:pPr>
      <w:r>
        <w:rPr>
          <w:color w:val="333333"/>
          <w:sz w:val="21"/>
          <w:szCs w:val="21"/>
        </w:rPr>
        <w:t>type_bilan : catégorie structurelle du bilan (S / C / K)</w:t>
      </w:r>
    </w:p>
    <w:p w14:paraId="110EC76C" w14:textId="77777777" w:rsidR="00053D21" w:rsidRDefault="00053D21">
      <w:pPr>
        <w:spacing w:before="80" w:after="80"/>
      </w:pPr>
    </w:p>
    <w:p w14:paraId="7F0543F6" w14:textId="77777777" w:rsidR="00053D21" w:rsidRDefault="00000000">
      <w:pPr>
        <w:pStyle w:val="Titre2"/>
      </w:pPr>
      <w:r>
        <w:t>1.3  Corrections de code identifiées</w:t>
      </w:r>
    </w:p>
    <w:p w14:paraId="080D2A62" w14:textId="77777777" w:rsidR="00053D21" w:rsidRDefault="00000000">
      <w:pPr>
        <w:spacing w:before="70" w:after="70"/>
        <w:jc w:val="both"/>
      </w:pPr>
      <w:r>
        <w:rPr>
          <w:color w:val="222222"/>
        </w:rPr>
        <w:t>Deux catégories d'avertissements ont été identifiées dans le notebook :</w:t>
      </w:r>
    </w:p>
    <w:p w14:paraId="7C1FA85F" w14:textId="77777777" w:rsidR="00053D21" w:rsidRDefault="00053D21">
      <w:pPr>
        <w:spacing w:before="40" w:after="40"/>
      </w:pPr>
    </w:p>
    <w:p w14:paraId="658B3C3F" w14:textId="77777777" w:rsidR="00053D21" w:rsidRDefault="00000000">
      <w:pPr>
        <w:spacing w:before="70" w:after="70"/>
        <w:jc w:val="both"/>
      </w:pPr>
      <w:r>
        <w:rPr>
          <w:b/>
          <w:bCs/>
          <w:color w:val="222222"/>
        </w:rPr>
        <w:t>a) SettingWithCopyWarning (cellules 23, 92–93) — correction recommandée :</w:t>
      </w:r>
    </w:p>
    <w:p w14:paraId="299320EB" w14:textId="77777777" w:rsidR="00053D21" w:rsidRDefault="00000000">
      <w:pPr>
        <w:shd w:val="clear" w:color="auto" w:fill="F3F3F3"/>
        <w:spacing w:before="30" w:after="30"/>
      </w:pPr>
      <w:r>
        <w:rPr>
          <w:rFonts w:ascii="Courier New" w:eastAsia="Courier New" w:hAnsi="Courier New" w:cs="Courier New"/>
          <w:color w:val="222222"/>
          <w:sz w:val="18"/>
          <w:szCs w:val="18"/>
        </w:rPr>
        <w:t># ❌ Original — modifie une copie de DataFrame</w:t>
      </w:r>
    </w:p>
    <w:p w14:paraId="0C629DA8" w14:textId="77777777" w:rsidR="00053D21" w:rsidRDefault="00000000">
      <w:pPr>
        <w:shd w:val="clear" w:color="auto" w:fill="F3F3F3"/>
        <w:spacing w:before="30" w:after="30"/>
      </w:pPr>
      <w:r>
        <w:rPr>
          <w:rFonts w:ascii="Courier New" w:eastAsia="Courier New" w:hAnsi="Courier New" w:cs="Courier New"/>
          <w:color w:val="222222"/>
          <w:sz w:val="18"/>
          <w:szCs w:val="18"/>
        </w:rPr>
        <w:t>df_clean["annee"] = df_clean["date_cloture_exercice"].dt.year</w:t>
      </w:r>
    </w:p>
    <w:p w14:paraId="3E46F80B" w14:textId="77777777" w:rsidR="00053D21" w:rsidRDefault="00053D21">
      <w:pPr>
        <w:shd w:val="clear" w:color="auto" w:fill="F3F3F3"/>
        <w:spacing w:before="30" w:after="30"/>
      </w:pPr>
    </w:p>
    <w:p w14:paraId="43A698CF" w14:textId="77777777" w:rsidR="00053D21" w:rsidRDefault="00000000">
      <w:pPr>
        <w:shd w:val="clear" w:color="auto" w:fill="F3F3F3"/>
        <w:spacing w:before="30" w:after="30"/>
      </w:pPr>
      <w:r>
        <w:rPr>
          <w:rFonts w:ascii="Courier New" w:eastAsia="Courier New" w:hAnsi="Courier New" w:cs="Courier New"/>
          <w:color w:val="222222"/>
          <w:sz w:val="18"/>
          <w:szCs w:val="18"/>
        </w:rPr>
        <w:t># ✅ Corrigé — forcer une copie explicite avant assignation</w:t>
      </w:r>
    </w:p>
    <w:p w14:paraId="69411CBB" w14:textId="77777777" w:rsidR="00053D21" w:rsidRDefault="00000000">
      <w:pPr>
        <w:shd w:val="clear" w:color="auto" w:fill="F3F3F3"/>
        <w:spacing w:before="30" w:after="30"/>
      </w:pPr>
      <w:r>
        <w:rPr>
          <w:rFonts w:ascii="Courier New" w:eastAsia="Courier New" w:hAnsi="Courier New" w:cs="Courier New"/>
          <w:color w:val="222222"/>
          <w:sz w:val="18"/>
          <w:szCs w:val="18"/>
        </w:rPr>
        <w:t>df_clean = df_clean.copy()</w:t>
      </w:r>
    </w:p>
    <w:p w14:paraId="01F8227B" w14:textId="77777777" w:rsidR="00053D21" w:rsidRDefault="00000000">
      <w:pPr>
        <w:shd w:val="clear" w:color="auto" w:fill="F3F3F3"/>
        <w:spacing w:before="30" w:after="30"/>
      </w:pPr>
      <w:r>
        <w:rPr>
          <w:rFonts w:ascii="Courier New" w:eastAsia="Courier New" w:hAnsi="Courier New" w:cs="Courier New"/>
          <w:color w:val="222222"/>
          <w:sz w:val="18"/>
          <w:szCs w:val="18"/>
        </w:rPr>
        <w:t>df_clean["annee"] = df_clean["date_cloture_exercice"].dt.year</w:t>
      </w:r>
    </w:p>
    <w:p w14:paraId="274F756B" w14:textId="77777777" w:rsidR="00053D21" w:rsidRDefault="00053D21">
      <w:pPr>
        <w:spacing w:before="60" w:after="60"/>
      </w:pPr>
    </w:p>
    <w:p w14:paraId="2E584E36" w14:textId="77777777" w:rsidR="00053D21" w:rsidRDefault="00000000">
      <w:pPr>
        <w:spacing w:before="70" w:after="70"/>
        <w:jc w:val="both"/>
      </w:pPr>
      <w:r>
        <w:rPr>
          <w:b/>
          <w:bCs/>
          <w:color w:val="222222"/>
        </w:rPr>
        <w:t>b) FutureWarning Seaborn palette (cellules 30, 87, 98) — correction recommandée :</w:t>
      </w:r>
    </w:p>
    <w:p w14:paraId="0CBD2AE9" w14:textId="77777777" w:rsidR="00053D21" w:rsidRDefault="00000000">
      <w:pPr>
        <w:shd w:val="clear" w:color="auto" w:fill="F3F3F3"/>
        <w:spacing w:before="30" w:after="30"/>
      </w:pPr>
      <w:r>
        <w:rPr>
          <w:rFonts w:ascii="Courier New" w:eastAsia="Courier New" w:hAnsi="Courier New" w:cs="Courier New"/>
          <w:color w:val="222222"/>
          <w:sz w:val="18"/>
          <w:szCs w:val="18"/>
        </w:rPr>
        <w:t># ❌ Original — déprécié dans Seaborn ≥ 0.14</w:t>
      </w:r>
    </w:p>
    <w:p w14:paraId="5023F673" w14:textId="77777777" w:rsidR="00053D21" w:rsidRDefault="00000000">
      <w:pPr>
        <w:shd w:val="clear" w:color="auto" w:fill="F3F3F3"/>
        <w:spacing w:before="30" w:after="30"/>
      </w:pPr>
      <w:r>
        <w:rPr>
          <w:rFonts w:ascii="Courier New" w:eastAsia="Courier New" w:hAnsi="Courier New" w:cs="Courier New"/>
          <w:color w:val="222222"/>
          <w:sz w:val="18"/>
          <w:szCs w:val="18"/>
        </w:rPr>
        <w:t>sns.barplot(x=df_bilan.index, y=df_bilan.values, palette="viridis")</w:t>
      </w:r>
    </w:p>
    <w:p w14:paraId="0EB27066" w14:textId="77777777" w:rsidR="00053D21" w:rsidRDefault="00053D21">
      <w:pPr>
        <w:shd w:val="clear" w:color="auto" w:fill="F3F3F3"/>
        <w:spacing w:before="30" w:after="30"/>
      </w:pPr>
    </w:p>
    <w:p w14:paraId="6E8EABA1" w14:textId="77777777" w:rsidR="00053D21" w:rsidRDefault="00000000">
      <w:pPr>
        <w:shd w:val="clear" w:color="auto" w:fill="F3F3F3"/>
        <w:spacing w:before="30" w:after="30"/>
      </w:pPr>
      <w:r>
        <w:rPr>
          <w:rFonts w:ascii="Courier New" w:eastAsia="Courier New" w:hAnsi="Courier New" w:cs="Courier New"/>
          <w:color w:val="222222"/>
          <w:sz w:val="18"/>
          <w:szCs w:val="18"/>
        </w:rPr>
        <w:t># ✅ Corrigé</w:t>
      </w:r>
    </w:p>
    <w:p w14:paraId="725B30A1" w14:textId="77777777" w:rsidR="00053D21" w:rsidRDefault="00000000">
      <w:pPr>
        <w:shd w:val="clear" w:color="auto" w:fill="F3F3F3"/>
        <w:spacing w:before="30" w:after="30"/>
      </w:pPr>
      <w:r>
        <w:rPr>
          <w:rFonts w:ascii="Courier New" w:eastAsia="Courier New" w:hAnsi="Courier New" w:cs="Courier New"/>
          <w:color w:val="222222"/>
          <w:sz w:val="18"/>
          <w:szCs w:val="18"/>
        </w:rPr>
        <w:t>sns.barplot(x=df_bilan.index, y=df_bilan.values, hue=df_bilan.index, legend=False, palette="viridis")</w:t>
      </w:r>
    </w:p>
    <w:p w14:paraId="2F65751E" w14:textId="77777777" w:rsidR="00053D21" w:rsidRDefault="00053D21">
      <w:pPr>
        <w:spacing w:before="80" w:after="80"/>
      </w:pPr>
    </w:p>
    <w:p w14:paraId="624AD7A3" w14:textId="77777777" w:rsidR="00053D21" w:rsidRDefault="00000000">
      <w:pPr>
        <w:spacing w:before="70" w:after="70"/>
        <w:jc w:val="both"/>
      </w:pPr>
      <w:r>
        <w:rPr>
          <w:b/>
          <w:bCs/>
          <w:color w:val="222222"/>
        </w:rPr>
        <w:t>c) Titre avec coquille (cellule 53) :</w:t>
      </w:r>
    </w:p>
    <w:p w14:paraId="6C3F7CF3" w14:textId="77777777" w:rsidR="00053D21" w:rsidRDefault="00000000">
      <w:pPr>
        <w:shd w:val="clear" w:color="auto" w:fill="F3F3F3"/>
        <w:spacing w:before="30" w:after="30"/>
      </w:pPr>
      <w:r>
        <w:rPr>
          <w:rFonts w:ascii="Courier New" w:eastAsia="Courier New" w:hAnsi="Courier New" w:cs="Courier New"/>
          <w:color w:val="222222"/>
          <w:sz w:val="18"/>
          <w:szCs w:val="18"/>
        </w:rPr>
        <w:t># ❌ plt.title("Distribution de l'autonomie financièreée)")</w:t>
      </w:r>
    </w:p>
    <w:p w14:paraId="5AA97654" w14:textId="77777777" w:rsidR="00053D21" w:rsidRDefault="00000000">
      <w:pPr>
        <w:shd w:val="clear" w:color="auto" w:fill="F3F3F3"/>
        <w:spacing w:before="30" w:after="30"/>
      </w:pPr>
      <w:r>
        <w:rPr>
          <w:rFonts w:ascii="Courier New" w:eastAsia="Courier New" w:hAnsi="Courier New" w:cs="Courier New"/>
          <w:color w:val="222222"/>
          <w:sz w:val="18"/>
          <w:szCs w:val="18"/>
        </w:rPr>
        <w:t># ✅ plt.title("Distribution de l'autonomie financière")</w:t>
      </w:r>
    </w:p>
    <w:p w14:paraId="322D5EB1" w14:textId="77777777" w:rsidR="00053D21" w:rsidRDefault="00000000">
      <w:r>
        <w:br w:type="page"/>
      </w:r>
    </w:p>
    <w:p w14:paraId="11966E8A" w14:textId="77777777" w:rsidR="00053D21" w:rsidRDefault="00000000">
      <w:pPr>
        <w:pStyle w:val="Titre1"/>
        <w:pBdr>
          <w:bottom w:val="single" w:sz="6" w:space="6" w:color="1F3864"/>
        </w:pBdr>
      </w:pPr>
      <w:r>
        <w:lastRenderedPageBreak/>
        <w:t>2. Taux d'endettement</w:t>
      </w:r>
    </w:p>
    <w:p w14:paraId="531B6D7D" w14:textId="77777777" w:rsidR="00053D21" w:rsidRDefault="00000000">
      <w:pPr>
        <w:spacing w:before="70" w:after="70"/>
        <w:jc w:val="both"/>
      </w:pPr>
      <w:r>
        <w:rPr>
          <w:color w:val="222222"/>
        </w:rPr>
        <w:t>Le taux d'endettement (dettes financières / capitaux propres) est l'un des indicateurs centraux pour évaluer la solidité financière d'une entreprise et son exposition au risque de défaut. Notre périmètre d'analyse porte sur 2 018 584 entreprises après filtrage strict (–10 ≤ taux ≤ 10), éliminant les bilans aberrants et les entreprises en faillite franche.</w:t>
      </w:r>
    </w:p>
    <w:p w14:paraId="5E442794" w14:textId="77777777" w:rsidR="00053D21" w:rsidRDefault="00053D21">
      <w:pPr>
        <w:spacing w:before="80" w:after="80"/>
      </w:pPr>
    </w:p>
    <w:p w14:paraId="77AF4A6E" w14:textId="77777777" w:rsidR="00053D21" w:rsidRDefault="00000000">
      <w:pPr>
        <w:pStyle w:val="Titre2"/>
      </w:pPr>
      <w:r>
        <w:t>2.1  Distribution</w:t>
      </w:r>
    </w:p>
    <w:p w14:paraId="1AC74CDB" w14:textId="77777777" w:rsidR="00053D21" w:rsidRDefault="00000000">
      <w:pPr>
        <w:spacing w:before="100" w:after="40"/>
        <w:jc w:val="center"/>
      </w:pPr>
      <w:r>
        <w:rPr>
          <w:noProof/>
        </w:rPr>
        <w:drawing>
          <wp:inline distT="0" distB="0" distL="0" distR="0" wp14:anchorId="6A8D77F6" wp14:editId="50401B1E">
            <wp:extent cx="5143500" cy="2476500"/>
            <wp:effectExtent l="0" t="0" r="0" b="0"/>
            <wp:docPr id="1" name="Fig. 1 — Distribution du taux d'endettement après nettoyage (n = 2 018 584)" descr="Fig. 1 — Distribution du taux d'endettement après nettoyage (n = 2 018 584)" title="Fig. 1 — Distribution du taux d'endettement après nettoyage (n = 2 018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476500"/>
                    </a:xfrm>
                    <a:prstGeom prst="rect">
                      <a:avLst/>
                    </a:prstGeom>
                  </pic:spPr>
                </pic:pic>
              </a:graphicData>
            </a:graphic>
          </wp:inline>
        </w:drawing>
      </w:r>
    </w:p>
    <w:p w14:paraId="6ADC40CD" w14:textId="77777777" w:rsidR="00053D21" w:rsidRDefault="00000000">
      <w:pPr>
        <w:spacing w:after="180"/>
        <w:jc w:val="center"/>
      </w:pPr>
      <w:r>
        <w:rPr>
          <w:color w:val="777777"/>
          <w:sz w:val="18"/>
          <w:szCs w:val="18"/>
        </w:rPr>
        <w:t>Fig. 1 — Distribution du taux d'endettement après nettoyage (n = 2 018 584)</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386483BB" w14:textId="77777777">
        <w:tblPrEx>
          <w:tblCellMar>
            <w:top w:w="0" w:type="dxa"/>
            <w:bottom w:w="0" w:type="dxa"/>
          </w:tblCellMar>
        </w:tblPrEx>
        <w:tc>
          <w:tcPr>
            <w:tcW w:w="9600" w:type="dxa"/>
            <w:tcBorders>
              <w:top w:val="single" w:sz="1" w:space="0" w:color="CCCCCC"/>
              <w:left w:val="single" w:sz="20" w:space="0" w:color="2E75B6"/>
              <w:bottom w:val="single" w:sz="1" w:space="0" w:color="CCCCCC"/>
              <w:right w:val="single" w:sz="1" w:space="0" w:color="CCCCCC"/>
            </w:tcBorders>
            <w:shd w:val="clear" w:color="auto" w:fill="EBF3FB"/>
            <w:tcMar>
              <w:top w:w="120" w:type="dxa"/>
              <w:left w:w="220" w:type="dxa"/>
              <w:bottom w:w="120" w:type="dxa"/>
              <w:right w:w="160" w:type="dxa"/>
            </w:tcMar>
          </w:tcPr>
          <w:p w14:paraId="1EAEF11C" w14:textId="77777777" w:rsidR="00053D21" w:rsidRDefault="00000000">
            <w:pPr>
              <w:jc w:val="both"/>
            </w:pPr>
            <w:r>
              <w:rPr>
                <w:color w:val="1A1A2E"/>
                <w:sz w:val="21"/>
                <w:szCs w:val="21"/>
              </w:rPr>
              <w:t>Lecture analytique : Le pic massif autour de 0 révèle que la majorité des entreprises françaises opèrent sans levier financier significatif — un trait structurel de l'économie française, majoritairement constituée de micro et petites entreprises. La décroissance progressive vers 10 correspond aux PME/ETI qui utilisent l'endettement comme outil stratégique. La légère queue négative (jusqu'à –10) traduit des capitaux propres légèrement négatifs mais des bilans encore économiquement réalistes.</w:t>
            </w:r>
          </w:p>
        </w:tc>
      </w:tr>
    </w:tbl>
    <w:p w14:paraId="031E7E7F" w14:textId="77777777" w:rsidR="00053D21" w:rsidRDefault="00053D21">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800"/>
      </w:tblGrid>
      <w:tr w:rsidR="00053D21" w14:paraId="67E60F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3E76E48" w14:textId="77777777" w:rsidR="00053D21" w:rsidRDefault="00000000">
            <w:pPr>
              <w:jc w:val="center"/>
            </w:pPr>
            <w:r>
              <w:rPr>
                <w:b/>
                <w:bCs/>
                <w:color w:val="FFFFFF"/>
                <w:sz w:val="20"/>
                <w:szCs w:val="20"/>
              </w:rPr>
              <w:t>Statistique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07E9714" w14:textId="77777777" w:rsidR="00053D21" w:rsidRDefault="00000000">
            <w:pPr>
              <w:jc w:val="center"/>
            </w:pPr>
            <w:r>
              <w:rPr>
                <w:b/>
                <w:bCs/>
                <w:color w:val="FFFFFF"/>
                <w:sz w:val="20"/>
                <w:szCs w:val="20"/>
              </w:rPr>
              <w:t>Valeur</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376995B" w14:textId="77777777" w:rsidR="00053D21" w:rsidRDefault="00000000">
            <w:pPr>
              <w:jc w:val="center"/>
            </w:pPr>
            <w:r>
              <w:rPr>
                <w:b/>
                <w:bCs/>
                <w:color w:val="FFFFFF"/>
                <w:sz w:val="20"/>
                <w:szCs w:val="20"/>
              </w:rPr>
              <w:t>Interprétation business</w:t>
            </w:r>
          </w:p>
        </w:tc>
      </w:tr>
      <w:tr w:rsidR="00053D21" w14:paraId="7D4618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F33A1A" w14:textId="77777777" w:rsidR="00053D21" w:rsidRDefault="00000000">
            <w:pPr>
              <w:jc w:val="center"/>
            </w:pPr>
            <w:r>
              <w:rPr>
                <w:color w:val="222222"/>
                <w:sz w:val="20"/>
                <w:szCs w:val="20"/>
              </w:rPr>
              <w:t>Médiane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08FFBE" w14:textId="77777777" w:rsidR="00053D21" w:rsidRDefault="00000000">
            <w:pPr>
              <w:jc w:val="center"/>
            </w:pPr>
            <w:r>
              <w:rPr>
                <w:color w:val="222222"/>
                <w:sz w:val="20"/>
                <w:szCs w:val="20"/>
              </w:rPr>
              <w:t>0.17</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47DF16" w14:textId="77777777" w:rsidR="00053D21" w:rsidRDefault="00000000">
            <w:pPr>
              <w:jc w:val="center"/>
            </w:pPr>
            <w:r>
              <w:rPr>
                <w:color w:val="222222"/>
                <w:sz w:val="20"/>
                <w:szCs w:val="20"/>
              </w:rPr>
              <w:t>La moitié des entreprises ont un levier &lt; 0.17x</w:t>
            </w:r>
          </w:p>
        </w:tc>
      </w:tr>
      <w:tr w:rsidR="00053D21" w14:paraId="5395D4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051E01A3" w14:textId="77777777" w:rsidR="00053D21" w:rsidRDefault="00000000">
            <w:pPr>
              <w:jc w:val="center"/>
            </w:pPr>
            <w:r>
              <w:rPr>
                <w:color w:val="222222"/>
                <w:sz w:val="20"/>
                <w:szCs w:val="20"/>
              </w:rPr>
              <w:t>Moyenne</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6B317359" w14:textId="77777777" w:rsidR="00053D21" w:rsidRDefault="00000000">
            <w:pPr>
              <w:jc w:val="center"/>
            </w:pPr>
            <w:r>
              <w:rPr>
                <w:color w:val="222222"/>
                <w:sz w:val="20"/>
                <w:szCs w:val="20"/>
              </w:rPr>
              <w:t>1.78</w:t>
            </w:r>
          </w:p>
        </w:tc>
        <w:tc>
          <w:tcPr>
            <w:tcW w:w="48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632312D1" w14:textId="77777777" w:rsidR="00053D21" w:rsidRDefault="00000000">
            <w:pPr>
              <w:jc w:val="center"/>
            </w:pPr>
            <w:r>
              <w:rPr>
                <w:color w:val="222222"/>
                <w:sz w:val="20"/>
                <w:szCs w:val="20"/>
              </w:rPr>
              <w:t>Tirée à la hausse par les entreprises endettées</w:t>
            </w:r>
          </w:p>
        </w:tc>
      </w:tr>
      <w:tr w:rsidR="00053D21" w14:paraId="598D89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16BC14" w14:textId="77777777" w:rsidR="00053D21" w:rsidRDefault="00000000">
            <w:pPr>
              <w:jc w:val="center"/>
            </w:pPr>
            <w:r>
              <w:rPr>
                <w:color w:val="222222"/>
                <w:sz w:val="20"/>
                <w:szCs w:val="20"/>
              </w:rPr>
              <w:t>Écart-type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3A0A48" w14:textId="77777777" w:rsidR="00053D21" w:rsidRDefault="00000000">
            <w:pPr>
              <w:jc w:val="center"/>
            </w:pPr>
            <w:r>
              <w:rPr>
                <w:color w:val="222222"/>
                <w:sz w:val="20"/>
                <w:szCs w:val="20"/>
              </w:rPr>
              <w:t>2.90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A93CC7" w14:textId="77777777" w:rsidR="00053D21" w:rsidRDefault="00000000">
            <w:pPr>
              <w:jc w:val="center"/>
            </w:pPr>
            <w:r>
              <w:rPr>
                <w:color w:val="222222"/>
                <w:sz w:val="20"/>
                <w:szCs w:val="20"/>
              </w:rPr>
              <w:t>Forte dispersion — hétérogénéité des profils</w:t>
            </w:r>
          </w:p>
        </w:tc>
      </w:tr>
      <w:tr w:rsidR="00053D21" w14:paraId="54A8E0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25D5E48A" w14:textId="77777777" w:rsidR="00053D21" w:rsidRDefault="00000000">
            <w:pPr>
              <w:jc w:val="center"/>
            </w:pPr>
            <w:r>
              <w:rPr>
                <w:color w:val="222222"/>
                <w:sz w:val="20"/>
                <w:szCs w:val="20"/>
              </w:rPr>
              <w:t>Q1</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19AD48A5" w14:textId="77777777" w:rsidR="00053D21" w:rsidRDefault="00000000">
            <w:pPr>
              <w:jc w:val="center"/>
            </w:pPr>
            <w:r>
              <w:rPr>
                <w:color w:val="222222"/>
                <w:sz w:val="20"/>
                <w:szCs w:val="20"/>
              </w:rPr>
              <w:t>0.00</w:t>
            </w:r>
          </w:p>
        </w:tc>
        <w:tc>
          <w:tcPr>
            <w:tcW w:w="48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27C8927F" w14:textId="77777777" w:rsidR="00053D21" w:rsidRDefault="00000000">
            <w:pPr>
              <w:jc w:val="center"/>
            </w:pPr>
            <w:r>
              <w:rPr>
                <w:color w:val="222222"/>
                <w:sz w:val="20"/>
                <w:szCs w:val="20"/>
              </w:rPr>
              <w:t>25 % des entreprises sont totalement non endettées</w:t>
            </w:r>
          </w:p>
        </w:tc>
      </w:tr>
      <w:tr w:rsidR="00053D21" w14:paraId="31F18B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BCBB26" w14:textId="77777777" w:rsidR="00053D21" w:rsidRDefault="00000000">
            <w:pPr>
              <w:jc w:val="center"/>
            </w:pPr>
            <w:r>
              <w:rPr>
                <w:color w:val="222222"/>
                <w:sz w:val="20"/>
                <w:szCs w:val="20"/>
              </w:rPr>
              <w:t>Q3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6486C7" w14:textId="77777777" w:rsidR="00053D21" w:rsidRDefault="00000000">
            <w:pPr>
              <w:jc w:val="center"/>
            </w:pPr>
            <w:r>
              <w:rPr>
                <w:color w:val="222222"/>
                <w:sz w:val="20"/>
                <w:szCs w:val="20"/>
              </w:rPr>
              <w:t>3.01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9388BD" w14:textId="77777777" w:rsidR="00053D21" w:rsidRDefault="00000000">
            <w:pPr>
              <w:jc w:val="center"/>
            </w:pPr>
            <w:r>
              <w:rPr>
                <w:color w:val="222222"/>
                <w:sz w:val="20"/>
                <w:szCs w:val="20"/>
              </w:rPr>
              <w:t>75 % restent sous un levier de 3x</w:t>
            </w:r>
          </w:p>
        </w:tc>
      </w:tr>
      <w:tr w:rsidR="00053D21" w14:paraId="5B2AC5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1A87936F" w14:textId="77777777" w:rsidR="00053D21" w:rsidRDefault="00000000">
            <w:pPr>
              <w:jc w:val="center"/>
            </w:pPr>
            <w:r>
              <w:rPr>
                <w:color w:val="222222"/>
                <w:sz w:val="20"/>
                <w:szCs w:val="20"/>
              </w:rPr>
              <w:t>Max filtré</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5E2FD646" w14:textId="77777777" w:rsidR="00053D21" w:rsidRDefault="00000000">
            <w:pPr>
              <w:jc w:val="center"/>
            </w:pPr>
            <w:r>
              <w:rPr>
                <w:color w:val="222222"/>
                <w:sz w:val="20"/>
                <w:szCs w:val="20"/>
              </w:rPr>
              <w:t>10.0</w:t>
            </w:r>
          </w:p>
        </w:tc>
        <w:tc>
          <w:tcPr>
            <w:tcW w:w="48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6C3C2A2C" w14:textId="77777777" w:rsidR="00053D21" w:rsidRDefault="00000000">
            <w:pPr>
              <w:jc w:val="center"/>
            </w:pPr>
            <w:r>
              <w:rPr>
                <w:color w:val="222222"/>
                <w:sz w:val="20"/>
                <w:szCs w:val="20"/>
              </w:rPr>
              <w:t>Seuil de filtrage retenu</w:t>
            </w:r>
          </w:p>
        </w:tc>
      </w:tr>
    </w:tbl>
    <w:p w14:paraId="12ED989F" w14:textId="77777777" w:rsidR="00053D21" w:rsidRDefault="00053D21">
      <w:pPr>
        <w:spacing w:before="80" w:after="80"/>
      </w:pPr>
    </w:p>
    <w:p w14:paraId="4004D664" w14:textId="77777777" w:rsidR="00053D21" w:rsidRDefault="00000000">
      <w:pPr>
        <w:pStyle w:val="Titre2"/>
      </w:pPr>
      <w:r>
        <w:t>2.2  Évolution temporelle (2010–2024)</w:t>
      </w:r>
    </w:p>
    <w:p w14:paraId="14A190E0" w14:textId="77777777" w:rsidR="00053D21" w:rsidRDefault="00000000">
      <w:pPr>
        <w:spacing w:before="100" w:after="40"/>
        <w:jc w:val="center"/>
      </w:pPr>
      <w:r>
        <w:rPr>
          <w:noProof/>
        </w:rPr>
        <w:lastRenderedPageBreak/>
        <w:drawing>
          <wp:inline distT="0" distB="0" distL="0" distR="0" wp14:anchorId="465D2650" wp14:editId="7E93B1C9">
            <wp:extent cx="5334000" cy="2286000"/>
            <wp:effectExtent l="0" t="0" r="0" b="0"/>
            <wp:docPr id="895097004" name="Fig. 2 — Taux d'endettement médian par année de clôture" descr="Fig. 2 — Taux d'endettement médian par année de clôture" title="Fig. 2 — Taux d'endettement médian par année de clô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86000"/>
                    </a:xfrm>
                    <a:prstGeom prst="rect">
                      <a:avLst/>
                    </a:prstGeom>
                  </pic:spPr>
                </pic:pic>
              </a:graphicData>
            </a:graphic>
          </wp:inline>
        </w:drawing>
      </w:r>
    </w:p>
    <w:p w14:paraId="153F8CFC" w14:textId="77777777" w:rsidR="00053D21" w:rsidRDefault="00000000">
      <w:pPr>
        <w:spacing w:after="180"/>
        <w:jc w:val="center"/>
      </w:pPr>
      <w:r>
        <w:rPr>
          <w:color w:val="777777"/>
          <w:sz w:val="18"/>
          <w:szCs w:val="18"/>
        </w:rPr>
        <w:t>Fig. 2 — Taux d'endettement médian par année de clôture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0B69EF86" w14:textId="77777777">
        <w:tblPrEx>
          <w:tblCellMar>
            <w:top w:w="0" w:type="dxa"/>
            <w:bottom w:w="0" w:type="dxa"/>
          </w:tblCellMar>
        </w:tblPrEx>
        <w:tc>
          <w:tcPr>
            <w:tcW w:w="9600" w:type="dxa"/>
            <w:tcBorders>
              <w:top w:val="single" w:sz="1" w:space="0" w:color="CCCCCC"/>
              <w:left w:val="single" w:sz="20" w:space="0" w:color="2E75B6"/>
              <w:bottom w:val="single" w:sz="1" w:space="0" w:color="CCCCCC"/>
              <w:right w:val="single" w:sz="1" w:space="0" w:color="CCCCCC"/>
            </w:tcBorders>
            <w:shd w:val="clear" w:color="auto" w:fill="EBF3FB"/>
            <w:tcMar>
              <w:top w:w="120" w:type="dxa"/>
              <w:left w:w="220" w:type="dxa"/>
              <w:bottom w:w="120" w:type="dxa"/>
              <w:right w:w="160" w:type="dxa"/>
            </w:tcMar>
          </w:tcPr>
          <w:p w14:paraId="42106E72" w14:textId="77777777" w:rsidR="00053D21" w:rsidRDefault="00000000">
            <w:pPr>
              <w:jc w:val="both"/>
            </w:pPr>
            <w:r>
              <w:rPr>
                <w:color w:val="1A1A2E"/>
                <w:sz w:val="21"/>
                <w:szCs w:val="21"/>
              </w:rPr>
              <w:t>Lecture analytique : L'endettement médian est resté remarquablement stable entre 2010 et 2024 (0,1 à 0,3), à l'exception du pic 2010–2011 lié à un changement de périmètre de collecte. La légère hausse 2016–2019 traduit la période de taux bas post-crise qui a facilité l'accès au crédit. La baisse 2020 est l'empreinte COVID, suivie d'une stabilisation. Les niveaux de 2023–2024 (0.10–0.11) signalent un désendettement dans un contexte de hausse des taux BCE. Message clé pour les dirigeants : le levier financier médian des entreprises françaises est structurellement faible — une opportunité de financement sous-exploitée dans les phases de croissance.</w:t>
            </w:r>
          </w:p>
        </w:tc>
      </w:tr>
    </w:tbl>
    <w:p w14:paraId="7A168E90" w14:textId="77777777" w:rsidR="00053D21" w:rsidRDefault="00053D21">
      <w:pPr>
        <w:spacing w:before="80" w:after="80"/>
      </w:pPr>
    </w:p>
    <w:p w14:paraId="4E6834EE" w14:textId="77777777" w:rsidR="00053D21" w:rsidRDefault="00000000">
      <w:pPr>
        <w:pStyle w:val="Titre2"/>
      </w:pPr>
      <w:r>
        <w:t>2.3  Comparaison par type de bilan</w:t>
      </w:r>
    </w:p>
    <w:p w14:paraId="0EC369CD" w14:textId="77777777" w:rsidR="00053D21" w:rsidRDefault="00000000">
      <w:pPr>
        <w:spacing w:before="100" w:after="40"/>
        <w:jc w:val="center"/>
      </w:pPr>
      <w:r>
        <w:rPr>
          <w:noProof/>
        </w:rPr>
        <w:drawing>
          <wp:inline distT="0" distB="0" distL="0" distR="0" wp14:anchorId="03186D5A" wp14:editId="5B27B696">
            <wp:extent cx="3619500" cy="2476500"/>
            <wp:effectExtent l="0" t="0" r="0" b="0"/>
            <wp:docPr id="215002973" name="Fig. 3 — Taux d'endettement médian par type de bilan (S, C, K)" descr="Fig. 3 — Taux d'endettement médian par type de bilan (S, C, K)" title="Fig. 3 — Taux d'endettement médian par type de bilan (S, C,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476500"/>
                    </a:xfrm>
                    <a:prstGeom prst="rect">
                      <a:avLst/>
                    </a:prstGeom>
                  </pic:spPr>
                </pic:pic>
              </a:graphicData>
            </a:graphic>
          </wp:inline>
        </w:drawing>
      </w:r>
    </w:p>
    <w:p w14:paraId="79BEA10E" w14:textId="77777777" w:rsidR="00053D21" w:rsidRDefault="00000000">
      <w:pPr>
        <w:spacing w:after="180"/>
        <w:jc w:val="center"/>
      </w:pPr>
      <w:r>
        <w:rPr>
          <w:color w:val="777777"/>
          <w:sz w:val="18"/>
          <w:szCs w:val="18"/>
        </w:rPr>
        <w:t>Fig. 3 — Taux d'endettement médian par type de bilan (S, C, K)</w:t>
      </w:r>
    </w:p>
    <w:p w14:paraId="21359025" w14:textId="77777777" w:rsidR="00053D21" w:rsidRDefault="00000000">
      <w:pPr>
        <w:spacing w:before="70" w:after="70"/>
        <w:jc w:val="both"/>
      </w:pPr>
      <w:r>
        <w:rPr>
          <w:color w:val="222222"/>
        </w:rPr>
        <w:t>Le graphique révèle un contraste marqué :</w:t>
      </w:r>
    </w:p>
    <w:p w14:paraId="1EE7B13D" w14:textId="77777777" w:rsidR="00053D21" w:rsidRDefault="00000000">
      <w:pPr>
        <w:pStyle w:val="Paragraphedeliste"/>
        <w:numPr>
          <w:ilvl w:val="0"/>
          <w:numId w:val="2"/>
        </w:numPr>
        <w:spacing w:before="40" w:after="40"/>
      </w:pPr>
      <w:r>
        <w:rPr>
          <w:color w:val="333333"/>
          <w:sz w:val="21"/>
          <w:szCs w:val="21"/>
        </w:rPr>
        <w:t>Bilans K (consolidés) et S (simplifiés) : médiane à 0.000 — ces structures n'ont pratiquement aucune dette financière</w:t>
      </w:r>
    </w:p>
    <w:p w14:paraId="398723D0" w14:textId="77777777" w:rsidR="00053D21" w:rsidRDefault="00000000">
      <w:pPr>
        <w:pStyle w:val="Paragraphedeliste"/>
        <w:numPr>
          <w:ilvl w:val="0"/>
          <w:numId w:val="2"/>
        </w:numPr>
        <w:spacing w:before="40" w:after="40"/>
      </w:pPr>
      <w:r>
        <w:rPr>
          <w:color w:val="333333"/>
          <w:sz w:val="21"/>
          <w:szCs w:val="21"/>
        </w:rPr>
        <w:t>Bilan C (complet) : médiane à 0.312 — les entreprises plus structurées utilisent l'endettement de manière mesurée et maîtrisée</w:t>
      </w:r>
    </w:p>
    <w:p w14:paraId="1075B450" w14:textId="77777777" w:rsidR="00053D21" w:rsidRDefault="00000000">
      <w:pPr>
        <w:spacing w:before="70" w:after="70"/>
        <w:jc w:val="both"/>
      </w:pPr>
      <w:r>
        <w:rPr>
          <w:color w:val="222222"/>
        </w:rPr>
        <w:t>Implication opérationnelle : Les petites structures fonctionnent en autofinancement pur. L'endettement est principalement une pratique des entités disposant d'un bilan complet, avec une capacité de service de la dette démontrée.</w:t>
      </w:r>
    </w:p>
    <w:p w14:paraId="0E931B0F" w14:textId="77777777" w:rsidR="00053D21" w:rsidRDefault="00000000">
      <w:r>
        <w:br w:type="page"/>
      </w:r>
    </w:p>
    <w:p w14:paraId="3C81D88E" w14:textId="77777777" w:rsidR="00053D21" w:rsidRDefault="00000000">
      <w:pPr>
        <w:pStyle w:val="Titre1"/>
        <w:pBdr>
          <w:bottom w:val="single" w:sz="6" w:space="6" w:color="1F3864"/>
        </w:pBdr>
      </w:pPr>
      <w:r>
        <w:lastRenderedPageBreak/>
        <w:t>3. Capacité d'Autofinancement (CAF / CA)</w:t>
      </w:r>
    </w:p>
    <w:p w14:paraId="5C5D8BB6" w14:textId="77777777" w:rsidR="00053D21" w:rsidRDefault="00000000">
      <w:pPr>
        <w:spacing w:before="70" w:after="70"/>
        <w:jc w:val="both"/>
      </w:pPr>
      <w:r>
        <w:rPr>
          <w:color w:val="222222"/>
        </w:rPr>
        <w:t>La CAF rapportée au chiffre d'affaires est l'indicateur clé de la performance en cash : il mesure la capacité d'une entreprise à transformer son activité en trésorerie disponible, avant tout besoin en investissement ou remboursement. Un CAF/CA élevé est synonyme de résilience financière et d'autonomie stratégique.</w:t>
      </w:r>
    </w:p>
    <w:p w14:paraId="0BC5B3F1" w14:textId="77777777" w:rsidR="00053D21" w:rsidRDefault="00053D21">
      <w:pPr>
        <w:spacing w:before="80" w:after="80"/>
      </w:pPr>
    </w:p>
    <w:p w14:paraId="3A94CA77" w14:textId="77777777" w:rsidR="00053D21" w:rsidRDefault="00000000">
      <w:pPr>
        <w:pStyle w:val="Titre2"/>
      </w:pPr>
      <w:r>
        <w:t>3.1  Distribution</w:t>
      </w:r>
    </w:p>
    <w:p w14:paraId="79280D9F" w14:textId="77777777" w:rsidR="00053D21" w:rsidRDefault="00000000">
      <w:pPr>
        <w:spacing w:before="100" w:after="40"/>
        <w:jc w:val="center"/>
      </w:pPr>
      <w:r>
        <w:rPr>
          <w:noProof/>
        </w:rPr>
        <w:drawing>
          <wp:inline distT="0" distB="0" distL="0" distR="0" wp14:anchorId="1D948EBC" wp14:editId="67347E8A">
            <wp:extent cx="5143500" cy="2381250"/>
            <wp:effectExtent l="0" t="0" r="0" b="0"/>
            <wp:docPr id="1042763296" name="Fig. 4 — Distribution de CAF/CA (données nettoyées, années ≥ 2000, –1 ≤ x ≤ 1)" descr="Fig. 4 — Distribution de CAF/CA (données nettoyées, années ≥ 2000, –1 ≤ x ≤ 1)" title="Fig. 4 — Distribution de CAF/CA (données nettoyées, années ≥ 2000, –1 ≤ x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381250"/>
                    </a:xfrm>
                    <a:prstGeom prst="rect">
                      <a:avLst/>
                    </a:prstGeom>
                  </pic:spPr>
                </pic:pic>
              </a:graphicData>
            </a:graphic>
          </wp:inline>
        </w:drawing>
      </w:r>
    </w:p>
    <w:p w14:paraId="109F772A" w14:textId="77777777" w:rsidR="00053D21" w:rsidRDefault="00000000">
      <w:pPr>
        <w:spacing w:after="180"/>
        <w:jc w:val="center"/>
      </w:pPr>
      <w:r>
        <w:rPr>
          <w:color w:val="777777"/>
          <w:sz w:val="18"/>
          <w:szCs w:val="18"/>
        </w:rPr>
        <w:t>Fig. 4 — Distribution de CAF/CA (données nettoyées, années ≥ 2000, –1 ≤ x ≤ 1)</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536B37A0" w14:textId="77777777">
        <w:tblPrEx>
          <w:tblCellMar>
            <w:top w:w="0" w:type="dxa"/>
            <w:bottom w:w="0" w:type="dxa"/>
          </w:tblCellMar>
        </w:tblPrEx>
        <w:tc>
          <w:tcPr>
            <w:tcW w:w="9600" w:type="dxa"/>
            <w:tcBorders>
              <w:top w:val="single" w:sz="1" w:space="0" w:color="CCCCCC"/>
              <w:left w:val="single" w:sz="20" w:space="0" w:color="2E75B6"/>
              <w:bottom w:val="single" w:sz="1" w:space="0" w:color="CCCCCC"/>
              <w:right w:val="single" w:sz="1" w:space="0" w:color="CCCCCC"/>
            </w:tcBorders>
            <w:shd w:val="clear" w:color="auto" w:fill="EBF3FB"/>
            <w:tcMar>
              <w:top w:w="120" w:type="dxa"/>
              <w:left w:w="220" w:type="dxa"/>
              <w:bottom w:w="120" w:type="dxa"/>
              <w:right w:w="160" w:type="dxa"/>
            </w:tcMar>
          </w:tcPr>
          <w:p w14:paraId="50AB3709" w14:textId="77777777" w:rsidR="00053D21" w:rsidRDefault="00000000">
            <w:pPr>
              <w:jc w:val="both"/>
            </w:pPr>
            <w:r>
              <w:rPr>
                <w:color w:val="1A1A2E"/>
                <w:sz w:val="21"/>
                <w:szCs w:val="21"/>
              </w:rPr>
              <w:t>Lecture analytique : La distribution est légèrement asymétrique à droite, centrée autour de 0.22, avec une médiane cohérente sur le plan économique. La grande majorité des entreprises génèrent un cash positif (zone &gt; 0), ce qui reflète la capacité de résilience de l'économie réelle française. Les valeurs négatives (~10–12 % des observations) correspondent aux entreprises en pertes opérationnelles ou en phase de démarrage. Une médiane stable à ~22 % signifie qu'une entreprise type génère 22 centimes de cash pour chaque euro de CA réalisé.</w:t>
            </w:r>
          </w:p>
        </w:tc>
      </w:tr>
    </w:tbl>
    <w:p w14:paraId="5341C96B" w14:textId="77777777" w:rsidR="00053D21" w:rsidRDefault="00053D21">
      <w:pPr>
        <w:spacing w:before="80" w:after="80"/>
      </w:pPr>
    </w:p>
    <w:p w14:paraId="1DD8F4FA" w14:textId="77777777" w:rsidR="00053D21" w:rsidRDefault="00000000">
      <w:pPr>
        <w:pStyle w:val="Titre2"/>
      </w:pPr>
      <w:r>
        <w:t>3.2  Relation CAF/CA ↔ Taux d'endettement</w:t>
      </w:r>
    </w:p>
    <w:p w14:paraId="273ACBE6" w14:textId="77777777" w:rsidR="00053D21" w:rsidRDefault="00000000">
      <w:pPr>
        <w:spacing w:before="100" w:after="40"/>
        <w:jc w:val="center"/>
      </w:pPr>
      <w:r>
        <w:rPr>
          <w:noProof/>
        </w:rPr>
        <w:drawing>
          <wp:inline distT="0" distB="0" distL="0" distR="0" wp14:anchorId="63E74F78" wp14:editId="3BE0988B">
            <wp:extent cx="4762500" cy="2667000"/>
            <wp:effectExtent l="0" t="0" r="0" b="0"/>
            <wp:docPr id="1038981610" name="Fig. 5 — Nuage de points CAF/CA vs Taux d'endettement (50 000 obs.)" descr="Fig. 5 — Nuage de points CAF/CA vs Taux d'endettement (50 000 obs.)" title="Fig. 5 — Nuage de points CAF/CA vs Taux d'endettement (50 000 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67000"/>
                    </a:xfrm>
                    <a:prstGeom prst="rect">
                      <a:avLst/>
                    </a:prstGeom>
                  </pic:spPr>
                </pic:pic>
              </a:graphicData>
            </a:graphic>
          </wp:inline>
        </w:drawing>
      </w:r>
    </w:p>
    <w:p w14:paraId="15AD0F6C" w14:textId="77777777" w:rsidR="00053D21" w:rsidRDefault="00000000">
      <w:pPr>
        <w:spacing w:after="180"/>
        <w:jc w:val="center"/>
      </w:pPr>
      <w:r>
        <w:rPr>
          <w:color w:val="777777"/>
          <w:sz w:val="18"/>
          <w:szCs w:val="18"/>
        </w:rPr>
        <w:t>Fig. 5 — Nuage de points CAF/CA vs Taux d'endettement (50 000 obs.)</w:t>
      </w:r>
    </w:p>
    <w:p w14:paraId="2B35660C" w14:textId="77777777" w:rsidR="00053D21" w:rsidRDefault="00053D21">
      <w:pPr>
        <w:spacing w:before="40"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200"/>
      </w:tblGrid>
      <w:tr w:rsidR="00053D21" w14:paraId="2312E8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A989C99" w14:textId="77777777" w:rsidR="00053D21" w:rsidRDefault="00000000">
            <w:pPr>
              <w:jc w:val="center"/>
            </w:pPr>
            <w:r>
              <w:rPr>
                <w:b/>
                <w:bCs/>
                <w:color w:val="FFFFFF"/>
                <w:sz w:val="20"/>
                <w:szCs w:val="20"/>
              </w:rPr>
              <w:lastRenderedPageBreak/>
              <w:t>Corrélation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BBC62F1" w14:textId="77777777" w:rsidR="00053D21" w:rsidRDefault="00000000">
            <w:pPr>
              <w:jc w:val="center"/>
            </w:pPr>
            <w:r>
              <w:rPr>
                <w:b/>
                <w:bCs/>
                <w:color w:val="FFFFFF"/>
                <w:sz w:val="20"/>
                <w:szCs w:val="20"/>
              </w:rPr>
              <w:t>Coefficient r</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52C645B" w14:textId="77777777" w:rsidR="00053D21" w:rsidRDefault="00000000">
            <w:pPr>
              <w:jc w:val="center"/>
            </w:pPr>
            <w:r>
              <w:rPr>
                <w:b/>
                <w:bCs/>
                <w:color w:val="FFFFFF"/>
                <w:sz w:val="20"/>
                <w:szCs w:val="20"/>
              </w:rPr>
              <w:t>Interprétation stratégique</w:t>
            </w:r>
          </w:p>
        </w:tc>
      </w:tr>
      <w:tr w:rsidR="00053D21" w14:paraId="3048EB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76F01A" w14:textId="77777777" w:rsidR="00053D21" w:rsidRDefault="00000000">
            <w:pPr>
              <w:jc w:val="center"/>
            </w:pPr>
            <w:r>
              <w:rPr>
                <w:color w:val="222222"/>
                <w:sz w:val="20"/>
                <w:szCs w:val="20"/>
              </w:rPr>
              <w:t>CAF/CA ↔ Taux d'endettement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E5E8B1" w14:textId="77777777" w:rsidR="00053D21" w:rsidRDefault="00000000">
            <w:pPr>
              <w:jc w:val="center"/>
            </w:pPr>
            <w:r>
              <w:rPr>
                <w:color w:val="222222"/>
                <w:sz w:val="20"/>
                <w:szCs w:val="20"/>
              </w:rPr>
              <w:t>+0.013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1CA092" w14:textId="77777777" w:rsidR="00053D21" w:rsidRDefault="00000000">
            <w:pPr>
              <w:jc w:val="center"/>
            </w:pPr>
            <w:r>
              <w:rPr>
                <w:color w:val="222222"/>
                <w:sz w:val="20"/>
                <w:szCs w:val="20"/>
              </w:rPr>
              <w:t>Quasi nulle — aucun lien entre levier et performance cash</w:t>
            </w:r>
          </w:p>
        </w:tc>
      </w:tr>
      <w:tr w:rsidR="00053D21" w14:paraId="1A8088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788B5E2E" w14:textId="77777777" w:rsidR="00053D21" w:rsidRDefault="00000000">
            <w:pPr>
              <w:jc w:val="center"/>
            </w:pPr>
            <w:r>
              <w:rPr>
                <w:color w:val="222222"/>
                <w:sz w:val="20"/>
                <w:szCs w:val="20"/>
              </w:rPr>
              <w:t>CAF/CA ↔ Autonomie financière</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15A8FFD4" w14:textId="77777777" w:rsidR="00053D21" w:rsidRDefault="00000000">
            <w:pPr>
              <w:jc w:val="center"/>
            </w:pPr>
            <w:r>
              <w:rPr>
                <w:color w:val="222222"/>
                <w:sz w:val="20"/>
                <w:szCs w:val="20"/>
              </w:rPr>
              <w:t>–0.001</w:t>
            </w:r>
          </w:p>
        </w:tc>
        <w:tc>
          <w:tcPr>
            <w:tcW w:w="42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0F6B17E6" w14:textId="77777777" w:rsidR="00053D21" w:rsidRDefault="00000000">
            <w:pPr>
              <w:jc w:val="center"/>
            </w:pPr>
            <w:r>
              <w:rPr>
                <w:color w:val="222222"/>
                <w:sz w:val="20"/>
                <w:szCs w:val="20"/>
              </w:rPr>
              <w:t>Nulle — structure du bilan indépendante du cash flow</w:t>
            </w:r>
          </w:p>
        </w:tc>
      </w:tr>
      <w:tr w:rsidR="00053D21" w14:paraId="662C65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074E0D" w14:textId="77777777" w:rsidR="00053D21" w:rsidRDefault="00000000">
            <w:pPr>
              <w:jc w:val="center"/>
            </w:pPr>
            <w:r>
              <w:rPr>
                <w:color w:val="222222"/>
                <w:sz w:val="20"/>
                <w:szCs w:val="20"/>
              </w:rPr>
              <w:t>CAF/CA ↔ BFR/CA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4A2B54" w14:textId="77777777" w:rsidR="00053D21" w:rsidRDefault="00000000">
            <w:pPr>
              <w:jc w:val="center"/>
            </w:pPr>
            <w:r>
              <w:rPr>
                <w:color w:val="222222"/>
                <w:sz w:val="20"/>
                <w:szCs w:val="20"/>
              </w:rPr>
              <w:t>+0.130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6D10DB" w14:textId="77777777" w:rsidR="00053D21" w:rsidRDefault="00000000">
            <w:pPr>
              <w:jc w:val="center"/>
            </w:pPr>
            <w:r>
              <w:rPr>
                <w:color w:val="222222"/>
                <w:sz w:val="20"/>
                <w:szCs w:val="20"/>
              </w:rPr>
              <w:t>Faible — léger lien via le volume d'activité</w:t>
            </w:r>
          </w:p>
        </w:tc>
      </w:tr>
    </w:tbl>
    <w:p w14:paraId="50311023" w14:textId="77777777" w:rsidR="00053D21" w:rsidRDefault="00053D21">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3EFC485F" w14:textId="77777777">
        <w:tblPrEx>
          <w:tblCellMar>
            <w:top w:w="0" w:type="dxa"/>
            <w:bottom w:w="0" w:type="dxa"/>
          </w:tblCellMar>
        </w:tblPrEx>
        <w:tc>
          <w:tcPr>
            <w:tcW w:w="9600" w:type="dxa"/>
            <w:tcBorders>
              <w:top w:val="single" w:sz="1" w:space="0" w:color="CCCCCC"/>
              <w:left w:val="single" w:sz="20" w:space="0" w:color="E8A838"/>
              <w:bottom w:val="single" w:sz="1" w:space="0" w:color="CCCCCC"/>
              <w:right w:val="single" w:sz="1" w:space="0" w:color="CCCCCC"/>
            </w:tcBorders>
            <w:shd w:val="clear" w:color="auto" w:fill="FFF8E1"/>
            <w:tcMar>
              <w:top w:w="120" w:type="dxa"/>
              <w:left w:w="220" w:type="dxa"/>
              <w:bottom w:w="120" w:type="dxa"/>
              <w:right w:w="160" w:type="dxa"/>
            </w:tcMar>
          </w:tcPr>
          <w:p w14:paraId="0544E470" w14:textId="77777777" w:rsidR="00053D21" w:rsidRDefault="00000000">
            <w:pPr>
              <w:jc w:val="both"/>
            </w:pPr>
            <w:r>
              <w:rPr>
                <w:color w:val="1A1A2E"/>
                <w:sz w:val="21"/>
                <w:szCs w:val="21"/>
              </w:rPr>
              <w:t>Conclusion clé pour les dirigeants : S'endetter davantage ne réduit pas — ni n'améliore — la capacité à générer du cash. La performance opérationnelle (CAF/CA) est entièrement déterminée par le modèle économique, la marge sectorielle et la gestion des coûts. Ce constat libère les dirigeants d'un biais fréquent : l'endettement peut être un outil de croissance sans affecter la rentabilité intrinsèque de l'activité.</w:t>
            </w:r>
          </w:p>
        </w:tc>
      </w:tr>
    </w:tbl>
    <w:p w14:paraId="6F713A61" w14:textId="77777777" w:rsidR="00053D21" w:rsidRDefault="00000000">
      <w:r>
        <w:br w:type="page"/>
      </w:r>
    </w:p>
    <w:p w14:paraId="65D97B38" w14:textId="77777777" w:rsidR="00053D21" w:rsidRDefault="00000000">
      <w:pPr>
        <w:pStyle w:val="Titre1"/>
        <w:pBdr>
          <w:bottom w:val="single" w:sz="6" w:space="6" w:color="1F3864"/>
        </w:pBdr>
      </w:pPr>
      <w:r>
        <w:lastRenderedPageBreak/>
        <w:t>4. Autonomie financière</w:t>
      </w:r>
    </w:p>
    <w:p w14:paraId="63590768" w14:textId="77777777" w:rsidR="00053D21" w:rsidRDefault="00000000">
      <w:pPr>
        <w:spacing w:before="70" w:after="70"/>
        <w:jc w:val="both"/>
      </w:pPr>
      <w:r>
        <w:rPr>
          <w:color w:val="222222"/>
        </w:rPr>
        <w:t>L'autonomie financière (Capitaux propres / Total passif) est le baromètre de la solidité structurelle d'une entreprise. Un ratio élevé indique une indépendance vis-à-vis des créanciers, une plus grande flexibilité stratégique et une meilleure capacité d'absorption des chocs économiques.</w:t>
      </w:r>
    </w:p>
    <w:p w14:paraId="697E087B" w14:textId="77777777" w:rsidR="00053D21" w:rsidRDefault="00053D21">
      <w:pPr>
        <w:spacing w:before="80" w:after="80"/>
      </w:pPr>
    </w:p>
    <w:p w14:paraId="23183F83" w14:textId="77777777" w:rsidR="00053D21" w:rsidRDefault="00000000">
      <w:pPr>
        <w:pStyle w:val="Titre2"/>
      </w:pPr>
      <w:r>
        <w:t>4.1  Distribution</w:t>
      </w:r>
    </w:p>
    <w:p w14:paraId="74493C7C" w14:textId="77777777" w:rsidR="00053D21" w:rsidRDefault="00000000">
      <w:pPr>
        <w:spacing w:before="100" w:after="40"/>
        <w:jc w:val="center"/>
      </w:pPr>
      <w:r>
        <w:rPr>
          <w:noProof/>
        </w:rPr>
        <w:drawing>
          <wp:inline distT="0" distB="0" distL="0" distR="0" wp14:anchorId="3248E031" wp14:editId="30CD8D85">
            <wp:extent cx="5143500" cy="2381250"/>
            <wp:effectExtent l="0" t="0" r="0" b="0"/>
            <wp:docPr id="668221535" name="Fig. 6 — Distribution de l'autonomie financière (filtrée 0–2)" descr="Fig. 6 — Distribution de l'autonomie financière (filtrée 0–2)" title="Fig. 6 — Distribution de l'autonomie financière (filtrée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381250"/>
                    </a:xfrm>
                    <a:prstGeom prst="rect">
                      <a:avLst/>
                    </a:prstGeom>
                  </pic:spPr>
                </pic:pic>
              </a:graphicData>
            </a:graphic>
          </wp:inline>
        </w:drawing>
      </w:r>
    </w:p>
    <w:p w14:paraId="38A24E38" w14:textId="77777777" w:rsidR="00053D21" w:rsidRDefault="00000000">
      <w:pPr>
        <w:spacing w:after="180"/>
        <w:jc w:val="center"/>
      </w:pPr>
      <w:r>
        <w:rPr>
          <w:color w:val="777777"/>
          <w:sz w:val="18"/>
          <w:szCs w:val="18"/>
        </w:rPr>
        <w:t>Fig. 6 — Distribution de l'autonomie financière (filtrée 0–2)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1404F7C5" w14:textId="77777777">
        <w:tblPrEx>
          <w:tblCellMar>
            <w:top w:w="0" w:type="dxa"/>
            <w:bottom w:w="0" w:type="dxa"/>
          </w:tblCellMar>
        </w:tblPrEx>
        <w:tc>
          <w:tcPr>
            <w:tcW w:w="9600" w:type="dxa"/>
            <w:tcBorders>
              <w:top w:val="single" w:sz="1" w:space="0" w:color="CCCCCC"/>
              <w:left w:val="single" w:sz="20" w:space="0" w:color="2E75B6"/>
              <w:bottom w:val="single" w:sz="1" w:space="0" w:color="CCCCCC"/>
              <w:right w:val="single" w:sz="1" w:space="0" w:color="CCCCCC"/>
            </w:tcBorders>
            <w:shd w:val="clear" w:color="auto" w:fill="EBF3FB"/>
            <w:tcMar>
              <w:top w:w="120" w:type="dxa"/>
              <w:left w:w="220" w:type="dxa"/>
              <w:bottom w:w="120" w:type="dxa"/>
              <w:right w:w="160" w:type="dxa"/>
            </w:tcMar>
          </w:tcPr>
          <w:p w14:paraId="459F86D8" w14:textId="77777777" w:rsidR="00053D21" w:rsidRDefault="00000000">
            <w:pPr>
              <w:jc w:val="both"/>
            </w:pPr>
            <w:r>
              <w:rPr>
                <w:color w:val="1A1A2E"/>
                <w:sz w:val="21"/>
                <w:szCs w:val="21"/>
              </w:rPr>
              <w:t>Lecture analytique : La distribution est très concentrée proche de 0, avec une longue traîne ascendante. La majorité des entreprises françaises sont peu capitalisées relativement à leur passif total — un résultat cohérent avec la structure économique nationale (beaucoup de TPE et PME peu dotées en fonds propres). Les entreprises avec une autonomie &gt; 0.5 forment une minorité significative, mais représentent probablement une part disproportionnée de l'emploi et du CA agrégé.</w:t>
            </w:r>
          </w:p>
        </w:tc>
      </w:tr>
    </w:tbl>
    <w:p w14:paraId="1DA1F83E" w14:textId="77777777" w:rsidR="00053D21" w:rsidRDefault="00053D21">
      <w:pPr>
        <w:spacing w:before="80" w:after="80"/>
      </w:pPr>
    </w:p>
    <w:p w14:paraId="69BD146C" w14:textId="77777777" w:rsidR="00053D21" w:rsidRDefault="00000000">
      <w:pPr>
        <w:pStyle w:val="Titre2"/>
      </w:pPr>
      <w:r>
        <w:t>4.2  Comparaison par type de bilan</w:t>
      </w:r>
    </w:p>
    <w:p w14:paraId="15C57264" w14:textId="77777777" w:rsidR="00053D21" w:rsidRDefault="00000000">
      <w:pPr>
        <w:spacing w:before="100" w:after="40"/>
        <w:jc w:val="center"/>
      </w:pPr>
      <w:r>
        <w:rPr>
          <w:noProof/>
        </w:rPr>
        <w:drawing>
          <wp:inline distT="0" distB="0" distL="0" distR="0" wp14:anchorId="58BAF95D" wp14:editId="17FD3AA8">
            <wp:extent cx="4953000" cy="2762250"/>
            <wp:effectExtent l="0" t="0" r="0" b="0"/>
            <wp:docPr id="495301287" name="Fig. 7 — Autonomie financière par type de bilan" descr="Fig. 7 — Autonomie financière par type de bilan" title="Fig. 7 — Autonomie financière par type de bi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762250"/>
                    </a:xfrm>
                    <a:prstGeom prst="rect">
                      <a:avLst/>
                    </a:prstGeom>
                  </pic:spPr>
                </pic:pic>
              </a:graphicData>
            </a:graphic>
          </wp:inline>
        </w:drawing>
      </w:r>
    </w:p>
    <w:p w14:paraId="52C2232B" w14:textId="77777777" w:rsidR="00053D21" w:rsidRDefault="00000000">
      <w:pPr>
        <w:spacing w:after="180"/>
        <w:jc w:val="center"/>
      </w:pPr>
      <w:r>
        <w:rPr>
          <w:color w:val="777777"/>
          <w:sz w:val="18"/>
          <w:szCs w:val="18"/>
        </w:rPr>
        <w:t>Fig. 7 — Autonomie financière par type de bilan</w:t>
      </w:r>
    </w:p>
    <w:p w14:paraId="7CCC1557" w14:textId="77777777" w:rsidR="00053D21" w:rsidRDefault="00000000">
      <w:pPr>
        <w:spacing w:before="70" w:after="70"/>
        <w:jc w:val="both"/>
      </w:pPr>
      <w:r>
        <w:rPr>
          <w:color w:val="222222"/>
        </w:rPr>
        <w:t>Le boxplot illustre un écart structurel fort :</w:t>
      </w:r>
    </w:p>
    <w:p w14:paraId="3C5B99F3" w14:textId="77777777" w:rsidR="00053D21" w:rsidRDefault="00000000">
      <w:pPr>
        <w:pStyle w:val="Paragraphedeliste"/>
        <w:numPr>
          <w:ilvl w:val="0"/>
          <w:numId w:val="2"/>
        </w:numPr>
        <w:spacing w:before="40" w:after="40"/>
      </w:pPr>
      <w:r>
        <w:rPr>
          <w:color w:val="333333"/>
          <w:sz w:val="21"/>
          <w:szCs w:val="21"/>
        </w:rPr>
        <w:t>Bilan S (Simplifié) : autonomie très faible et concentrée — structures fragiles, peu capitalisées</w:t>
      </w:r>
    </w:p>
    <w:p w14:paraId="212DD61F" w14:textId="77777777" w:rsidR="00053D21" w:rsidRDefault="00000000">
      <w:pPr>
        <w:pStyle w:val="Paragraphedeliste"/>
        <w:numPr>
          <w:ilvl w:val="0"/>
          <w:numId w:val="2"/>
        </w:numPr>
        <w:spacing w:before="40" w:after="40"/>
      </w:pPr>
      <w:r>
        <w:rPr>
          <w:color w:val="333333"/>
          <w:sz w:val="21"/>
          <w:szCs w:val="21"/>
        </w:rPr>
        <w:lastRenderedPageBreak/>
        <w:t>Bilans C et K : médianes autour de 0.8–0.9, forte variabilité — ces entreprises disposent d'une réelle marge de sécurité</w:t>
      </w:r>
    </w:p>
    <w:p w14:paraId="767C2ABE" w14:textId="77777777" w:rsidR="00053D21" w:rsidRDefault="00000000">
      <w:pPr>
        <w:spacing w:before="70" w:after="70"/>
        <w:jc w:val="both"/>
      </w:pPr>
      <w:r>
        <w:rPr>
          <w:color w:val="222222"/>
        </w:rPr>
        <w:t>Implication : Les bilans C et K cumulent solidité et flexibilité. Ce sont les profils privilégiés dans les décisions d'octroi de crédit et de partenariat stratégique.</w:t>
      </w:r>
    </w:p>
    <w:p w14:paraId="14809FCE" w14:textId="77777777" w:rsidR="00053D21" w:rsidRDefault="00053D21">
      <w:pPr>
        <w:spacing w:before="80" w:after="80"/>
      </w:pPr>
    </w:p>
    <w:p w14:paraId="257F6127" w14:textId="77777777" w:rsidR="00053D21" w:rsidRDefault="00000000">
      <w:pPr>
        <w:pStyle w:val="Titre2"/>
      </w:pPr>
      <w:r>
        <w:t>4.3  Corrélations avec les autres indicateurs</w:t>
      </w:r>
    </w:p>
    <w:p w14:paraId="22BEDB4E" w14:textId="77777777" w:rsidR="00053D21" w:rsidRDefault="00000000">
      <w:pPr>
        <w:pStyle w:val="Paragraphedeliste"/>
        <w:numPr>
          <w:ilvl w:val="0"/>
          <w:numId w:val="2"/>
        </w:numPr>
        <w:spacing w:before="40" w:after="40"/>
      </w:pPr>
      <w:r>
        <w:rPr>
          <w:color w:val="333333"/>
          <w:sz w:val="21"/>
          <w:szCs w:val="21"/>
        </w:rPr>
        <w:t>Autonomie fin. ↔ Taux d'endettement : r = +0.623 — Corrélation forte et attendue : les deux ratios décrivent la même logique de structure du capital</w:t>
      </w:r>
    </w:p>
    <w:p w14:paraId="0EEFF36A" w14:textId="77777777" w:rsidR="00053D21" w:rsidRDefault="00000000">
      <w:pPr>
        <w:pStyle w:val="Paragraphedeliste"/>
        <w:numPr>
          <w:ilvl w:val="0"/>
          <w:numId w:val="2"/>
        </w:numPr>
        <w:spacing w:before="40" w:after="40"/>
      </w:pPr>
      <w:r>
        <w:rPr>
          <w:color w:val="333333"/>
          <w:sz w:val="21"/>
          <w:szCs w:val="21"/>
        </w:rPr>
        <w:t>Autonomie fin. ↔ CAF/CA : r = –0.001 — Nulle : être solide financièrement ne garantit pas d'être performant en cash</w:t>
      </w:r>
    </w:p>
    <w:p w14:paraId="2659E634" w14:textId="77777777" w:rsidR="00053D21" w:rsidRDefault="00000000">
      <w:pPr>
        <w:pStyle w:val="Paragraphedeliste"/>
        <w:numPr>
          <w:ilvl w:val="0"/>
          <w:numId w:val="2"/>
        </w:numPr>
        <w:spacing w:before="40" w:after="40"/>
      </w:pPr>
      <w:r>
        <w:rPr>
          <w:color w:val="333333"/>
          <w:sz w:val="21"/>
          <w:szCs w:val="21"/>
        </w:rPr>
        <w:t>Autonomie fin. ↔ BFR/CA : r ≈ 0 — Nulle : indépendance totale entre structure financière et cycle d'exploitation</w:t>
      </w:r>
    </w:p>
    <w:p w14:paraId="61E1114F" w14:textId="77777777" w:rsidR="00053D21" w:rsidRDefault="00053D21">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53F1F576" w14:textId="77777777">
        <w:tblPrEx>
          <w:tblCellMar>
            <w:top w:w="0" w:type="dxa"/>
            <w:bottom w:w="0" w:type="dxa"/>
          </w:tblCellMar>
        </w:tblPrEx>
        <w:tc>
          <w:tcPr>
            <w:tcW w:w="9600" w:type="dxa"/>
            <w:tcBorders>
              <w:top w:val="single" w:sz="1" w:space="0" w:color="CCCCCC"/>
              <w:left w:val="single" w:sz="20" w:space="0" w:color="2E75B6"/>
              <w:bottom w:val="single" w:sz="1" w:space="0" w:color="CCCCCC"/>
              <w:right w:val="single" w:sz="1" w:space="0" w:color="CCCCCC"/>
            </w:tcBorders>
            <w:shd w:val="clear" w:color="auto" w:fill="EBF3FB"/>
            <w:tcMar>
              <w:top w:w="120" w:type="dxa"/>
              <w:left w:w="220" w:type="dxa"/>
              <w:bottom w:w="120" w:type="dxa"/>
              <w:right w:w="160" w:type="dxa"/>
            </w:tcMar>
          </w:tcPr>
          <w:p w14:paraId="1261FB4A" w14:textId="77777777" w:rsidR="00053D21" w:rsidRDefault="00000000">
            <w:pPr>
              <w:jc w:val="both"/>
            </w:pPr>
            <w:r>
              <w:rPr>
                <w:color w:val="1A1A2E"/>
                <w:sz w:val="21"/>
                <w:szCs w:val="21"/>
              </w:rPr>
              <w:t>Insight pour les dirigeants : L'autonomie financière protège, mais ne génère pas. Une entreprise peut être très solide (capitaux propres élevés) et peu rentable, ou inversement. La solidité financière est une condition nécessaire à la pérennité, pas suffisante à la performance.</w:t>
            </w:r>
          </w:p>
        </w:tc>
      </w:tr>
    </w:tbl>
    <w:p w14:paraId="046296D3" w14:textId="77777777" w:rsidR="00053D21" w:rsidRDefault="00000000">
      <w:r>
        <w:br w:type="page"/>
      </w:r>
    </w:p>
    <w:p w14:paraId="5540BFCB" w14:textId="77777777" w:rsidR="00053D21" w:rsidRDefault="00000000">
      <w:pPr>
        <w:pStyle w:val="Titre1"/>
        <w:pBdr>
          <w:bottom w:val="single" w:sz="6" w:space="6" w:color="1F3864"/>
        </w:pBdr>
      </w:pPr>
      <w:r>
        <w:lastRenderedPageBreak/>
        <w:t>5. Besoin en Fonds de Roulement (BFR)</w:t>
      </w:r>
    </w:p>
    <w:p w14:paraId="300AAFDB" w14:textId="77777777" w:rsidR="00053D21" w:rsidRDefault="00000000">
      <w:pPr>
        <w:spacing w:before="70" w:after="70"/>
        <w:jc w:val="both"/>
      </w:pPr>
      <w:r>
        <w:rPr>
          <w:color w:val="222222"/>
        </w:rPr>
        <w:t>Le BFR représente le besoin de financement généré par le décalage temporel entre les encaissements et les décaissements du cycle d'exploitation. C'est un indicateur directement opérationnel : il parle au dirigeant, au DAF et aux banquiers de façon immédiate.</w:t>
      </w:r>
    </w:p>
    <w:p w14:paraId="2509279F" w14:textId="77777777" w:rsidR="00053D21" w:rsidRDefault="00053D21">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00"/>
      </w:tblGrid>
      <w:tr w:rsidR="00053D21" w14:paraId="45BE69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B41C80A" w14:textId="77777777" w:rsidR="00053D21" w:rsidRDefault="00000000">
            <w:pPr>
              <w:jc w:val="center"/>
            </w:pPr>
            <w:r>
              <w:rPr>
                <w:b/>
                <w:bCs/>
                <w:color w:val="FFFFFF"/>
                <w:sz w:val="20"/>
                <w:szCs w:val="20"/>
              </w:rPr>
              <w:t>Signe du BFR</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5A41A32" w14:textId="77777777" w:rsidR="00053D21" w:rsidRDefault="00000000">
            <w:pPr>
              <w:jc w:val="center"/>
            </w:pPr>
            <w:r>
              <w:rPr>
                <w:b/>
                <w:bCs/>
                <w:color w:val="FFFFFF"/>
                <w:sz w:val="20"/>
                <w:szCs w:val="20"/>
              </w:rPr>
              <w:t>Signification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38DE608" w14:textId="77777777" w:rsidR="00053D21" w:rsidRDefault="00000000">
            <w:pPr>
              <w:jc w:val="center"/>
            </w:pPr>
            <w:r>
              <w:rPr>
                <w:b/>
                <w:bCs/>
                <w:color w:val="FFFFFF"/>
                <w:sz w:val="20"/>
                <w:szCs w:val="20"/>
              </w:rPr>
              <w:t>Implication trésorerie</w:t>
            </w:r>
          </w:p>
        </w:tc>
      </w:tr>
      <w:tr w:rsidR="00053D21" w14:paraId="6B0C72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E897C5" w14:textId="77777777" w:rsidR="00053D21" w:rsidRDefault="00000000">
            <w:pPr>
              <w:jc w:val="center"/>
            </w:pPr>
            <w:r>
              <w:rPr>
                <w:color w:val="222222"/>
                <w:sz w:val="20"/>
                <w:szCs w:val="20"/>
              </w:rPr>
              <w:t>BFR &gt; 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132174" w14:textId="77777777" w:rsidR="00053D21" w:rsidRDefault="00000000">
            <w:pPr>
              <w:jc w:val="center"/>
            </w:pPr>
            <w:r>
              <w:rPr>
                <w:color w:val="222222"/>
                <w:sz w:val="20"/>
                <w:szCs w:val="20"/>
              </w:rPr>
              <w:t>Cycle consomme de la trésorerie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F74485" w14:textId="77777777" w:rsidR="00053D21" w:rsidRDefault="00000000">
            <w:pPr>
              <w:jc w:val="center"/>
            </w:pPr>
            <w:r>
              <w:rPr>
                <w:color w:val="222222"/>
                <w:sz w:val="20"/>
                <w:szCs w:val="20"/>
              </w:rPr>
              <w:t>L'entreprise doit financer le décalage</w:t>
            </w:r>
          </w:p>
        </w:tc>
      </w:tr>
      <w:tr w:rsidR="00053D21" w14:paraId="2378B2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57A24C1C" w14:textId="77777777" w:rsidR="00053D21" w:rsidRDefault="00000000">
            <w:pPr>
              <w:jc w:val="center"/>
            </w:pPr>
            <w:r>
              <w:rPr>
                <w:color w:val="222222"/>
                <w:sz w:val="20"/>
                <w:szCs w:val="20"/>
              </w:rPr>
              <w:t>BFR = 0</w:t>
            </w:r>
          </w:p>
        </w:tc>
        <w:tc>
          <w:tcPr>
            <w:tcW w:w="34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084EAFCF" w14:textId="77777777" w:rsidR="00053D21" w:rsidRDefault="00000000">
            <w:pPr>
              <w:jc w:val="center"/>
            </w:pPr>
            <w:r>
              <w:rPr>
                <w:color w:val="222222"/>
                <w:sz w:val="20"/>
                <w:szCs w:val="20"/>
              </w:rPr>
              <w:t>Cycle à l'équilibre</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4DBB3F50" w14:textId="77777777" w:rsidR="00053D21" w:rsidRDefault="00000000">
            <w:pPr>
              <w:jc w:val="center"/>
            </w:pPr>
            <w:r>
              <w:rPr>
                <w:color w:val="222222"/>
                <w:sz w:val="20"/>
                <w:szCs w:val="20"/>
              </w:rPr>
              <w:t>Neutralité de trésorerie</w:t>
            </w:r>
          </w:p>
        </w:tc>
      </w:tr>
      <w:tr w:rsidR="00053D21" w14:paraId="1200F0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7270BF" w14:textId="77777777" w:rsidR="00053D21" w:rsidRDefault="00000000">
            <w:pPr>
              <w:jc w:val="center"/>
            </w:pPr>
            <w:r>
              <w:rPr>
                <w:color w:val="222222"/>
                <w:sz w:val="20"/>
                <w:szCs w:val="20"/>
              </w:rPr>
              <w:t>BFR &lt; 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5C2C87" w14:textId="77777777" w:rsidR="00053D21" w:rsidRDefault="00000000">
            <w:pPr>
              <w:jc w:val="center"/>
            </w:pPr>
            <w:r>
              <w:rPr>
                <w:color w:val="222222"/>
                <w:sz w:val="20"/>
                <w:szCs w:val="20"/>
              </w:rPr>
              <w:t>Cycle génère de la trésorerie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24E20E" w14:textId="77777777" w:rsidR="00053D21" w:rsidRDefault="00000000">
            <w:pPr>
              <w:jc w:val="center"/>
            </w:pPr>
            <w:r>
              <w:rPr>
                <w:color w:val="222222"/>
                <w:sz w:val="20"/>
                <w:szCs w:val="20"/>
              </w:rPr>
              <w:t>Signal très positif — fournisseurs financent le cycle</w:t>
            </w:r>
          </w:p>
        </w:tc>
      </w:tr>
    </w:tbl>
    <w:p w14:paraId="491B22A8" w14:textId="77777777" w:rsidR="00053D21" w:rsidRDefault="00053D21">
      <w:pPr>
        <w:spacing w:before="80" w:after="80"/>
      </w:pPr>
    </w:p>
    <w:p w14:paraId="310D5149" w14:textId="77777777" w:rsidR="00053D21" w:rsidRDefault="00000000">
      <w:pPr>
        <w:pStyle w:val="Titre2"/>
      </w:pPr>
      <w:r>
        <w:t>5.1  BFR par type de bilan — résultat spectaculaire</w:t>
      </w:r>
    </w:p>
    <w:p w14:paraId="66F43795" w14:textId="77777777" w:rsidR="00053D21" w:rsidRDefault="00000000">
      <w:pPr>
        <w:spacing w:before="100" w:after="40"/>
        <w:jc w:val="center"/>
      </w:pPr>
      <w:r>
        <w:rPr>
          <w:noProof/>
        </w:rPr>
        <w:drawing>
          <wp:inline distT="0" distB="0" distL="0" distR="0" wp14:anchorId="68BFF8A6" wp14:editId="27B2EC4C">
            <wp:extent cx="4381500" cy="2762250"/>
            <wp:effectExtent l="0" t="0" r="0" b="0"/>
            <wp:docPr id="1798265171" name="Fig. 8 — BFR/CA moyen selon le type de bilan" descr="Fig. 8 — BFR/CA moyen selon le type de bilan" title="Fig. 8 — BFR/CA moyen selon le type de bi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762250"/>
                    </a:xfrm>
                    <a:prstGeom prst="rect">
                      <a:avLst/>
                    </a:prstGeom>
                  </pic:spPr>
                </pic:pic>
              </a:graphicData>
            </a:graphic>
          </wp:inline>
        </w:drawing>
      </w:r>
    </w:p>
    <w:p w14:paraId="420535B5" w14:textId="77777777" w:rsidR="00053D21" w:rsidRDefault="00000000">
      <w:pPr>
        <w:spacing w:after="180"/>
        <w:jc w:val="center"/>
      </w:pPr>
      <w:r>
        <w:rPr>
          <w:color w:val="777777"/>
          <w:sz w:val="18"/>
          <w:szCs w:val="18"/>
        </w:rPr>
        <w:t>Fig. 8 — BFR/CA moyen selon le type de bilan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1EEB2102" w14:textId="77777777">
        <w:tblPrEx>
          <w:tblCellMar>
            <w:top w:w="0" w:type="dxa"/>
            <w:bottom w:w="0" w:type="dxa"/>
          </w:tblCellMar>
        </w:tblPrEx>
        <w:tc>
          <w:tcPr>
            <w:tcW w:w="9600" w:type="dxa"/>
            <w:tcBorders>
              <w:top w:val="single" w:sz="1" w:space="0" w:color="CCCCCC"/>
              <w:left w:val="single" w:sz="20" w:space="0" w:color="E74C3C"/>
              <w:bottom w:val="single" w:sz="1" w:space="0" w:color="CCCCCC"/>
              <w:right w:val="single" w:sz="1" w:space="0" w:color="CCCCCC"/>
            </w:tcBorders>
            <w:shd w:val="clear" w:color="auto" w:fill="FFF0F0"/>
            <w:tcMar>
              <w:top w:w="120" w:type="dxa"/>
              <w:left w:w="220" w:type="dxa"/>
              <w:bottom w:w="120" w:type="dxa"/>
              <w:right w:w="160" w:type="dxa"/>
            </w:tcMar>
          </w:tcPr>
          <w:p w14:paraId="5CEA2DC7" w14:textId="77777777" w:rsidR="00053D21" w:rsidRDefault="00000000">
            <w:pPr>
              <w:jc w:val="both"/>
            </w:pPr>
            <w:r>
              <w:rPr>
                <w:color w:val="1A1A2E"/>
                <w:sz w:val="21"/>
                <w:szCs w:val="21"/>
              </w:rPr>
              <w:t>Résultat analytique clé : Les bilans S (simplifiés) affichent un BFR moyen de –13 694 : leur cycle d'exploitation est financé par les fournisseurs — un modèle vertueux. Les bilans K (consolidés) ont un BFR de +7 478 : cycle positif mais contenu. Les bilans C (complets) portent le BFR le plus élevé à +29 321 : ces entreprises immobilisent massivement leur trésorerie dans le cycle. Ce classement (C &gt; K &gt; S) est contre-intuitif : les entreprises les plus 'correctes' sur le plan comptable sont celles qui consomment le plus de trésorerie opérationnelle.</w:t>
            </w:r>
          </w:p>
        </w:tc>
      </w:tr>
    </w:tbl>
    <w:p w14:paraId="3D5E0AEA" w14:textId="77777777" w:rsidR="00053D21" w:rsidRDefault="00053D21">
      <w:pPr>
        <w:spacing w:before="80" w:after="80"/>
      </w:pPr>
    </w:p>
    <w:p w14:paraId="5BD58DE5" w14:textId="77777777" w:rsidR="00053D21" w:rsidRDefault="00000000">
      <w:pPr>
        <w:pStyle w:val="Titre2"/>
      </w:pPr>
      <w:r>
        <w:t>5.2  Corrélations BFR</w:t>
      </w:r>
    </w:p>
    <w:p w14:paraId="2AB170B2" w14:textId="77777777" w:rsidR="00053D21" w:rsidRDefault="00000000">
      <w:pPr>
        <w:pStyle w:val="Paragraphedeliste"/>
        <w:numPr>
          <w:ilvl w:val="0"/>
          <w:numId w:val="2"/>
        </w:numPr>
        <w:spacing w:before="40" w:after="40"/>
      </w:pPr>
      <w:r>
        <w:rPr>
          <w:color w:val="333333"/>
          <w:sz w:val="21"/>
          <w:szCs w:val="21"/>
        </w:rPr>
        <w:t>BFR/CA ↔ CAF/CA : r = +0.130 — Faible positive : un BFR plus élevé va légèrement de pair avec plus de CAF, probablement via le volume d'activité</w:t>
      </w:r>
    </w:p>
    <w:p w14:paraId="743D22B8" w14:textId="77777777" w:rsidR="00053D21" w:rsidRDefault="00000000">
      <w:pPr>
        <w:pStyle w:val="Paragraphedeliste"/>
        <w:numPr>
          <w:ilvl w:val="0"/>
          <w:numId w:val="2"/>
        </w:numPr>
        <w:spacing w:before="40" w:after="40"/>
      </w:pPr>
      <w:r>
        <w:rPr>
          <w:color w:val="333333"/>
          <w:sz w:val="21"/>
          <w:szCs w:val="21"/>
        </w:rPr>
        <w:t>BFR/CA ↔ Endettement : r ≈ 0 — Nulle : le BFR et la structure de financement sont des dimensions totalement orthogonales</w:t>
      </w:r>
    </w:p>
    <w:p w14:paraId="6869E6AD" w14:textId="77777777" w:rsidR="00053D21" w:rsidRDefault="00000000">
      <w:pPr>
        <w:pStyle w:val="Paragraphedeliste"/>
        <w:numPr>
          <w:ilvl w:val="0"/>
          <w:numId w:val="2"/>
        </w:numPr>
        <w:spacing w:before="40" w:after="40"/>
      </w:pPr>
      <w:r>
        <w:rPr>
          <w:color w:val="333333"/>
          <w:sz w:val="21"/>
          <w:szCs w:val="21"/>
        </w:rPr>
        <w:t>BFR/CA ↔ Autonomie financière : r ≈ 0 — Nulle : la solidité du bilan n'explique pas le comportement du cycle</w:t>
      </w:r>
    </w:p>
    <w:p w14:paraId="41C3622D" w14:textId="77777777" w:rsidR="00053D21" w:rsidRDefault="00000000">
      <w:pPr>
        <w:spacing w:before="70" w:after="70"/>
        <w:jc w:val="both"/>
      </w:pPr>
      <w:r>
        <w:rPr>
          <w:color w:val="222222"/>
        </w:rPr>
        <w:lastRenderedPageBreak/>
        <w:t>Conclusion : Le BFR dépend du pouvoir de négociation avec clients et fournisseurs, du secteur d'activité et de l'efficacité opérationnelle — pas de la structure financière. C'est un levier à part entière.</w:t>
      </w:r>
    </w:p>
    <w:p w14:paraId="7F9A1E54" w14:textId="77777777" w:rsidR="00053D21" w:rsidRDefault="00000000">
      <w:r>
        <w:br w:type="page"/>
      </w:r>
    </w:p>
    <w:p w14:paraId="568A6F61" w14:textId="77777777" w:rsidR="00053D21" w:rsidRDefault="00000000">
      <w:pPr>
        <w:pStyle w:val="Titre1"/>
        <w:pBdr>
          <w:bottom w:val="single" w:sz="6" w:space="6" w:color="1F3864"/>
        </w:pBdr>
      </w:pPr>
      <w:r>
        <w:lastRenderedPageBreak/>
        <w:t>6. Cycle d'exploitation : DIO / DSO / DPO</w:t>
      </w:r>
    </w:p>
    <w:p w14:paraId="17DFC79D" w14:textId="77777777" w:rsidR="00053D21" w:rsidRDefault="00000000">
      <w:pPr>
        <w:spacing w:before="70" w:after="70"/>
        <w:jc w:val="both"/>
      </w:pPr>
      <w:r>
        <w:rPr>
          <w:color w:val="222222"/>
        </w:rPr>
        <w:t>Le cycle d'exploitation traduit la durée du cycle opérationnel en jours, selon la formule :</w:t>
      </w:r>
    </w:p>
    <w:p w14:paraId="7EF990AC" w14:textId="77777777" w:rsidR="00053D21" w:rsidRDefault="00000000">
      <w:pPr>
        <w:spacing w:before="80" w:after="80"/>
        <w:jc w:val="center"/>
      </w:pPr>
      <w:r>
        <w:rPr>
          <w:b/>
          <w:bCs/>
          <w:color w:val="1F3864"/>
          <w:sz w:val="24"/>
          <w:szCs w:val="24"/>
        </w:rPr>
        <w:t>Cycle d'exploitation = DIO + DSO − DPO</w:t>
      </w:r>
    </w:p>
    <w:p w14:paraId="473010FE" w14:textId="77777777" w:rsidR="00053D21" w:rsidRDefault="00053D21">
      <w:pPr>
        <w:spacing w:before="40"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6"/>
        <w:gridCol w:w="2731"/>
        <w:gridCol w:w="3112"/>
        <w:gridCol w:w="2521"/>
      </w:tblGrid>
      <w:tr w:rsidR="00053D21" w14:paraId="396F306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A08B984" w14:textId="77777777" w:rsidR="00053D21" w:rsidRDefault="00000000">
            <w:pPr>
              <w:jc w:val="center"/>
            </w:pPr>
            <w:r>
              <w:rPr>
                <w:b/>
                <w:bCs/>
                <w:color w:val="FFFFFF"/>
                <w:sz w:val="20"/>
                <w:szCs w:val="20"/>
              </w:rPr>
              <w:t>Indicateur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BC1BD3D" w14:textId="77777777" w:rsidR="00053D21" w:rsidRDefault="00000000">
            <w:pPr>
              <w:jc w:val="center"/>
            </w:pPr>
            <w:r>
              <w:rPr>
                <w:b/>
                <w:bCs/>
                <w:color w:val="FFFFFF"/>
                <w:sz w:val="20"/>
                <w:szCs w:val="20"/>
              </w:rPr>
              <w:t>Nom complet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285C785" w14:textId="77777777" w:rsidR="00053D21" w:rsidRDefault="00000000">
            <w:pPr>
              <w:jc w:val="center"/>
            </w:pPr>
            <w:r>
              <w:rPr>
                <w:b/>
                <w:bCs/>
                <w:color w:val="FFFFFF"/>
                <w:sz w:val="20"/>
                <w:szCs w:val="20"/>
              </w:rPr>
              <w:t>Ce qu'il mesure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144048B" w14:textId="77777777" w:rsidR="00053D21" w:rsidRDefault="00000000">
            <w:pPr>
              <w:jc w:val="center"/>
            </w:pPr>
            <w:r>
              <w:rPr>
                <w:b/>
                <w:bCs/>
                <w:color w:val="FFFFFF"/>
                <w:sz w:val="20"/>
                <w:szCs w:val="20"/>
              </w:rPr>
              <w:t>Impact BFR</w:t>
            </w:r>
          </w:p>
        </w:tc>
      </w:tr>
      <w:tr w:rsidR="00053D21" w14:paraId="6C4972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A17699" w14:textId="77777777" w:rsidR="00053D21" w:rsidRDefault="00000000">
            <w:pPr>
              <w:jc w:val="center"/>
            </w:pPr>
            <w:r>
              <w:rPr>
                <w:color w:val="222222"/>
                <w:sz w:val="20"/>
                <w:szCs w:val="20"/>
              </w:rPr>
              <w:t>DIO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4FC3D8" w14:textId="77777777" w:rsidR="00053D21" w:rsidRDefault="00000000">
            <w:pPr>
              <w:jc w:val="center"/>
            </w:pPr>
            <w:r>
              <w:rPr>
                <w:color w:val="222222"/>
                <w:sz w:val="20"/>
                <w:szCs w:val="20"/>
              </w:rPr>
              <w:t>Days Inventory Outstanding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18FD7B" w14:textId="77777777" w:rsidR="00053D21" w:rsidRDefault="00000000">
            <w:pPr>
              <w:jc w:val="center"/>
            </w:pPr>
            <w:r>
              <w:rPr>
                <w:color w:val="222222"/>
                <w:sz w:val="20"/>
                <w:szCs w:val="20"/>
              </w:rPr>
              <w:t>Durée moyenne de détention des stocks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C0FA27" w14:textId="77777777" w:rsidR="00053D21" w:rsidRDefault="00000000">
            <w:pPr>
              <w:jc w:val="center"/>
            </w:pPr>
            <w:r>
              <w:rPr>
                <w:color w:val="222222"/>
                <w:sz w:val="20"/>
                <w:szCs w:val="20"/>
              </w:rPr>
              <w:t>Allonge le BFR</w:t>
            </w:r>
          </w:p>
        </w:tc>
      </w:tr>
      <w:tr w:rsidR="00053D21" w14:paraId="61436C5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58CAAFE2" w14:textId="77777777" w:rsidR="00053D21" w:rsidRDefault="00000000">
            <w:pPr>
              <w:jc w:val="center"/>
            </w:pPr>
            <w:r>
              <w:rPr>
                <w:color w:val="222222"/>
                <w:sz w:val="20"/>
                <w:szCs w:val="20"/>
              </w:rPr>
              <w:t>DSO</w:t>
            </w:r>
          </w:p>
        </w:tc>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72CA5D85" w14:textId="77777777" w:rsidR="00053D21" w:rsidRDefault="00000000">
            <w:pPr>
              <w:jc w:val="center"/>
            </w:pPr>
            <w:r>
              <w:rPr>
                <w:color w:val="222222"/>
                <w:sz w:val="20"/>
                <w:szCs w:val="20"/>
              </w:rPr>
              <w:t>Days Sales Outstanding</w:t>
            </w:r>
          </w:p>
        </w:tc>
        <w:tc>
          <w:tcPr>
            <w:tcW w:w="32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5872B126" w14:textId="77777777" w:rsidR="00053D21" w:rsidRDefault="00000000">
            <w:pPr>
              <w:jc w:val="center"/>
            </w:pPr>
            <w:r>
              <w:rPr>
                <w:color w:val="222222"/>
                <w:sz w:val="20"/>
                <w:szCs w:val="20"/>
              </w:rPr>
              <w:t>Délai moyen de paiement des clients</w:t>
            </w:r>
          </w:p>
        </w:tc>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4302E622" w14:textId="77777777" w:rsidR="00053D21" w:rsidRDefault="00000000">
            <w:pPr>
              <w:jc w:val="center"/>
            </w:pPr>
            <w:r>
              <w:rPr>
                <w:color w:val="222222"/>
                <w:sz w:val="20"/>
                <w:szCs w:val="20"/>
              </w:rPr>
              <w:t>Allonge le BFR</w:t>
            </w:r>
          </w:p>
        </w:tc>
      </w:tr>
      <w:tr w:rsidR="00053D21" w14:paraId="1B733C0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9FEBBE" w14:textId="77777777" w:rsidR="00053D21" w:rsidRDefault="00000000">
            <w:pPr>
              <w:jc w:val="center"/>
            </w:pPr>
            <w:r>
              <w:rPr>
                <w:color w:val="222222"/>
                <w:sz w:val="20"/>
                <w:szCs w:val="20"/>
              </w:rPr>
              <w:t>DPO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23C351" w14:textId="77777777" w:rsidR="00053D21" w:rsidRDefault="00000000">
            <w:pPr>
              <w:jc w:val="center"/>
            </w:pPr>
            <w:r>
              <w:rPr>
                <w:color w:val="222222"/>
                <w:sz w:val="20"/>
                <w:szCs w:val="20"/>
              </w:rPr>
              <w:t>Days Payables Outstanding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08FED4" w14:textId="77777777" w:rsidR="00053D21" w:rsidRDefault="00000000">
            <w:pPr>
              <w:jc w:val="center"/>
            </w:pPr>
            <w:r>
              <w:rPr>
                <w:color w:val="222222"/>
                <w:sz w:val="20"/>
                <w:szCs w:val="20"/>
              </w:rPr>
              <w:t>Délai moyen de paiement aux fournisseurs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4BCFF" w14:textId="77777777" w:rsidR="00053D21" w:rsidRDefault="00000000">
            <w:pPr>
              <w:jc w:val="center"/>
            </w:pPr>
            <w:r>
              <w:rPr>
                <w:color w:val="222222"/>
                <w:sz w:val="20"/>
                <w:szCs w:val="20"/>
              </w:rPr>
              <w:t>Réduit le BFR</w:t>
            </w:r>
          </w:p>
        </w:tc>
      </w:tr>
    </w:tbl>
    <w:p w14:paraId="2ED2F4FC" w14:textId="77777777" w:rsidR="00053D21" w:rsidRDefault="00053D21">
      <w:pPr>
        <w:spacing w:before="80" w:after="80"/>
      </w:pPr>
    </w:p>
    <w:p w14:paraId="6E0D3C53" w14:textId="77777777" w:rsidR="00053D21" w:rsidRDefault="00000000">
      <w:pPr>
        <w:pStyle w:val="Titre2"/>
      </w:pPr>
      <w:r>
        <w:t>6.1  Distribution du cycle d'exploitation</w:t>
      </w:r>
    </w:p>
    <w:p w14:paraId="0CD03D5F" w14:textId="77777777" w:rsidR="00053D21" w:rsidRDefault="00000000">
      <w:pPr>
        <w:spacing w:before="100" w:after="40"/>
        <w:jc w:val="center"/>
      </w:pPr>
      <w:r>
        <w:rPr>
          <w:noProof/>
        </w:rPr>
        <w:drawing>
          <wp:inline distT="0" distB="0" distL="0" distR="0" wp14:anchorId="161FD9FB" wp14:editId="5EFA38C4">
            <wp:extent cx="5048250" cy="2381250"/>
            <wp:effectExtent l="0" t="0" r="0" b="0"/>
            <wp:docPr id="1831147502" name="Fig. 9 — Distribution du cycle d'exploitation (filtré ±200 j)" descr="Fig. 9 — Distribution du cycle d'exploitation (filtré ±200 j)" title="Fig. 9 — Distribution du cycle d'exploitation (filtré ±200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8250" cy="2381250"/>
                    </a:xfrm>
                    <a:prstGeom prst="rect">
                      <a:avLst/>
                    </a:prstGeom>
                  </pic:spPr>
                </pic:pic>
              </a:graphicData>
            </a:graphic>
          </wp:inline>
        </w:drawing>
      </w:r>
    </w:p>
    <w:p w14:paraId="2BCF0F19" w14:textId="77777777" w:rsidR="00053D21" w:rsidRDefault="00000000">
      <w:pPr>
        <w:spacing w:after="180"/>
        <w:jc w:val="center"/>
      </w:pPr>
      <w:r>
        <w:rPr>
          <w:color w:val="777777"/>
          <w:sz w:val="18"/>
          <w:szCs w:val="18"/>
        </w:rPr>
        <w:t>Fig. 9 — Distribution du cycle d'exploitation (filtré ±200 j)</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5A565AF3" w14:textId="77777777">
        <w:tblPrEx>
          <w:tblCellMar>
            <w:top w:w="0" w:type="dxa"/>
            <w:bottom w:w="0" w:type="dxa"/>
          </w:tblCellMar>
        </w:tblPrEx>
        <w:tc>
          <w:tcPr>
            <w:tcW w:w="9600" w:type="dxa"/>
            <w:tcBorders>
              <w:top w:val="single" w:sz="1" w:space="0" w:color="CCCCCC"/>
              <w:left w:val="single" w:sz="20" w:space="0" w:color="2E75B6"/>
              <w:bottom w:val="single" w:sz="1" w:space="0" w:color="CCCCCC"/>
              <w:right w:val="single" w:sz="1" w:space="0" w:color="CCCCCC"/>
            </w:tcBorders>
            <w:shd w:val="clear" w:color="auto" w:fill="EBF3FB"/>
            <w:tcMar>
              <w:top w:w="120" w:type="dxa"/>
              <w:left w:w="220" w:type="dxa"/>
              <w:bottom w:w="120" w:type="dxa"/>
              <w:right w:w="160" w:type="dxa"/>
            </w:tcMar>
          </w:tcPr>
          <w:p w14:paraId="418304A7" w14:textId="77777777" w:rsidR="00053D21" w:rsidRDefault="00000000">
            <w:pPr>
              <w:jc w:val="both"/>
            </w:pPr>
            <w:r>
              <w:rPr>
                <w:color w:val="1A1A2E"/>
                <w:sz w:val="21"/>
                <w:szCs w:val="21"/>
              </w:rPr>
              <w:t>Lecture analytique : La distribution est centrée légèrement au-dessus de 0, avec une médiane proche de 3 jours. Deux populations coexistent : les entreprises à cycle positif (DPO insuffisant pour compenser DIO+DSO) et celles à cycle négatif (DPO dominant). La densité élevée autour de 0 traduit une grande proportion d'entreprises de services, sans stock et avec des délais équilibrés. Les queues longues de la distribution signalent des secteurs à cycles longs (industrie, BTP, commerce de gros).</w:t>
            </w:r>
          </w:p>
        </w:tc>
      </w:tr>
    </w:tbl>
    <w:p w14:paraId="3DEC05C7" w14:textId="77777777" w:rsidR="00053D21" w:rsidRDefault="00053D21">
      <w:pPr>
        <w:spacing w:before="80" w:after="80"/>
      </w:pPr>
    </w:p>
    <w:p w14:paraId="22A6738B" w14:textId="77777777" w:rsidR="00053D21" w:rsidRDefault="00000000">
      <w:pPr>
        <w:pStyle w:val="Titre2"/>
      </w:pPr>
      <w:r>
        <w:t>6.2  Distributions des composantes</w:t>
      </w:r>
    </w:p>
    <w:p w14:paraId="66AB6393" w14:textId="77777777" w:rsidR="00053D21" w:rsidRDefault="00000000">
      <w:pPr>
        <w:spacing w:before="100" w:after="40"/>
        <w:jc w:val="center"/>
      </w:pPr>
      <w:r>
        <w:rPr>
          <w:noProof/>
        </w:rPr>
        <w:lastRenderedPageBreak/>
        <w:drawing>
          <wp:inline distT="0" distB="0" distL="0" distR="0" wp14:anchorId="40609517" wp14:editId="54445DAF">
            <wp:extent cx="5619750" cy="2286000"/>
            <wp:effectExtent l="0" t="0" r="0" b="0"/>
            <wp:docPr id="579282838" name="Fig. 10 — Distributions de DIO, DSO et DPO (filtrés 0–200 j)" descr="Fig. 10 — Distributions de DIO, DSO et DPO (filtrés 0–200 j)" title="Fig. 10 — Distributions de DIO, DSO et DPO (filtrés 0–200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286000"/>
                    </a:xfrm>
                    <a:prstGeom prst="rect">
                      <a:avLst/>
                    </a:prstGeom>
                  </pic:spPr>
                </pic:pic>
              </a:graphicData>
            </a:graphic>
          </wp:inline>
        </w:drawing>
      </w:r>
    </w:p>
    <w:p w14:paraId="5817F490" w14:textId="77777777" w:rsidR="00053D21" w:rsidRDefault="00000000">
      <w:pPr>
        <w:spacing w:after="180"/>
        <w:jc w:val="center"/>
      </w:pPr>
      <w:r>
        <w:rPr>
          <w:color w:val="777777"/>
          <w:sz w:val="18"/>
          <w:szCs w:val="18"/>
        </w:rPr>
        <w:t>Fig. 10 — Distributions de DIO, DSO et DPO (filtrés 0–200 j)</w:t>
      </w:r>
    </w:p>
    <w:p w14:paraId="2A0E2350" w14:textId="77777777" w:rsidR="00053D21" w:rsidRDefault="00000000">
      <w:pPr>
        <w:spacing w:before="70" w:after="70"/>
        <w:jc w:val="both"/>
      </w:pPr>
      <w:r>
        <w:rPr>
          <w:color w:val="222222"/>
        </w:rPr>
        <w:t>Les trois distributions présentent des formes exponentielles décroissantes révélatrices :</w:t>
      </w:r>
    </w:p>
    <w:p w14:paraId="7B6D7639" w14:textId="77777777" w:rsidR="00053D21" w:rsidRDefault="00000000">
      <w:pPr>
        <w:pStyle w:val="Paragraphedeliste"/>
        <w:numPr>
          <w:ilvl w:val="0"/>
          <w:numId w:val="2"/>
        </w:numPr>
        <w:spacing w:before="40" w:after="40"/>
      </w:pPr>
      <w:r>
        <w:rPr>
          <w:color w:val="333333"/>
          <w:sz w:val="21"/>
          <w:szCs w:val="21"/>
        </w:rPr>
        <w:t>DIO : forte concentration à 0 — la majorité des entreprises sont des services sans actif de stock</w:t>
      </w:r>
    </w:p>
    <w:p w14:paraId="315D5175" w14:textId="77777777" w:rsidR="00053D21" w:rsidRDefault="00000000">
      <w:pPr>
        <w:pStyle w:val="Paragraphedeliste"/>
        <w:numPr>
          <w:ilvl w:val="0"/>
          <w:numId w:val="2"/>
        </w:numPr>
        <w:spacing w:before="40" w:after="40"/>
      </w:pPr>
      <w:r>
        <w:rPr>
          <w:color w:val="333333"/>
          <w:sz w:val="21"/>
          <w:szCs w:val="21"/>
        </w:rPr>
        <w:t>DSO : médiane autour de 30–40 jours — délai client standard conforme aux pratiques B2B françaises</w:t>
      </w:r>
    </w:p>
    <w:p w14:paraId="640ACCF1" w14:textId="77777777" w:rsidR="00053D21" w:rsidRDefault="00000000">
      <w:pPr>
        <w:pStyle w:val="Paragraphedeliste"/>
        <w:numPr>
          <w:ilvl w:val="0"/>
          <w:numId w:val="2"/>
        </w:numPr>
        <w:spacing w:before="40" w:after="40"/>
      </w:pPr>
      <w:r>
        <w:rPr>
          <w:color w:val="333333"/>
          <w:sz w:val="21"/>
          <w:szCs w:val="21"/>
        </w:rPr>
        <w:t>DPO : médiane autour de 40–50 jours — les entreprises négocient légèrement mieux côté fournisseurs</w:t>
      </w:r>
    </w:p>
    <w:p w14:paraId="0D6538C8" w14:textId="77777777" w:rsidR="00053D21" w:rsidRDefault="00000000">
      <w:r>
        <w:br w:type="page"/>
      </w:r>
    </w:p>
    <w:p w14:paraId="7F401476" w14:textId="77777777" w:rsidR="00053D21" w:rsidRDefault="00000000">
      <w:pPr>
        <w:pStyle w:val="Titre1"/>
        <w:pBdr>
          <w:bottom w:val="single" w:sz="6" w:space="6" w:color="1F3864"/>
        </w:pBdr>
      </w:pPr>
      <w:r>
        <w:lastRenderedPageBreak/>
        <w:t>7. Synthèse analytique</w:t>
      </w:r>
    </w:p>
    <w:p w14:paraId="585E01D4" w14:textId="77777777" w:rsidR="00053D21" w:rsidRDefault="00000000">
      <w:pPr>
        <w:spacing w:before="100" w:after="40"/>
        <w:jc w:val="center"/>
      </w:pPr>
      <w:r>
        <w:rPr>
          <w:noProof/>
        </w:rPr>
        <w:drawing>
          <wp:inline distT="0" distB="0" distL="0" distR="0" wp14:anchorId="5DCAE39B" wp14:editId="4B8A93C4">
            <wp:extent cx="4000500" cy="3238500"/>
            <wp:effectExtent l="0" t="0" r="0" b="0"/>
            <wp:docPr id="1965068873" name="Fig. 11 — Matrice de corrélations entre les 4 indicateurs principaux" descr="Fig. 11 — Matrice de corrélations entre les 4 indicateurs principaux" title="Fig. 11 — Matrice de corrélations entre les 4 indicateurs princip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238500"/>
                    </a:xfrm>
                    <a:prstGeom prst="rect">
                      <a:avLst/>
                    </a:prstGeom>
                  </pic:spPr>
                </pic:pic>
              </a:graphicData>
            </a:graphic>
          </wp:inline>
        </w:drawing>
      </w:r>
    </w:p>
    <w:p w14:paraId="297911BC" w14:textId="77777777" w:rsidR="00053D21" w:rsidRDefault="00000000">
      <w:pPr>
        <w:spacing w:after="180"/>
        <w:jc w:val="center"/>
      </w:pPr>
      <w:r>
        <w:rPr>
          <w:color w:val="777777"/>
          <w:sz w:val="18"/>
          <w:szCs w:val="18"/>
        </w:rPr>
        <w:t>Fig. 11 — Matrice de corrélations entre les 4 indicateurs principaux</w:t>
      </w:r>
    </w:p>
    <w:p w14:paraId="24AA2C78" w14:textId="77777777" w:rsidR="00053D21" w:rsidRDefault="00053D21">
      <w:pPr>
        <w:spacing w:before="80" w:after="80"/>
      </w:pPr>
    </w:p>
    <w:p w14:paraId="2F78C2E6" w14:textId="77777777" w:rsidR="00053D21" w:rsidRDefault="00000000">
      <w:pPr>
        <w:pStyle w:val="Titre2"/>
      </w:pPr>
      <w:r>
        <w:t>7.1  Messages clés pour les dirigeants</w:t>
      </w:r>
    </w:p>
    <w:p w14:paraId="46D9BA16" w14:textId="77777777" w:rsidR="00053D21" w:rsidRDefault="00053D21">
      <w:pPr>
        <w:spacing w:before="40"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79D0436E" w14:textId="77777777">
        <w:tblPrEx>
          <w:tblCellMar>
            <w:top w:w="0" w:type="dxa"/>
            <w:bottom w:w="0" w:type="dxa"/>
          </w:tblCellMar>
        </w:tblPrEx>
        <w:tc>
          <w:tcPr>
            <w:tcW w:w="9600" w:type="dxa"/>
            <w:tcBorders>
              <w:top w:val="single" w:sz="1" w:space="0" w:color="CCCCCC"/>
              <w:left w:val="single" w:sz="20" w:space="0" w:color="2E75B6"/>
              <w:bottom w:val="single" w:sz="1" w:space="0" w:color="CCCCCC"/>
              <w:right w:val="single" w:sz="1" w:space="0" w:color="CCCCCC"/>
            </w:tcBorders>
            <w:shd w:val="clear" w:color="auto" w:fill="EBF3FB"/>
            <w:tcMar>
              <w:top w:w="120" w:type="dxa"/>
              <w:left w:w="220" w:type="dxa"/>
              <w:bottom w:w="120" w:type="dxa"/>
              <w:right w:w="160" w:type="dxa"/>
            </w:tcMar>
          </w:tcPr>
          <w:p w14:paraId="29C4B13D" w14:textId="77777777" w:rsidR="00053D21" w:rsidRDefault="00000000">
            <w:pPr>
              <w:jc w:val="both"/>
            </w:pPr>
            <w:r>
              <w:rPr>
                <w:color w:val="1A1A2E"/>
                <w:sz w:val="21"/>
                <w:szCs w:val="21"/>
              </w:rPr>
              <w:t>1. Les entreprises françaises sont structurellement sous-endettées. La médiane à 0.17 sur 15 ans signifie qu'une majorité d'entreprises n'exploite pas pleinement le levier financier. Dans un contexte de projets de croissance ou d'investissement, l'endettement est une option stratégique viable pour une grande partie du tissu économique.</w:t>
            </w:r>
          </w:p>
        </w:tc>
      </w:tr>
    </w:tbl>
    <w:p w14:paraId="45B7BDBC" w14:textId="77777777" w:rsidR="00053D21" w:rsidRDefault="00053D21">
      <w:pPr>
        <w:spacing w:before="60"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75BDEDFD" w14:textId="77777777">
        <w:tblPrEx>
          <w:tblCellMar>
            <w:top w:w="0" w:type="dxa"/>
            <w:bottom w:w="0" w:type="dxa"/>
          </w:tblCellMar>
        </w:tblPrEx>
        <w:tc>
          <w:tcPr>
            <w:tcW w:w="9600" w:type="dxa"/>
            <w:tcBorders>
              <w:top w:val="single" w:sz="1" w:space="0" w:color="CCCCCC"/>
              <w:left w:val="single" w:sz="20" w:space="0" w:color="2E75B6"/>
              <w:bottom w:val="single" w:sz="1" w:space="0" w:color="CCCCCC"/>
              <w:right w:val="single" w:sz="1" w:space="0" w:color="CCCCCC"/>
            </w:tcBorders>
            <w:shd w:val="clear" w:color="auto" w:fill="EBF3FB"/>
            <w:tcMar>
              <w:top w:w="120" w:type="dxa"/>
              <w:left w:w="220" w:type="dxa"/>
              <w:bottom w:w="120" w:type="dxa"/>
              <w:right w:w="160" w:type="dxa"/>
            </w:tcMar>
          </w:tcPr>
          <w:p w14:paraId="34F6A8FE" w14:textId="77777777" w:rsidR="00053D21" w:rsidRDefault="00000000">
            <w:pPr>
              <w:jc w:val="both"/>
            </w:pPr>
            <w:r>
              <w:rPr>
                <w:color w:val="1A1A2E"/>
                <w:sz w:val="21"/>
                <w:szCs w:val="21"/>
              </w:rPr>
              <w:t>2. La performance opérationnelle (CAF/CA) est totalement décorrélée de la structure financière. C'est le modèle économique, la marge sectorielle et la maîtrise des coûts qui déterminent la capacité à générer du cash — pas le niveau d'endettement ou de fonds propres.</w:t>
            </w:r>
          </w:p>
        </w:tc>
      </w:tr>
    </w:tbl>
    <w:p w14:paraId="125FFB53" w14:textId="77777777" w:rsidR="00053D21" w:rsidRDefault="00053D21">
      <w:pPr>
        <w:spacing w:before="60"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3C8E42E3" w14:textId="77777777">
        <w:tblPrEx>
          <w:tblCellMar>
            <w:top w:w="0" w:type="dxa"/>
            <w:bottom w:w="0" w:type="dxa"/>
          </w:tblCellMar>
        </w:tblPrEx>
        <w:tc>
          <w:tcPr>
            <w:tcW w:w="9600" w:type="dxa"/>
            <w:tcBorders>
              <w:top w:val="single" w:sz="1" w:space="0" w:color="CCCCCC"/>
              <w:left w:val="single" w:sz="20" w:space="0" w:color="2E75B6"/>
              <w:bottom w:val="single" w:sz="1" w:space="0" w:color="CCCCCC"/>
              <w:right w:val="single" w:sz="1" w:space="0" w:color="CCCCCC"/>
            </w:tcBorders>
            <w:shd w:val="clear" w:color="auto" w:fill="EBF3FB"/>
            <w:tcMar>
              <w:top w:w="120" w:type="dxa"/>
              <w:left w:w="220" w:type="dxa"/>
              <w:bottom w:w="120" w:type="dxa"/>
              <w:right w:w="160" w:type="dxa"/>
            </w:tcMar>
          </w:tcPr>
          <w:p w14:paraId="07394EBC" w14:textId="77777777" w:rsidR="00053D21" w:rsidRDefault="00000000">
            <w:pPr>
              <w:jc w:val="both"/>
            </w:pPr>
            <w:r>
              <w:rPr>
                <w:color w:val="1A1A2E"/>
                <w:sz w:val="21"/>
                <w:szCs w:val="21"/>
              </w:rPr>
              <w:t>3. Le BFR est le levier opérationnel le plus actionnable. Contrairement aux ratios de financement, le BFR se pilote : optimiser les délais clients (DSO), étendre les délais fournisseurs (DPO) et réduire les niveaux de stock (DIO) peut libérer des millions de trésorerie sans toucher au bilan.</w:t>
            </w:r>
          </w:p>
        </w:tc>
      </w:tr>
    </w:tbl>
    <w:p w14:paraId="38A8C7F8" w14:textId="77777777" w:rsidR="00053D21" w:rsidRDefault="00053D21">
      <w:pPr>
        <w:spacing w:before="60"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053D21" w14:paraId="7A53CBF3" w14:textId="77777777">
        <w:tblPrEx>
          <w:tblCellMar>
            <w:top w:w="0" w:type="dxa"/>
            <w:bottom w:w="0" w:type="dxa"/>
          </w:tblCellMar>
        </w:tblPrEx>
        <w:tc>
          <w:tcPr>
            <w:tcW w:w="9600" w:type="dxa"/>
            <w:tcBorders>
              <w:top w:val="single" w:sz="1" w:space="0" w:color="CCCCCC"/>
              <w:left w:val="single" w:sz="20" w:space="0" w:color="2E75B6"/>
              <w:bottom w:val="single" w:sz="1" w:space="0" w:color="CCCCCC"/>
              <w:right w:val="single" w:sz="1" w:space="0" w:color="CCCCCC"/>
            </w:tcBorders>
            <w:shd w:val="clear" w:color="auto" w:fill="EBF3FB"/>
            <w:tcMar>
              <w:top w:w="120" w:type="dxa"/>
              <w:left w:w="220" w:type="dxa"/>
              <w:bottom w:w="120" w:type="dxa"/>
              <w:right w:w="160" w:type="dxa"/>
            </w:tcMar>
          </w:tcPr>
          <w:p w14:paraId="3E0C5634" w14:textId="77777777" w:rsidR="00053D21" w:rsidRDefault="00000000">
            <w:pPr>
              <w:jc w:val="both"/>
            </w:pPr>
            <w:r>
              <w:rPr>
                <w:color w:val="1A1A2E"/>
                <w:sz w:val="21"/>
                <w:szCs w:val="21"/>
              </w:rPr>
              <w:t>4. Le type de bilan est un marqueur structurel fort. Bilans S = fragiles sur l'autonomie mais vertueux sur le BFR. Bilans C/K = solides sur le capital mais plus consommateurs de trésorerie opérationnelle. Cette segmentation est directement exploitable pour des stratégies différenciées de financement ou d'accompagnement.</w:t>
            </w:r>
          </w:p>
        </w:tc>
      </w:tr>
    </w:tbl>
    <w:p w14:paraId="7BC418EB" w14:textId="77777777" w:rsidR="00053D21" w:rsidRDefault="00053D21">
      <w:pPr>
        <w:spacing w:before="80" w:after="80"/>
      </w:pPr>
    </w:p>
    <w:p w14:paraId="2CFCE216" w14:textId="77777777" w:rsidR="00053D21" w:rsidRDefault="00000000">
      <w:pPr>
        <w:pStyle w:val="Titre2"/>
      </w:pPr>
      <w:r>
        <w:t>7.2  Tableau de synthèse des corrélations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900"/>
        <w:gridCol w:w="1300"/>
        <w:gridCol w:w="3800"/>
      </w:tblGrid>
      <w:tr w:rsidR="00053D21" w14:paraId="67A933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C7A436D" w14:textId="77777777" w:rsidR="00053D21" w:rsidRDefault="00000000">
            <w:pPr>
              <w:jc w:val="center"/>
            </w:pPr>
            <w:r>
              <w:rPr>
                <w:b/>
                <w:bCs/>
                <w:color w:val="FFFFFF"/>
                <w:sz w:val="20"/>
                <w:szCs w:val="20"/>
              </w:rPr>
              <w:t>Paire d'indicateurs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97999D7" w14:textId="77777777" w:rsidR="00053D21" w:rsidRDefault="00000000">
            <w:pPr>
              <w:jc w:val="center"/>
            </w:pPr>
            <w:r>
              <w:rPr>
                <w:b/>
                <w:bCs/>
                <w:color w:val="FFFFFF"/>
                <w:sz w:val="20"/>
                <w:szCs w:val="20"/>
              </w:rPr>
              <w:t>r</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90FC703" w14:textId="77777777" w:rsidR="00053D21" w:rsidRDefault="00000000">
            <w:pPr>
              <w:jc w:val="center"/>
            </w:pPr>
            <w:r>
              <w:rPr>
                <w:b/>
                <w:bCs/>
                <w:color w:val="FFFFFF"/>
                <w:sz w:val="20"/>
                <w:szCs w:val="20"/>
              </w:rPr>
              <w:t>Intensité</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D52AC4E" w14:textId="77777777" w:rsidR="00053D21" w:rsidRDefault="00000000">
            <w:pPr>
              <w:jc w:val="center"/>
            </w:pPr>
            <w:r>
              <w:rPr>
                <w:b/>
                <w:bCs/>
                <w:color w:val="FFFFFF"/>
                <w:sz w:val="20"/>
                <w:szCs w:val="20"/>
              </w:rPr>
              <w:t>Sens business</w:t>
            </w:r>
          </w:p>
        </w:tc>
      </w:tr>
      <w:tr w:rsidR="00053D21" w14:paraId="6E4917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3B0F26" w14:textId="77777777" w:rsidR="00053D21" w:rsidRDefault="00000000">
            <w:pPr>
              <w:jc w:val="center"/>
            </w:pPr>
            <w:r>
              <w:rPr>
                <w:color w:val="222222"/>
                <w:sz w:val="20"/>
                <w:szCs w:val="20"/>
              </w:rPr>
              <w:lastRenderedPageBreak/>
              <w:t>Autonomie fin. ↔ Taux endett.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C11A25" w14:textId="77777777" w:rsidR="00053D21" w:rsidRDefault="00000000">
            <w:pPr>
              <w:jc w:val="center"/>
            </w:pPr>
            <w:r>
              <w:rPr>
                <w:color w:val="222222"/>
                <w:sz w:val="20"/>
                <w:szCs w:val="20"/>
              </w:rPr>
              <w:t>+0.623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14C226" w14:textId="77777777" w:rsidR="00053D21" w:rsidRDefault="00000000">
            <w:pPr>
              <w:jc w:val="center"/>
            </w:pPr>
            <w:r>
              <w:rPr>
                <w:color w:val="222222"/>
                <w:sz w:val="20"/>
                <w:szCs w:val="20"/>
              </w:rPr>
              <w:t>Forte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691B4D" w14:textId="77777777" w:rsidR="00053D21" w:rsidRDefault="00000000">
            <w:pPr>
              <w:jc w:val="center"/>
            </w:pPr>
            <w:r>
              <w:rPr>
                <w:color w:val="222222"/>
                <w:sz w:val="20"/>
                <w:szCs w:val="20"/>
              </w:rPr>
              <w:t>Même logique : structure de capital</w:t>
            </w:r>
          </w:p>
        </w:tc>
      </w:tr>
      <w:tr w:rsidR="00053D21" w14:paraId="056EF2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050D56D5" w14:textId="77777777" w:rsidR="00053D21" w:rsidRDefault="00000000">
            <w:pPr>
              <w:jc w:val="center"/>
            </w:pPr>
            <w:r>
              <w:rPr>
                <w:color w:val="222222"/>
                <w:sz w:val="20"/>
                <w:szCs w:val="20"/>
              </w:rPr>
              <w:t>BFR/CA ↔ CAF/CA</w:t>
            </w:r>
          </w:p>
        </w:tc>
        <w:tc>
          <w:tcPr>
            <w:tcW w:w="9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6BC8CA92" w14:textId="77777777" w:rsidR="00053D21" w:rsidRDefault="00000000">
            <w:pPr>
              <w:jc w:val="center"/>
            </w:pPr>
            <w:r>
              <w:rPr>
                <w:color w:val="222222"/>
                <w:sz w:val="20"/>
                <w:szCs w:val="20"/>
              </w:rPr>
              <w:t>+0.130</w:t>
            </w:r>
          </w:p>
        </w:tc>
        <w:tc>
          <w:tcPr>
            <w:tcW w:w="13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11102ECA" w14:textId="77777777" w:rsidR="00053D21" w:rsidRDefault="00000000">
            <w:pPr>
              <w:jc w:val="center"/>
            </w:pPr>
            <w:r>
              <w:rPr>
                <w:color w:val="222222"/>
                <w:sz w:val="20"/>
                <w:szCs w:val="20"/>
              </w:rPr>
              <w:t>Faible</w:t>
            </w:r>
          </w:p>
        </w:tc>
        <w:tc>
          <w:tcPr>
            <w:tcW w:w="38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34DFB6A7" w14:textId="77777777" w:rsidR="00053D21" w:rsidRDefault="00000000">
            <w:pPr>
              <w:jc w:val="center"/>
            </w:pPr>
            <w:r>
              <w:rPr>
                <w:color w:val="222222"/>
                <w:sz w:val="20"/>
                <w:szCs w:val="20"/>
              </w:rPr>
              <w:t>Volume d'activité commun</w:t>
            </w:r>
          </w:p>
        </w:tc>
      </w:tr>
      <w:tr w:rsidR="00053D21" w14:paraId="3C77EB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4C483E" w14:textId="77777777" w:rsidR="00053D21" w:rsidRDefault="00000000">
            <w:pPr>
              <w:jc w:val="center"/>
            </w:pPr>
            <w:r>
              <w:rPr>
                <w:color w:val="222222"/>
                <w:sz w:val="20"/>
                <w:szCs w:val="20"/>
              </w:rPr>
              <w:t>CAF/CA ↔ Taux endett.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7C1AFC" w14:textId="77777777" w:rsidR="00053D21" w:rsidRDefault="00000000">
            <w:pPr>
              <w:jc w:val="center"/>
            </w:pPr>
            <w:r>
              <w:rPr>
                <w:color w:val="222222"/>
                <w:sz w:val="20"/>
                <w:szCs w:val="20"/>
              </w:rPr>
              <w:t>+0.013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2412AE" w14:textId="77777777" w:rsidR="00053D21" w:rsidRDefault="00000000">
            <w:pPr>
              <w:jc w:val="center"/>
            </w:pPr>
            <w:r>
              <w:rPr>
                <w:color w:val="222222"/>
                <w:sz w:val="20"/>
                <w:szCs w:val="20"/>
              </w:rPr>
              <w:t>Nulle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ED94F3" w14:textId="77777777" w:rsidR="00053D21" w:rsidRDefault="00000000">
            <w:pPr>
              <w:jc w:val="center"/>
            </w:pPr>
            <w:r>
              <w:rPr>
                <w:color w:val="222222"/>
                <w:sz w:val="20"/>
                <w:szCs w:val="20"/>
              </w:rPr>
              <w:t>Indépendance totale</w:t>
            </w:r>
          </w:p>
        </w:tc>
      </w:tr>
      <w:tr w:rsidR="00053D21" w14:paraId="39D6B62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5F9DA974" w14:textId="77777777" w:rsidR="00053D21" w:rsidRDefault="00000000">
            <w:pPr>
              <w:jc w:val="center"/>
            </w:pPr>
            <w:r>
              <w:rPr>
                <w:color w:val="222222"/>
                <w:sz w:val="20"/>
                <w:szCs w:val="20"/>
              </w:rPr>
              <w:t>CAF/CA ↔ Autonomie fin.</w:t>
            </w:r>
          </w:p>
        </w:tc>
        <w:tc>
          <w:tcPr>
            <w:tcW w:w="9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3E7AB7C2" w14:textId="77777777" w:rsidR="00053D21" w:rsidRDefault="00000000">
            <w:pPr>
              <w:jc w:val="center"/>
            </w:pPr>
            <w:r>
              <w:rPr>
                <w:color w:val="222222"/>
                <w:sz w:val="20"/>
                <w:szCs w:val="20"/>
              </w:rPr>
              <w:t>–0.001</w:t>
            </w:r>
          </w:p>
        </w:tc>
        <w:tc>
          <w:tcPr>
            <w:tcW w:w="13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04E8678B" w14:textId="77777777" w:rsidR="00053D21" w:rsidRDefault="00000000">
            <w:pPr>
              <w:jc w:val="center"/>
            </w:pPr>
            <w:r>
              <w:rPr>
                <w:color w:val="222222"/>
                <w:sz w:val="20"/>
                <w:szCs w:val="20"/>
              </w:rPr>
              <w:t>Nulle</w:t>
            </w:r>
          </w:p>
        </w:tc>
        <w:tc>
          <w:tcPr>
            <w:tcW w:w="38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62D8FFB5" w14:textId="77777777" w:rsidR="00053D21" w:rsidRDefault="00000000">
            <w:pPr>
              <w:jc w:val="center"/>
            </w:pPr>
            <w:r>
              <w:rPr>
                <w:color w:val="222222"/>
                <w:sz w:val="20"/>
                <w:szCs w:val="20"/>
              </w:rPr>
              <w:t>Solidité ≠ Performance</w:t>
            </w:r>
          </w:p>
        </w:tc>
      </w:tr>
      <w:tr w:rsidR="00053D21" w14:paraId="581E809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1678C9" w14:textId="77777777" w:rsidR="00053D21" w:rsidRDefault="00000000">
            <w:pPr>
              <w:jc w:val="center"/>
            </w:pPr>
            <w:r>
              <w:rPr>
                <w:color w:val="222222"/>
                <w:sz w:val="20"/>
                <w:szCs w:val="20"/>
              </w:rPr>
              <w:t>BFR/CA ↔ Taux endett.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24C4EF" w14:textId="77777777" w:rsidR="00053D21" w:rsidRDefault="00000000">
            <w:pPr>
              <w:jc w:val="center"/>
            </w:pPr>
            <w:r>
              <w:rPr>
                <w:color w:val="222222"/>
                <w:sz w:val="20"/>
                <w:szCs w:val="20"/>
              </w:rPr>
              <w:t>–0.000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A3DFDD" w14:textId="77777777" w:rsidR="00053D21" w:rsidRDefault="00000000">
            <w:pPr>
              <w:jc w:val="center"/>
            </w:pPr>
            <w:r>
              <w:rPr>
                <w:color w:val="222222"/>
                <w:sz w:val="20"/>
                <w:szCs w:val="20"/>
              </w:rPr>
              <w:t>Nulle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CFEF5D" w14:textId="77777777" w:rsidR="00053D21" w:rsidRDefault="00000000">
            <w:pPr>
              <w:jc w:val="center"/>
            </w:pPr>
            <w:r>
              <w:rPr>
                <w:color w:val="222222"/>
                <w:sz w:val="20"/>
                <w:szCs w:val="20"/>
              </w:rPr>
              <w:t>Cycle ≠ Financement</w:t>
            </w:r>
          </w:p>
        </w:tc>
      </w:tr>
      <w:tr w:rsidR="00053D21" w14:paraId="3C12C3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2538682B" w14:textId="77777777" w:rsidR="00053D21" w:rsidRDefault="00000000">
            <w:pPr>
              <w:jc w:val="center"/>
            </w:pPr>
            <w:r>
              <w:rPr>
                <w:color w:val="222222"/>
                <w:sz w:val="20"/>
                <w:szCs w:val="20"/>
              </w:rPr>
              <w:t>BFR/CA ↔ Autonomie fin.</w:t>
            </w:r>
          </w:p>
        </w:tc>
        <w:tc>
          <w:tcPr>
            <w:tcW w:w="9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0000F365" w14:textId="77777777" w:rsidR="00053D21" w:rsidRDefault="00000000">
            <w:pPr>
              <w:jc w:val="center"/>
            </w:pPr>
            <w:r>
              <w:rPr>
                <w:color w:val="222222"/>
                <w:sz w:val="20"/>
                <w:szCs w:val="20"/>
              </w:rPr>
              <w:t>≈ 0</w:t>
            </w:r>
          </w:p>
        </w:tc>
        <w:tc>
          <w:tcPr>
            <w:tcW w:w="13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3F861EE4" w14:textId="77777777" w:rsidR="00053D21" w:rsidRDefault="00000000">
            <w:pPr>
              <w:jc w:val="center"/>
            </w:pPr>
            <w:r>
              <w:rPr>
                <w:color w:val="222222"/>
                <w:sz w:val="20"/>
                <w:szCs w:val="20"/>
              </w:rPr>
              <w:t>Nulle</w:t>
            </w:r>
          </w:p>
        </w:tc>
        <w:tc>
          <w:tcPr>
            <w:tcW w:w="38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175BE953" w14:textId="77777777" w:rsidR="00053D21" w:rsidRDefault="00000000">
            <w:pPr>
              <w:jc w:val="center"/>
            </w:pPr>
            <w:r>
              <w:rPr>
                <w:color w:val="222222"/>
                <w:sz w:val="20"/>
                <w:szCs w:val="20"/>
              </w:rPr>
              <w:t>Structure bilan ≠ Cycle</w:t>
            </w:r>
          </w:p>
        </w:tc>
      </w:tr>
    </w:tbl>
    <w:p w14:paraId="36F2824F" w14:textId="77777777" w:rsidR="00053D21" w:rsidRDefault="00000000">
      <w:r>
        <w:br w:type="page"/>
      </w:r>
    </w:p>
    <w:p w14:paraId="107DE12D" w14:textId="77777777" w:rsidR="00053D21" w:rsidRDefault="00000000">
      <w:pPr>
        <w:pStyle w:val="Titre1"/>
        <w:pBdr>
          <w:bottom w:val="single" w:sz="6" w:space="6" w:color="1F3864"/>
        </w:pBdr>
      </w:pPr>
      <w:r>
        <w:lastRenderedPageBreak/>
        <w:t>8. Perspectives et axes d'analyses futurs</w:t>
      </w:r>
    </w:p>
    <w:p w14:paraId="483431F8" w14:textId="77777777" w:rsidR="00053D21" w:rsidRDefault="00000000">
      <w:pPr>
        <w:spacing w:before="70" w:after="70"/>
        <w:jc w:val="both"/>
      </w:pPr>
      <w:r>
        <w:rPr>
          <w:color w:val="222222"/>
        </w:rPr>
        <w:t>Ce rapport constitue une première exploration solide du dataset. Les résultats ouvrent de nombreuses pistes à fort potentiel business. Les variables non encore exploitées du dataset offrent un programme d'analyse riche et directement valorisable.</w:t>
      </w:r>
    </w:p>
    <w:p w14:paraId="156DE0E5" w14:textId="77777777" w:rsidR="00053D21" w:rsidRDefault="00000000">
      <w:pPr>
        <w:spacing w:before="100" w:after="40"/>
        <w:jc w:val="center"/>
      </w:pPr>
      <w:r>
        <w:rPr>
          <w:noProof/>
        </w:rPr>
        <w:drawing>
          <wp:inline distT="0" distB="0" distL="0" distR="0" wp14:anchorId="1E53939B" wp14:editId="07526D24">
            <wp:extent cx="3810000" cy="3048000"/>
            <wp:effectExtent l="0" t="0" r="0" b="0"/>
            <wp:docPr id="539356419" name="Fig. 12 — Variables du dataset non encore exploitées (axes d'analyse futurs)" descr="Fig. 12 — Variables du dataset non encore exploitées (axes d'analyse futurs)" title="Fig. 12 — Variables du dataset non encore exploitées (axes d'analyse fut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3048000"/>
                    </a:xfrm>
                    <a:prstGeom prst="rect">
                      <a:avLst/>
                    </a:prstGeom>
                  </pic:spPr>
                </pic:pic>
              </a:graphicData>
            </a:graphic>
          </wp:inline>
        </w:drawing>
      </w:r>
    </w:p>
    <w:p w14:paraId="335976F3" w14:textId="77777777" w:rsidR="00053D21" w:rsidRDefault="00000000">
      <w:pPr>
        <w:spacing w:after="180"/>
        <w:jc w:val="center"/>
      </w:pPr>
      <w:r>
        <w:rPr>
          <w:color w:val="777777"/>
          <w:sz w:val="18"/>
          <w:szCs w:val="18"/>
        </w:rPr>
        <w:t>Fig. 12 — Variables du dataset non encore exploitées (axes d'analyse futurs)</w:t>
      </w:r>
    </w:p>
    <w:p w14:paraId="0A35263E" w14:textId="77777777" w:rsidR="00053D21" w:rsidRDefault="00053D21">
      <w:pPr>
        <w:spacing w:before="80" w:after="80"/>
      </w:pPr>
    </w:p>
    <w:p w14:paraId="3408C375" w14:textId="77777777" w:rsidR="00053D21" w:rsidRDefault="00000000">
      <w:pPr>
        <w:pStyle w:val="Titre2"/>
      </w:pPr>
      <w:r>
        <w:t>8.1  Analyses immédiatement exploitables</w:t>
      </w:r>
    </w:p>
    <w:p w14:paraId="4F3F3C6A" w14:textId="77777777" w:rsidR="00053D21" w:rsidRDefault="00000000">
      <w:pPr>
        <w:pStyle w:val="Titre3"/>
      </w:pPr>
      <w:r>
        <w:t>A — Scoring de santé financière globale</w:t>
      </w:r>
    </w:p>
    <w:p w14:paraId="47FD9157" w14:textId="77777777" w:rsidR="00053D21" w:rsidRDefault="00000000">
      <w:pPr>
        <w:spacing w:before="70" w:after="70"/>
        <w:jc w:val="both"/>
      </w:pPr>
      <w:r>
        <w:rPr>
          <w:color w:val="222222"/>
        </w:rPr>
        <w:t>Construire un score composite combinant les 6 dimensions disponibles : Taux_d_endettement, Autonomie_financiere, CAF_sur_CA, Marge_EBE, Ratio_de_liquidite, Couverture_des_interets. Ce score permettrait de classer chaque entreprise sur un spectre de 1 à 10 et de segmenter le portefeuille en profils : "Entreprise solide", "Entreprise fragile", "Entreprise en tension", "Entreprise à risque". Application directe : décisions de crédit, pricing du risque, priorisation des actions commerciales.</w:t>
      </w:r>
    </w:p>
    <w:p w14:paraId="65BD807C" w14:textId="77777777" w:rsidR="00053D21" w:rsidRDefault="00053D21">
      <w:pPr>
        <w:spacing w:before="60" w:after="80"/>
      </w:pPr>
    </w:p>
    <w:p w14:paraId="31F6F2A2" w14:textId="77777777" w:rsidR="00053D21" w:rsidRDefault="00000000">
      <w:pPr>
        <w:pStyle w:val="Titre3"/>
      </w:pPr>
      <w:r>
        <w:t>B — Analyse de la rentabilité multi-niveaux</w:t>
      </w:r>
    </w:p>
    <w:p w14:paraId="69C705AB" w14:textId="77777777" w:rsidR="00053D21" w:rsidRDefault="00000000">
      <w:pPr>
        <w:spacing w:before="70" w:after="70"/>
        <w:jc w:val="both"/>
      </w:pPr>
      <w:r>
        <w:rPr>
          <w:color w:val="222222"/>
        </w:rPr>
        <w:t>Le dataset contient 4 indicateurs de marge complémentaires : Marge_brute, EBE, EBIT, Resultat_net. L'analyse de leur évolution conjointe par type de bilan et par année permet d'identifier à quel niveau de la chaîne de valeur la valeur est créée ou détruite. Question clé : les entreprises perdent-elles de la marge au niveau commercial (Marge_brute), opérationnel (EBE) ou financier (passage EBIT → Résultat_net) ?</w:t>
      </w:r>
    </w:p>
    <w:p w14:paraId="133162A4" w14:textId="77777777" w:rsidR="00053D21" w:rsidRDefault="00053D21">
      <w:pPr>
        <w:spacing w:before="60" w:after="80"/>
      </w:pPr>
    </w:p>
    <w:p w14:paraId="68A1E82B" w14:textId="77777777" w:rsidR="00053D21" w:rsidRDefault="00000000">
      <w:pPr>
        <w:pStyle w:val="Titre3"/>
      </w:pPr>
      <w:r>
        <w:t>C — Analyse de la couverture des intérêts (Couverture_des_interets)</w:t>
      </w:r>
    </w:p>
    <w:p w14:paraId="2654BB79" w14:textId="77777777" w:rsidR="00053D21" w:rsidRDefault="00000000">
      <w:pPr>
        <w:spacing w:before="70" w:after="70"/>
        <w:jc w:val="both"/>
      </w:pPr>
      <w:r>
        <w:rPr>
          <w:color w:val="222222"/>
        </w:rPr>
        <w:t>Ce ratio (EBIT / Charges financières) est l'un des plus utilisés par les banques dans leurs modèles de scoring. Une analyse de sa distribution par type de bilan et par niveau d'endettement permettrait d'identifier les entreprises à risque de défaillance sur leur dette et de construire une alerte précoce (early warning) pour les banquiers partenaires.</w:t>
      </w:r>
    </w:p>
    <w:p w14:paraId="1BA8E27B" w14:textId="77777777" w:rsidR="00053D21" w:rsidRDefault="00053D21">
      <w:pPr>
        <w:spacing w:before="60" w:after="80"/>
      </w:pPr>
    </w:p>
    <w:p w14:paraId="39055423" w14:textId="77777777" w:rsidR="00053D21" w:rsidRDefault="00000000">
      <w:pPr>
        <w:pStyle w:val="Titre3"/>
      </w:pPr>
      <w:r>
        <w:t>D — Analyse de la capacité de remboursement</w:t>
      </w:r>
    </w:p>
    <w:p w14:paraId="1C79992F" w14:textId="77777777" w:rsidR="00053D21" w:rsidRDefault="00000000">
      <w:pPr>
        <w:spacing w:before="70" w:after="70"/>
        <w:jc w:val="both"/>
      </w:pPr>
      <w:r>
        <w:rPr>
          <w:color w:val="222222"/>
        </w:rPr>
        <w:lastRenderedPageBreak/>
        <w:t>Capacite_de_remboursement (Dettes financières nettes / CAF) mesure en combien d'années une entreprise pourrait rembourser ses dettes grâce à son cash flow. L'analyse de cet indicateur croisé avec le Taux_d_endettement et la Couverture_des_interets constitue un tableau de bord complet du risque de crédit.</w:t>
      </w:r>
    </w:p>
    <w:p w14:paraId="7FF66B13" w14:textId="77777777" w:rsidR="00053D21" w:rsidRDefault="00053D21">
      <w:pPr>
        <w:spacing w:before="60" w:after="80"/>
      </w:pPr>
    </w:p>
    <w:p w14:paraId="2B76B14A" w14:textId="77777777" w:rsidR="00053D21" w:rsidRDefault="00000000">
      <w:pPr>
        <w:pStyle w:val="Titre3"/>
      </w:pPr>
      <w:r>
        <w:t>E — Analyse du ratio de liquidité</w:t>
      </w:r>
    </w:p>
    <w:p w14:paraId="037C2141" w14:textId="77777777" w:rsidR="00053D21" w:rsidRDefault="00000000">
      <w:pPr>
        <w:spacing w:before="70" w:after="70"/>
        <w:jc w:val="both"/>
      </w:pPr>
      <w:r>
        <w:rPr>
          <w:color w:val="222222"/>
        </w:rPr>
        <w:t>Ratio_de_liquidite (Actifs courants / Passifs courants) mesure la capacité à honorer les dettes à court terme. Sa corrélation avec le BFR/CA permettrait d'identifier les entreprises sous stress de liquidité immédiate — information critique pour les directions financières et les credit managers.</w:t>
      </w:r>
    </w:p>
    <w:p w14:paraId="4C146506" w14:textId="77777777" w:rsidR="00053D21" w:rsidRDefault="00053D21">
      <w:pPr>
        <w:spacing w:before="80" w:after="80"/>
      </w:pPr>
    </w:p>
    <w:p w14:paraId="457469AD" w14:textId="77777777" w:rsidR="00053D21" w:rsidRDefault="00000000">
      <w:pPr>
        <w:pStyle w:val="Titre2"/>
      </w:pPr>
      <w:r>
        <w:t>8.2  Analyses de niveau supérieur (Medium term)</w:t>
      </w:r>
    </w:p>
    <w:p w14:paraId="1E06EB2A" w14:textId="77777777" w:rsidR="00053D21" w:rsidRDefault="00000000">
      <w:pPr>
        <w:pStyle w:val="Paragraphedeliste"/>
        <w:numPr>
          <w:ilvl w:val="0"/>
          <w:numId w:val="2"/>
        </w:numPr>
        <w:spacing w:before="40" w:after="40"/>
      </w:pPr>
      <w:r>
        <w:rPr>
          <w:color w:val="333333"/>
          <w:sz w:val="21"/>
          <w:szCs w:val="21"/>
        </w:rPr>
        <w:t>Modélisation prédictive : entraîner un modèle de classification (Random Forest, XGBoost) pour prédire la défaillance ou le passage en bilan négatif à partir des ratios courants</w:t>
      </w:r>
    </w:p>
    <w:p w14:paraId="0A787185" w14:textId="77777777" w:rsidR="00053D21" w:rsidRDefault="00000000">
      <w:pPr>
        <w:pStyle w:val="Paragraphedeliste"/>
        <w:numPr>
          <w:ilvl w:val="0"/>
          <w:numId w:val="2"/>
        </w:numPr>
        <w:spacing w:before="40" w:after="40"/>
      </w:pPr>
      <w:r>
        <w:rPr>
          <w:color w:val="333333"/>
          <w:sz w:val="21"/>
          <w:szCs w:val="21"/>
        </w:rPr>
        <w:t>Clustering non supervisé (k-means / DBSCAN) : identifier des typologies d'entreprises homogènes sur l'ensemble des 19 ratios — potentiellement 4 à 6 archétypes financiers</w:t>
      </w:r>
    </w:p>
    <w:p w14:paraId="49A7A4D4" w14:textId="77777777" w:rsidR="00053D21" w:rsidRDefault="00000000">
      <w:pPr>
        <w:pStyle w:val="Paragraphedeliste"/>
        <w:numPr>
          <w:ilvl w:val="0"/>
          <w:numId w:val="2"/>
        </w:numPr>
        <w:spacing w:before="40" w:after="40"/>
      </w:pPr>
      <w:r>
        <w:rPr>
          <w:color w:val="333333"/>
          <w:sz w:val="21"/>
          <w:szCs w:val="21"/>
        </w:rPr>
        <w:t>Analyse sectorielle par code NAF : les patterns financiers varient fortement selon les secteurs (BTP, industrie, services, commerce) — une segmentation sectorielle multiplierait la valeur analytique</w:t>
      </w:r>
    </w:p>
    <w:p w14:paraId="3F6B249E" w14:textId="77777777" w:rsidR="00053D21" w:rsidRDefault="00000000">
      <w:pPr>
        <w:pStyle w:val="Paragraphedeliste"/>
        <w:numPr>
          <w:ilvl w:val="0"/>
          <w:numId w:val="2"/>
        </w:numPr>
        <w:spacing w:before="40" w:after="40"/>
      </w:pPr>
      <w:r>
        <w:rPr>
          <w:color w:val="333333"/>
          <w:sz w:val="21"/>
          <w:szCs w:val="21"/>
        </w:rPr>
        <w:t>Analyse temporelle COVID / inflation : comparer les trajectoires 2019→2020 (COVID) et 2021→2023 (inflation + hausse des taux) pour quantifier l'impact macroéconomique sur chaque type d'entreprise</w:t>
      </w:r>
    </w:p>
    <w:p w14:paraId="0C68A5CE" w14:textId="77777777" w:rsidR="00053D21" w:rsidRDefault="00000000">
      <w:pPr>
        <w:pStyle w:val="Paragraphedeliste"/>
        <w:numPr>
          <w:ilvl w:val="0"/>
          <w:numId w:val="2"/>
        </w:numPr>
        <w:spacing w:before="40" w:after="40"/>
      </w:pPr>
      <w:r>
        <w:rPr>
          <w:color w:val="333333"/>
          <w:sz w:val="21"/>
          <w:szCs w:val="21"/>
        </w:rPr>
        <w:t>Dashboard interactif Power BI : transformer ces analyses en tableaux de bord dynamiques pour permettre aux dirigeants de monitorer leur position relative dans le secteur en temps réel</w:t>
      </w:r>
    </w:p>
    <w:p w14:paraId="25AD9299" w14:textId="77777777" w:rsidR="00053D21" w:rsidRDefault="00053D21">
      <w:pPr>
        <w:spacing w:before="80" w:after="80"/>
      </w:pPr>
    </w:p>
    <w:p w14:paraId="0EDDCB5B" w14:textId="77777777" w:rsidR="00053D21" w:rsidRDefault="00000000">
      <w:pPr>
        <w:pStyle w:val="Titre2"/>
      </w:pPr>
      <w:r>
        <w:t>8.3  Valeur business des axes futurs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4"/>
        <w:gridCol w:w="2971"/>
        <w:gridCol w:w="2378"/>
        <w:gridCol w:w="1827"/>
      </w:tblGrid>
      <w:tr w:rsidR="00053D21" w14:paraId="618EFA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DCF1861" w14:textId="77777777" w:rsidR="00053D21" w:rsidRDefault="00000000">
            <w:pPr>
              <w:jc w:val="center"/>
            </w:pPr>
            <w:r>
              <w:rPr>
                <w:b/>
                <w:bCs/>
                <w:color w:val="FFFFFF"/>
                <w:sz w:val="20"/>
                <w:szCs w:val="20"/>
              </w:rPr>
              <w:t>Axe d'analyse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CE73587" w14:textId="77777777" w:rsidR="00053D21" w:rsidRDefault="00000000">
            <w:pPr>
              <w:jc w:val="center"/>
            </w:pPr>
            <w:r>
              <w:rPr>
                <w:b/>
                <w:bCs/>
                <w:color w:val="FFFFFF"/>
                <w:sz w:val="20"/>
                <w:szCs w:val="20"/>
              </w:rPr>
              <w:t>Variables impliquées</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CFD524A" w14:textId="77777777" w:rsidR="00053D21" w:rsidRDefault="00000000">
            <w:pPr>
              <w:jc w:val="center"/>
            </w:pPr>
            <w:r>
              <w:rPr>
                <w:b/>
                <w:bCs/>
                <w:color w:val="FFFFFF"/>
                <w:sz w:val="20"/>
                <w:szCs w:val="20"/>
              </w:rPr>
              <w:t>Bénéficiaire principal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D4A96FB" w14:textId="77777777" w:rsidR="00053D21" w:rsidRDefault="00000000">
            <w:pPr>
              <w:jc w:val="center"/>
            </w:pPr>
            <w:r>
              <w:rPr>
                <w:b/>
                <w:bCs/>
                <w:color w:val="FFFFFF"/>
                <w:sz w:val="20"/>
                <w:szCs w:val="20"/>
              </w:rPr>
              <w:t>Priorité</w:t>
            </w:r>
          </w:p>
        </w:tc>
      </w:tr>
      <w:tr w:rsidR="00053D21" w14:paraId="2EE962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2F6F5B" w14:textId="77777777" w:rsidR="00053D21" w:rsidRDefault="00000000">
            <w:pPr>
              <w:jc w:val="center"/>
            </w:pPr>
            <w:r>
              <w:rPr>
                <w:color w:val="222222"/>
                <w:sz w:val="20"/>
                <w:szCs w:val="20"/>
              </w:rPr>
              <w:t>Scoring santé financière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CFD85D" w14:textId="77777777" w:rsidR="00053D21" w:rsidRDefault="00000000">
            <w:pPr>
              <w:jc w:val="center"/>
            </w:pPr>
            <w:r>
              <w:rPr>
                <w:color w:val="222222"/>
                <w:sz w:val="20"/>
                <w:szCs w:val="20"/>
              </w:rPr>
              <w:t>6 ratios + type_bilan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AC4D9E" w14:textId="77777777" w:rsidR="00053D21" w:rsidRDefault="00000000">
            <w:pPr>
              <w:jc w:val="center"/>
            </w:pPr>
            <w:r>
              <w:rPr>
                <w:color w:val="222222"/>
                <w:sz w:val="20"/>
                <w:szCs w:val="20"/>
              </w:rPr>
              <w:t>Direction financière / Banques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2A541A" w14:textId="77777777" w:rsidR="00053D21" w:rsidRDefault="00000000">
            <w:pPr>
              <w:jc w:val="center"/>
            </w:pPr>
            <w:r>
              <w:rPr>
                <w:color w:val="222222"/>
                <w:sz w:val="20"/>
                <w:szCs w:val="20"/>
              </w:rPr>
              <w:t>Haute</w:t>
            </w:r>
          </w:p>
        </w:tc>
      </w:tr>
      <w:tr w:rsidR="00053D21" w14:paraId="57BEDA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4A61A43E" w14:textId="77777777" w:rsidR="00053D21" w:rsidRDefault="00000000">
            <w:pPr>
              <w:jc w:val="center"/>
            </w:pPr>
            <w:r>
              <w:rPr>
                <w:color w:val="222222"/>
                <w:sz w:val="20"/>
                <w:szCs w:val="20"/>
              </w:rPr>
              <w:t>Analyse rentabilité niveaux</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1EE6BD3C" w14:textId="77777777" w:rsidR="00053D21" w:rsidRDefault="00000000">
            <w:pPr>
              <w:jc w:val="center"/>
            </w:pPr>
            <w:r>
              <w:rPr>
                <w:color w:val="222222"/>
                <w:sz w:val="20"/>
                <w:szCs w:val="20"/>
              </w:rPr>
              <w:t>Marge_brute, EBE, EBIT, RN</w:t>
            </w:r>
          </w:p>
        </w:tc>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14F6710E" w14:textId="77777777" w:rsidR="00053D21" w:rsidRDefault="00000000">
            <w:pPr>
              <w:jc w:val="center"/>
            </w:pPr>
            <w:r>
              <w:rPr>
                <w:color w:val="222222"/>
                <w:sz w:val="20"/>
                <w:szCs w:val="20"/>
              </w:rPr>
              <w:t>Direction générale / DAF</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4D5BD9C9" w14:textId="77777777" w:rsidR="00053D21" w:rsidRDefault="00000000">
            <w:pPr>
              <w:jc w:val="center"/>
            </w:pPr>
            <w:r>
              <w:rPr>
                <w:color w:val="222222"/>
                <w:sz w:val="20"/>
                <w:szCs w:val="20"/>
              </w:rPr>
              <w:t>Haute</w:t>
            </w:r>
          </w:p>
        </w:tc>
      </w:tr>
      <w:tr w:rsidR="00053D21" w14:paraId="139E87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D4EC9C" w14:textId="77777777" w:rsidR="00053D21" w:rsidRDefault="00000000">
            <w:pPr>
              <w:jc w:val="center"/>
            </w:pPr>
            <w:r>
              <w:rPr>
                <w:color w:val="222222"/>
                <w:sz w:val="20"/>
                <w:szCs w:val="20"/>
              </w:rPr>
              <w:t>Couverture intérêts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85EC06" w14:textId="77777777" w:rsidR="00053D21" w:rsidRDefault="00000000">
            <w:pPr>
              <w:jc w:val="center"/>
            </w:pPr>
            <w:r>
              <w:rPr>
                <w:color w:val="222222"/>
                <w:sz w:val="20"/>
                <w:szCs w:val="20"/>
              </w:rPr>
              <w:t>Couverture_des_interets, EBIT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BC635E" w14:textId="77777777" w:rsidR="00053D21" w:rsidRDefault="00000000">
            <w:pPr>
              <w:jc w:val="center"/>
            </w:pPr>
            <w:r>
              <w:rPr>
                <w:color w:val="222222"/>
                <w:sz w:val="20"/>
                <w:szCs w:val="20"/>
              </w:rPr>
              <w:t>Credit managers / Banques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3CE80A" w14:textId="77777777" w:rsidR="00053D21" w:rsidRDefault="00000000">
            <w:pPr>
              <w:jc w:val="center"/>
            </w:pPr>
            <w:r>
              <w:rPr>
                <w:color w:val="222222"/>
                <w:sz w:val="20"/>
                <w:szCs w:val="20"/>
              </w:rPr>
              <w:t>Haute</w:t>
            </w:r>
          </w:p>
        </w:tc>
      </w:tr>
      <w:tr w:rsidR="00053D21" w14:paraId="7E0989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43CB7CFD" w14:textId="77777777" w:rsidR="00053D21" w:rsidRDefault="00000000">
            <w:pPr>
              <w:jc w:val="center"/>
            </w:pPr>
            <w:r>
              <w:rPr>
                <w:color w:val="222222"/>
                <w:sz w:val="20"/>
                <w:szCs w:val="20"/>
              </w:rPr>
              <w:t>Capacité remboursement</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7086C961" w14:textId="77777777" w:rsidR="00053D21" w:rsidRDefault="00000000">
            <w:pPr>
              <w:jc w:val="center"/>
            </w:pPr>
            <w:r>
              <w:rPr>
                <w:color w:val="222222"/>
                <w:sz w:val="20"/>
                <w:szCs w:val="20"/>
              </w:rPr>
              <w:t>Capacite_de_remboursement, CAF</w:t>
            </w:r>
          </w:p>
        </w:tc>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7DE87569" w14:textId="77777777" w:rsidR="00053D21" w:rsidRDefault="00000000">
            <w:pPr>
              <w:jc w:val="center"/>
            </w:pPr>
            <w:r>
              <w:rPr>
                <w:color w:val="222222"/>
                <w:sz w:val="20"/>
                <w:szCs w:val="20"/>
              </w:rPr>
              <w:t>Banques / Direction financière</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59ED41FE" w14:textId="77777777" w:rsidR="00053D21" w:rsidRDefault="00000000">
            <w:pPr>
              <w:jc w:val="center"/>
            </w:pPr>
            <w:r>
              <w:rPr>
                <w:color w:val="222222"/>
                <w:sz w:val="20"/>
                <w:szCs w:val="20"/>
              </w:rPr>
              <w:t>Moyenne</w:t>
            </w:r>
          </w:p>
        </w:tc>
      </w:tr>
      <w:tr w:rsidR="00053D21" w14:paraId="188022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DBF1D8" w14:textId="77777777" w:rsidR="00053D21" w:rsidRDefault="00000000">
            <w:pPr>
              <w:jc w:val="center"/>
            </w:pPr>
            <w:r>
              <w:rPr>
                <w:color w:val="222222"/>
                <w:sz w:val="20"/>
                <w:szCs w:val="20"/>
              </w:rPr>
              <w:t>Ratio liquidité + BFR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D9CCCC" w14:textId="77777777" w:rsidR="00053D21" w:rsidRDefault="00000000">
            <w:pPr>
              <w:jc w:val="center"/>
            </w:pPr>
            <w:r>
              <w:rPr>
                <w:color w:val="222222"/>
                <w:sz w:val="20"/>
                <w:szCs w:val="20"/>
              </w:rPr>
              <w:t>Ratio_de_liquidite, BFR/CA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92AC70" w14:textId="77777777" w:rsidR="00053D21" w:rsidRDefault="00000000">
            <w:pPr>
              <w:jc w:val="center"/>
            </w:pPr>
            <w:r>
              <w:rPr>
                <w:color w:val="222222"/>
                <w:sz w:val="20"/>
                <w:szCs w:val="20"/>
              </w:rPr>
              <w:t>DAF / Trésoriers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EE27F8" w14:textId="77777777" w:rsidR="00053D21" w:rsidRDefault="00000000">
            <w:pPr>
              <w:jc w:val="center"/>
            </w:pPr>
            <w:r>
              <w:rPr>
                <w:color w:val="222222"/>
                <w:sz w:val="20"/>
                <w:szCs w:val="20"/>
              </w:rPr>
              <w:t>Moyenne</w:t>
            </w:r>
          </w:p>
        </w:tc>
      </w:tr>
      <w:tr w:rsidR="00053D21" w14:paraId="093E26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06B54E19" w14:textId="77777777" w:rsidR="00053D21" w:rsidRDefault="00000000">
            <w:pPr>
              <w:jc w:val="center"/>
            </w:pPr>
            <w:r>
              <w:rPr>
                <w:color w:val="222222"/>
                <w:sz w:val="20"/>
                <w:szCs w:val="20"/>
              </w:rPr>
              <w:t>Clustering entreprises</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7481C5C8" w14:textId="77777777" w:rsidR="00053D21" w:rsidRDefault="00000000">
            <w:pPr>
              <w:jc w:val="center"/>
            </w:pPr>
            <w:r>
              <w:rPr>
                <w:color w:val="222222"/>
                <w:sz w:val="20"/>
                <w:szCs w:val="20"/>
              </w:rPr>
              <w:t>19 ratios</w:t>
            </w:r>
          </w:p>
        </w:tc>
        <w:tc>
          <w:tcPr>
            <w:tcW w:w="26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318D8C68" w14:textId="77777777" w:rsidR="00053D21" w:rsidRDefault="00000000">
            <w:pPr>
              <w:jc w:val="center"/>
            </w:pPr>
            <w:r>
              <w:rPr>
                <w:color w:val="222222"/>
                <w:sz w:val="20"/>
                <w:szCs w:val="20"/>
              </w:rPr>
              <w:t>Direction stratégique</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40" w:type="dxa"/>
              <w:bottom w:w="100" w:type="dxa"/>
              <w:right w:w="140" w:type="dxa"/>
            </w:tcMar>
            <w:vAlign w:val="center"/>
          </w:tcPr>
          <w:p w14:paraId="1E504A46" w14:textId="77777777" w:rsidR="00053D21" w:rsidRDefault="00000000">
            <w:pPr>
              <w:jc w:val="center"/>
            </w:pPr>
            <w:r>
              <w:rPr>
                <w:color w:val="222222"/>
                <w:sz w:val="20"/>
                <w:szCs w:val="20"/>
              </w:rPr>
              <w:t>Moyenne</w:t>
            </w:r>
          </w:p>
        </w:tc>
      </w:tr>
      <w:tr w:rsidR="00053D21" w14:paraId="354117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61DDAF" w14:textId="77777777" w:rsidR="00053D21" w:rsidRDefault="00000000">
            <w:pPr>
              <w:jc w:val="center"/>
            </w:pPr>
            <w:r>
              <w:rPr>
                <w:color w:val="222222"/>
                <w:sz w:val="20"/>
                <w:szCs w:val="20"/>
              </w:rPr>
              <w:t>Prédiction défaillance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824A0F" w14:textId="77777777" w:rsidR="00053D21" w:rsidRDefault="00000000">
            <w:pPr>
              <w:jc w:val="center"/>
            </w:pPr>
            <w:r>
              <w:rPr>
                <w:color w:val="222222"/>
                <w:sz w:val="20"/>
                <w:szCs w:val="20"/>
              </w:rPr>
              <w:t>Tous ratios + date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5FDFDD" w14:textId="77777777" w:rsidR="00053D21" w:rsidRDefault="00000000">
            <w:pPr>
              <w:jc w:val="center"/>
            </w:pPr>
            <w:r>
              <w:rPr>
                <w:color w:val="222222"/>
                <w:sz w:val="20"/>
                <w:szCs w:val="20"/>
              </w:rPr>
              <w:t>Risk management / Crédit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1C06E4" w14:textId="77777777" w:rsidR="00053D21" w:rsidRDefault="00000000">
            <w:pPr>
              <w:jc w:val="center"/>
            </w:pPr>
            <w:r>
              <w:rPr>
                <w:color w:val="222222"/>
                <w:sz w:val="20"/>
                <w:szCs w:val="20"/>
              </w:rPr>
              <w:t>Long terme</w:t>
            </w:r>
          </w:p>
        </w:tc>
      </w:tr>
    </w:tbl>
    <w:p w14:paraId="1D4249D6" w14:textId="77777777" w:rsidR="00053D21" w:rsidRDefault="00053D21">
      <w:pPr>
        <w:spacing w:before="80" w:after="80"/>
      </w:pPr>
    </w:p>
    <w:p w14:paraId="13175310" w14:textId="77777777" w:rsidR="00053D21" w:rsidRDefault="00000000">
      <w:pPr>
        <w:pStyle w:val="Titre1"/>
        <w:pBdr>
          <w:bottom w:val="single" w:sz="6" w:space="6" w:color="1F3864"/>
        </w:pBdr>
      </w:pPr>
      <w:r>
        <w:t>Conclusion</w:t>
      </w:r>
    </w:p>
    <w:p w14:paraId="00DA48C2" w14:textId="77777777" w:rsidR="00053D21" w:rsidRDefault="00000000">
      <w:pPr>
        <w:spacing w:before="70" w:after="70"/>
        <w:jc w:val="both"/>
      </w:pPr>
      <w:r>
        <w:rPr>
          <w:color w:val="222222"/>
        </w:rPr>
        <w:t>Cette analyse exploratoire conduite sur plus de 6 millions d'entrées financières livre une cartographie inédite du tissu entrepreneurial français. Les conclusions majeures sont claires, actionnables et directement exploitables par les décideurs :</w:t>
      </w:r>
    </w:p>
    <w:p w14:paraId="5125F9F1" w14:textId="77777777" w:rsidR="00053D21" w:rsidRDefault="00053D21">
      <w:pPr>
        <w:spacing w:before="60" w:after="60"/>
      </w:pPr>
    </w:p>
    <w:p w14:paraId="38F2669F" w14:textId="77777777" w:rsidR="00053D21" w:rsidRDefault="00000000">
      <w:pPr>
        <w:spacing w:before="70" w:after="70"/>
        <w:jc w:val="both"/>
      </w:pPr>
      <w:r>
        <w:rPr>
          <w:color w:val="222222"/>
        </w:rPr>
        <w:t>Les entreprises françaises sous-utilisent structurellement le levier financier. L'endettement médian reste inférieur à 0.2x sur 15 ans — une réserve de capacité de financement que beaucoup de dirigeants n'activent pas, parfois par excès de prudence.</w:t>
      </w:r>
    </w:p>
    <w:p w14:paraId="4657BF6C" w14:textId="77777777" w:rsidR="00053D21" w:rsidRDefault="00053D21">
      <w:pPr>
        <w:spacing w:before="40" w:after="60"/>
      </w:pPr>
    </w:p>
    <w:p w14:paraId="2F576E06" w14:textId="77777777" w:rsidR="00053D21" w:rsidRDefault="00000000">
      <w:pPr>
        <w:spacing w:before="70" w:after="70"/>
        <w:jc w:val="both"/>
      </w:pPr>
      <w:r>
        <w:rPr>
          <w:color w:val="222222"/>
        </w:rPr>
        <w:t>La performance opérationnelle est autonome. Le cash flow ne se crée pas en modifiant la structure financière, mais en améliorant le modèle commercial, la marge et la maîtrise des coûts. Ce constat recentre les efforts là où ils ont le plus d'impact.</w:t>
      </w:r>
    </w:p>
    <w:p w14:paraId="4824A336" w14:textId="77777777" w:rsidR="00053D21" w:rsidRDefault="00053D21">
      <w:pPr>
        <w:spacing w:before="40" w:after="60"/>
      </w:pPr>
    </w:p>
    <w:p w14:paraId="40962FF3" w14:textId="77777777" w:rsidR="00053D21" w:rsidRDefault="00000000">
      <w:pPr>
        <w:spacing w:before="70" w:after="70"/>
        <w:jc w:val="both"/>
      </w:pPr>
      <w:r>
        <w:rPr>
          <w:color w:val="222222"/>
        </w:rPr>
        <w:t>Le BFR est le levier de trésorerie le plus immédiat. Agir sur les délais clients, fournisseurs et la rotation des stocks peut libérer plusieurs semaines de chiffre d'affaires en cash — sans dette, sans dilution.</w:t>
      </w:r>
    </w:p>
    <w:p w14:paraId="5CBA553E" w14:textId="77777777" w:rsidR="00053D21" w:rsidRDefault="00053D21">
      <w:pPr>
        <w:spacing w:before="40" w:after="60"/>
      </w:pPr>
    </w:p>
    <w:p w14:paraId="73650ECD" w14:textId="77777777" w:rsidR="00053D21" w:rsidRDefault="00000000">
      <w:pPr>
        <w:spacing w:before="70" w:after="70"/>
        <w:jc w:val="both"/>
      </w:pPr>
      <w:r>
        <w:rPr>
          <w:color w:val="222222"/>
        </w:rPr>
        <w:t>Ce rapport pose les fondations d'une plateforme analytique à fort potentiel. Les 7 variables non exploitées (liquidité, couverture des intérêts, vétusté, marges multi-niveaux, capacité de remboursement) ouvrent un programme d'analyse structuré qui peut se déployer en un outil de pilotage de premier plan pour les dirigeants, banquiers et investisseurs.</w:t>
      </w:r>
    </w:p>
    <w:p w14:paraId="06F5C22A" w14:textId="77777777" w:rsidR="00053D21" w:rsidRDefault="00053D21">
      <w:pPr>
        <w:spacing w:before="80" w:after="80"/>
      </w:pPr>
    </w:p>
    <w:p w14:paraId="1D268A1F" w14:textId="77777777" w:rsidR="00053D21" w:rsidRDefault="00000000">
      <w:pPr>
        <w:pBdr>
          <w:top w:val="single" w:sz="4" w:space="8" w:color="1F3864"/>
        </w:pBdr>
        <w:spacing w:before="200"/>
        <w:jc w:val="center"/>
      </w:pPr>
      <w:r>
        <w:rPr>
          <w:color w:val="888888"/>
          <w:sz w:val="19"/>
          <w:szCs w:val="19"/>
        </w:rPr>
        <w:t>Fin du rapport — EDA Ratios Financiers Entreprises Françaises — 2025</w:t>
      </w:r>
    </w:p>
    <w:sectPr w:rsidR="00053D21">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1073" w14:textId="77777777" w:rsidR="00D7135A" w:rsidRDefault="00D7135A">
      <w:r>
        <w:separator/>
      </w:r>
    </w:p>
  </w:endnote>
  <w:endnote w:type="continuationSeparator" w:id="0">
    <w:p w14:paraId="480139F5" w14:textId="77777777" w:rsidR="00D7135A" w:rsidRDefault="00D71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8973" w14:textId="783D9146" w:rsidR="00053D21" w:rsidRDefault="00000000">
    <w:pPr>
      <w:pBdr>
        <w:top w:val="single" w:sz="4" w:space="4" w:color="2E75B6"/>
      </w:pBdr>
      <w:spacing w:before="80"/>
    </w:pPr>
    <w:r>
      <w:rPr>
        <w:color w:val="888888"/>
        <w:sz w:val="16"/>
        <w:szCs w:val="16"/>
      </w:rPr>
      <w:t xml:space="preserve">Confidentiel </w:t>
    </w:r>
    <w:r>
      <w:rPr>
        <w:color w:val="888888"/>
        <w:sz w:val="16"/>
        <w:szCs w:val="16"/>
      </w:rPr>
      <w:t>— EDA Ratios Financiers INPI/BCE  |  202</w:t>
    </w:r>
    <w:r w:rsidR="00935720">
      <w:rPr>
        <w:color w:val="888888"/>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2435" w14:textId="77777777" w:rsidR="00D7135A" w:rsidRDefault="00D7135A">
      <w:r>
        <w:separator/>
      </w:r>
    </w:p>
  </w:footnote>
  <w:footnote w:type="continuationSeparator" w:id="0">
    <w:p w14:paraId="1549D90D" w14:textId="77777777" w:rsidR="00D7135A" w:rsidRDefault="00D71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DF30" w14:textId="77777777" w:rsidR="00053D21" w:rsidRDefault="00000000">
    <w:pPr>
      <w:pBdr>
        <w:bottom w:val="single" w:sz="4" w:space="4" w:color="2E75B6"/>
      </w:pBdr>
      <w:tabs>
        <w:tab w:val="right" w:pos="9026"/>
      </w:tabs>
      <w:spacing w:after="80"/>
    </w:pPr>
    <w:r>
      <w:rPr>
        <w:b/>
        <w:bCs/>
        <w:color w:val="1F3864"/>
        <w:sz w:val="18"/>
        <w:szCs w:val="18"/>
      </w:rPr>
      <w:t>Analyse EDA — Ratios Financiers Entreprises Françaises</w:t>
    </w:r>
    <w:r>
      <w:rPr>
        <w:sz w:val="18"/>
        <w:szCs w:val="18"/>
      </w:rPr>
      <w:tab/>
    </w:r>
    <w:r>
      <w:rPr>
        <w:color w:val="888888"/>
        <w:sz w:val="18"/>
        <w:szCs w:val="18"/>
      </w:rPr>
      <w:t>Rapport Data Analyst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E0F19"/>
    <w:multiLevelType w:val="hybridMultilevel"/>
    <w:tmpl w:val="DEF4E414"/>
    <w:lvl w:ilvl="0" w:tplc="67883F32">
      <w:start w:val="1"/>
      <w:numFmt w:val="bullet"/>
      <w:lvlText w:val="•"/>
      <w:lvlJc w:val="left"/>
      <w:pPr>
        <w:ind w:left="720" w:hanging="360"/>
      </w:pPr>
    </w:lvl>
    <w:lvl w:ilvl="1" w:tplc="D6A879C0">
      <w:numFmt w:val="decimal"/>
      <w:lvlText w:val=""/>
      <w:lvlJc w:val="left"/>
    </w:lvl>
    <w:lvl w:ilvl="2" w:tplc="3EF83DB8">
      <w:numFmt w:val="decimal"/>
      <w:lvlText w:val=""/>
      <w:lvlJc w:val="left"/>
    </w:lvl>
    <w:lvl w:ilvl="3" w:tplc="4B740904">
      <w:numFmt w:val="decimal"/>
      <w:lvlText w:val=""/>
      <w:lvlJc w:val="left"/>
    </w:lvl>
    <w:lvl w:ilvl="4" w:tplc="28DE4CC2">
      <w:numFmt w:val="decimal"/>
      <w:lvlText w:val=""/>
      <w:lvlJc w:val="left"/>
    </w:lvl>
    <w:lvl w:ilvl="5" w:tplc="13641FA8">
      <w:numFmt w:val="decimal"/>
      <w:lvlText w:val=""/>
      <w:lvlJc w:val="left"/>
    </w:lvl>
    <w:lvl w:ilvl="6" w:tplc="BDD2AAC0">
      <w:numFmt w:val="decimal"/>
      <w:lvlText w:val=""/>
      <w:lvlJc w:val="left"/>
    </w:lvl>
    <w:lvl w:ilvl="7" w:tplc="1F44CA84">
      <w:numFmt w:val="decimal"/>
      <w:lvlText w:val=""/>
      <w:lvlJc w:val="left"/>
    </w:lvl>
    <w:lvl w:ilvl="8" w:tplc="A844D7FA">
      <w:numFmt w:val="decimal"/>
      <w:lvlText w:val=""/>
      <w:lvlJc w:val="left"/>
    </w:lvl>
  </w:abstractNum>
  <w:abstractNum w:abstractNumId="1" w15:restartNumberingAfterBreak="0">
    <w:nsid w:val="2A81471C"/>
    <w:multiLevelType w:val="hybridMultilevel"/>
    <w:tmpl w:val="CD12CF3E"/>
    <w:lvl w:ilvl="0" w:tplc="06AC77C8">
      <w:start w:val="1"/>
      <w:numFmt w:val="bullet"/>
      <w:lvlText w:val="●"/>
      <w:lvlJc w:val="left"/>
      <w:pPr>
        <w:ind w:left="720" w:hanging="360"/>
      </w:pPr>
    </w:lvl>
    <w:lvl w:ilvl="1" w:tplc="D6C4CE1C">
      <w:start w:val="1"/>
      <w:numFmt w:val="bullet"/>
      <w:lvlText w:val="○"/>
      <w:lvlJc w:val="left"/>
      <w:pPr>
        <w:ind w:left="1440" w:hanging="360"/>
      </w:pPr>
    </w:lvl>
    <w:lvl w:ilvl="2" w:tplc="BDD08362">
      <w:start w:val="1"/>
      <w:numFmt w:val="bullet"/>
      <w:lvlText w:val="■"/>
      <w:lvlJc w:val="left"/>
      <w:pPr>
        <w:ind w:left="2160" w:hanging="360"/>
      </w:pPr>
    </w:lvl>
    <w:lvl w:ilvl="3" w:tplc="DE68CEBA">
      <w:start w:val="1"/>
      <w:numFmt w:val="bullet"/>
      <w:lvlText w:val="●"/>
      <w:lvlJc w:val="left"/>
      <w:pPr>
        <w:ind w:left="2880" w:hanging="360"/>
      </w:pPr>
    </w:lvl>
    <w:lvl w:ilvl="4" w:tplc="49CA1EA0">
      <w:start w:val="1"/>
      <w:numFmt w:val="bullet"/>
      <w:lvlText w:val="○"/>
      <w:lvlJc w:val="left"/>
      <w:pPr>
        <w:ind w:left="3600" w:hanging="360"/>
      </w:pPr>
    </w:lvl>
    <w:lvl w:ilvl="5" w:tplc="328EB7D8">
      <w:start w:val="1"/>
      <w:numFmt w:val="bullet"/>
      <w:lvlText w:val="■"/>
      <w:lvlJc w:val="left"/>
      <w:pPr>
        <w:ind w:left="4320" w:hanging="360"/>
      </w:pPr>
    </w:lvl>
    <w:lvl w:ilvl="6" w:tplc="5F608254">
      <w:start w:val="1"/>
      <w:numFmt w:val="bullet"/>
      <w:lvlText w:val="●"/>
      <w:lvlJc w:val="left"/>
      <w:pPr>
        <w:ind w:left="5040" w:hanging="360"/>
      </w:pPr>
    </w:lvl>
    <w:lvl w:ilvl="7" w:tplc="67E8A192">
      <w:start w:val="1"/>
      <w:numFmt w:val="bullet"/>
      <w:lvlText w:val="●"/>
      <w:lvlJc w:val="left"/>
      <w:pPr>
        <w:ind w:left="5760" w:hanging="360"/>
      </w:pPr>
    </w:lvl>
    <w:lvl w:ilvl="8" w:tplc="EF5C61D0">
      <w:start w:val="1"/>
      <w:numFmt w:val="bullet"/>
      <w:lvlText w:val="●"/>
      <w:lvlJc w:val="left"/>
      <w:pPr>
        <w:ind w:left="6480" w:hanging="360"/>
      </w:pPr>
    </w:lvl>
  </w:abstractNum>
  <w:num w:numId="1" w16cid:durableId="888953624">
    <w:abstractNumId w:val="1"/>
    <w:lvlOverride w:ilvl="0">
      <w:startOverride w:val="1"/>
    </w:lvlOverride>
  </w:num>
  <w:num w:numId="2" w16cid:durableId="19424505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D21"/>
    <w:rsid w:val="00053D21"/>
    <w:rsid w:val="007D6578"/>
    <w:rsid w:val="00935720"/>
    <w:rsid w:val="00D7135A"/>
  </w:rsids>
  <m:mathPr>
    <m:mathFont m:val="Cambria Math"/>
    <m:brkBin m:val="before"/>
    <m:brkBinSub m:val="--"/>
    <m:smallFrac m:val="0"/>
    <m:dispDef/>
    <m:lMargin m:val="0"/>
    <m:rMargin m:val="0"/>
    <m:defJc m:val="centerGroup"/>
    <m:wrapIndent m:val="1440"/>
    <m:intLim m:val="subSup"/>
    <m:naryLim m:val="undOvr"/>
  </m:mathPr>
  <w:themeFontLang w:val="tzm-Latn-D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B0D21"/>
  <w15:docId w15:val="{E9DD6224-0D87-41B6-8029-1F0187238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zm-Latn-DZ" w:eastAsia="tzm-Latn-D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20" w:after="160"/>
      <w:outlineLvl w:val="0"/>
    </w:pPr>
    <w:rPr>
      <w:b/>
      <w:bCs/>
      <w:color w:val="1F3864"/>
      <w:sz w:val="34"/>
      <w:szCs w:val="34"/>
    </w:rPr>
  </w:style>
  <w:style w:type="paragraph" w:styleId="Titre2">
    <w:name w:val="heading 2"/>
    <w:uiPriority w:val="9"/>
    <w:unhideWhenUsed/>
    <w:qFormat/>
    <w:pPr>
      <w:spacing w:before="280" w:after="100"/>
      <w:outlineLvl w:val="1"/>
    </w:pPr>
    <w:rPr>
      <w:b/>
      <w:bCs/>
      <w:color w:val="2E75B6"/>
      <w:sz w:val="26"/>
      <w:szCs w:val="26"/>
    </w:rPr>
  </w:style>
  <w:style w:type="paragraph" w:styleId="Titre3">
    <w:name w:val="heading 3"/>
    <w:uiPriority w:val="9"/>
    <w:unhideWhenUsed/>
    <w:qFormat/>
    <w:pPr>
      <w:spacing w:before="200" w:after="80"/>
      <w:outlineLvl w:val="2"/>
    </w:pPr>
    <w:rPr>
      <w:b/>
      <w:bCs/>
      <w:color w:val="40404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935720"/>
    <w:pPr>
      <w:tabs>
        <w:tab w:val="center" w:pos="4536"/>
        <w:tab w:val="right" w:pos="9072"/>
      </w:tabs>
    </w:pPr>
  </w:style>
  <w:style w:type="character" w:customStyle="1" w:styleId="En-tteCar">
    <w:name w:val="En-tête Car"/>
    <w:basedOn w:val="Policepardfaut"/>
    <w:link w:val="En-tte"/>
    <w:uiPriority w:val="99"/>
    <w:rsid w:val="00935720"/>
  </w:style>
  <w:style w:type="paragraph" w:styleId="Pieddepage">
    <w:name w:val="footer"/>
    <w:basedOn w:val="Normal"/>
    <w:link w:val="PieddepageCar"/>
    <w:uiPriority w:val="99"/>
    <w:unhideWhenUsed/>
    <w:rsid w:val="00935720"/>
    <w:pPr>
      <w:tabs>
        <w:tab w:val="center" w:pos="4536"/>
        <w:tab w:val="right" w:pos="9072"/>
      </w:tabs>
    </w:pPr>
  </w:style>
  <w:style w:type="character" w:customStyle="1" w:styleId="PieddepageCar">
    <w:name w:val="Pied de page Car"/>
    <w:basedOn w:val="Policepardfaut"/>
    <w:link w:val="Pieddepage"/>
    <w:uiPriority w:val="99"/>
    <w:rsid w:val="00935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2977</Words>
  <Characters>16974</Characters>
  <Application>Microsoft Office Word</Application>
  <DocSecurity>0</DocSecurity>
  <Lines>141</Lines>
  <Paragraphs>39</Paragraphs>
  <ScaleCrop>false</ScaleCrop>
  <Company/>
  <LinksUpToDate>false</LinksUpToDate>
  <CharactersWithSpaces>19912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 Yacine</cp:lastModifiedBy>
  <cp:revision>3</cp:revision>
  <cp:lastPrinted>2026-04-12T17:50:00Z</cp:lastPrinted>
  <dcterms:created xsi:type="dcterms:W3CDTF">2026-04-12T17:07:00Z</dcterms:created>
  <dcterms:modified xsi:type="dcterms:W3CDTF">2026-04-12T17:52:00Z</dcterms:modified>
</cp:coreProperties>
</file>