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sz w:val="28"/>
          <w:szCs w:val="28"/>
        </w:rPr>
        <w:t xml:space="preserve">Supplementary Material: availability of the predictors by outcome and by stratum</w:t>
      </w:r>
    </w:p>
    <w:p>
      <w:pPr>
        <w:spacing w:after="160" w:before="0"/>
      </w:pPr>
      <w:r>
        <w:rPr>
          <w:rFonts w:ascii="Arial" w:cs="Arial" w:eastAsia="Arial" w:hAnsi="Arial"/>
          <w:i/>
          <w:iCs/>
          <w:sz w:val="20"/>
          <w:szCs w:val="20"/>
        </w:rPr>
        <w:t xml:space="preserve">Predicting Severe Maternal Morbidity at 24 Hours in Delivery Hospitalizations: A Retrospective Study with MIMIC-IV (manuscript healthcare-4661619)</w:t>
      </w:r>
    </w:p>
    <w:p>
      <w:pPr>
        <w:spacing w:after="120" w:before="0"/>
      </w:pPr>
      <w:r>
        <w:rPr>
          <w:rFonts w:ascii="Arial" w:cs="Arial" w:eastAsia="Arial" w:hAnsi="Arial"/>
          <w:sz w:val="18"/>
          <w:szCs w:val="18"/>
        </w:rPr>
        <w:t xml:space="preserve">These tables give, for every variable of the predictor dictionary (Appendix A of the manuscript), the proportion of admissions with a value in the predictor window (from 24 hours before to 24 hours after the admission time), before any imputation, by severe maternal morbidity (SMM) and by ICU admission in the first 24 hours. They contain only counts and percentages.</w:t>
      </w:r>
    </w:p>
    <w:p>
      <w:pPr>
        <w:keepNext/>
        <w:spacing w:after="80" w:before="100"/>
      </w:pPr>
      <w:r>
        <w:rPr>
          <w:rFonts w:ascii="Arial" w:cs="Arial" w:eastAsia="Arial" w:hAnsi="Arial"/>
          <w:b/>
          <w:bCs/>
          <w:sz w:val="20"/>
          <w:szCs w:val="20"/>
        </w:rPr>
        <w:t xml:space="preserve">Table A7. Proportion of the 19,383 eligible delivery hospitalizations with a value in the predictor window, by variable, SMM and ICU admission in the first 24 hours</w:t>
      </w:r>
    </w:p>
    <w:tbl>
      <w:tblPr>
        <w:tblW w:type="dxa" w:w="1268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2250"/>
        <w:gridCol w:w="1050"/>
        <w:gridCol w:w="1050"/>
        <w:gridCol w:w="1100"/>
        <w:gridCol w:w="1050"/>
        <w:gridCol w:w="1050"/>
        <w:gridCol w:w="1130"/>
      </w:tblGrid>
      <w:tr>
        <w:trPr>
          <w:cantSplit/>
          <w:tblHeader/>
        </w:trPr>
        <w:tc>
          <w:tcPr>
            <w:tcW w:type="dxa" w:w="290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left"/>
            </w:pPr>
            <w:r>
              <w:rPr>
                <w:rFonts w:ascii="Arial" w:cs="Arial" w:eastAsia="Arial" w:hAnsi="Arial"/>
                <w:b/>
                <w:bCs/>
                <w:sz w:val="17"/>
                <w:szCs w:val="17"/>
              </w:rPr>
              <w:t xml:space="preserve">Variable</w:t>
            </w:r>
          </w:p>
        </w:tc>
        <w:tc>
          <w:tcPr>
            <w:tcW w:type="dxa" w:w="110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left"/>
            </w:pPr>
            <w:r>
              <w:rPr>
                <w:rFonts w:ascii="Arial" w:cs="Arial" w:eastAsia="Arial" w:hAnsi="Arial"/>
                <w:b/>
                <w:bCs/>
                <w:sz w:val="17"/>
                <w:szCs w:val="17"/>
              </w:rPr>
              <w:t xml:space="preserve">Unit</w:t>
            </w:r>
          </w:p>
        </w:tc>
        <w:tc>
          <w:tcPr>
            <w:tcW w:type="dxa" w:w="22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left"/>
            </w:pPr>
            <w:r>
              <w:rPr>
                <w:rFonts w:ascii="Arial" w:cs="Arial" w:eastAsia="Arial" w:hAnsi="Arial"/>
                <w:b/>
                <w:bCs/>
                <w:sz w:val="17"/>
                <w:szCs w:val="17"/>
              </w:rPr>
              <w:t xml:space="preserve">Role in the analysis</w:t>
            </w:r>
          </w:p>
        </w:tc>
        <w:tc>
          <w:tcPr>
            <w:tcW w:type="dxa" w:w="10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With value, n</w:t>
            </w:r>
          </w:p>
        </w:tc>
        <w:tc>
          <w:tcPr>
            <w:tcW w:type="dxa" w:w="10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All eligible (%)</w:t>
            </w:r>
          </w:p>
        </w:tc>
        <w:tc>
          <w:tcPr>
            <w:tcW w:type="dxa" w:w="110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Without SMM (%)</w:t>
            </w:r>
          </w:p>
        </w:tc>
        <w:tc>
          <w:tcPr>
            <w:tcW w:type="dxa" w:w="10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With SMM (%)</w:t>
            </w:r>
          </w:p>
        </w:tc>
        <w:tc>
          <w:tcPr>
            <w:tcW w:type="dxa" w:w="10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Without ICU in 24 h (%)</w:t>
            </w:r>
          </w:p>
        </w:tc>
        <w:tc>
          <w:tcPr>
            <w:tcW w:type="dxa" w:w="113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With ICU in 24 h (%)</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Hemoglobin</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g/dL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Main</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15,822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81.6</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84.9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81.5</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96.5</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Creatinine (+ missingness indicator)</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mg/dL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Main</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3,971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19.5</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62.9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96.5</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Hematocrit</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Lab sensitivity (redundant)</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15,846</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81.8</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81.7</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84.9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81.7</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96.5</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Glucose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mg/dL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Lab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760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3.9</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39.3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3.4</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Chloride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mEq/L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Lab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673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2.7</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38.2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2.9</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Potassium</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mEq/L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Lab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683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2.7</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38.4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Sodium</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mEq/L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Lab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678</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2.7</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38.4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2.9</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Anion gap</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mEq/L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Lab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660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3.4</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38.0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2.9</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Bicarbonate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mEq/L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Lab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660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3.4</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38.0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2.9</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Magnesium</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mg/dL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Lab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620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3.2</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39.1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2.7</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93.9</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Calcium (non-ionized)</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mg/dL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Lab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527</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2.7</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35.7</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2.2</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94.8</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Phosphorus</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mg/dL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Lab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513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35.3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2.1</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94.8</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Lactate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mmol/L</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Lab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162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0.8</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21.6</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0.4</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73.0</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Glasgow Coma Scale: eye opening</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score</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19.8</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98.3</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Glasgow Coma Scale: motor response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score</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19.8</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98.3</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Glasgow Coma Scale: verbal response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score</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19.8</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98.3</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Heart rate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beats/min</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99.1</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Oxygen saturation</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99.1</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Respiratory rate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breaths/min</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99.1</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Temperature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°F</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19.8</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98.3</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Weight at admission</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kg</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115</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0.6</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Diastolic blood pressure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mmHg</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15.5</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80.0</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Mean blood pressure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mmHg</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15.5</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80.0</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Systolic blood pressure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mmHg</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15.5</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80.0</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Richmond Agitation-Sedation Scale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score</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0.5</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0.1</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17.3</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82.6</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Positive end-expiratory pressure</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cmH2O</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59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0.3</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11.9</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51.3</w:t>
            </w:r>
          </w:p>
        </w:tc>
      </w:tr>
      <w:tr>
        <w:trPr>
          <w:cantSplit/>
        </w:trPr>
        <w:tc>
          <w:tcPr>
            <w:tcW w:type="dxa" w:w="29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Height</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cm</w:t>
            </w:r>
          </w:p>
        </w:tc>
        <w:tc>
          <w:tcPr>
            <w:tcW w:type="dxa" w:w="2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ICU sensitivity</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44</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0.2</w:t>
            </w:r>
          </w:p>
        </w:tc>
        <w:tc>
          <w:tcPr>
            <w:tcW w:type="dxa" w:w="11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9.2</w:t>
            </w:r>
          </w:p>
        </w:tc>
        <w:tc>
          <w:tcPr>
            <w:tcW w:type="dxa" w:w="10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c>
          <w:tcPr>
            <w:tcW w:type="dxa" w:w="11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38.3</w:t>
            </w:r>
          </w:p>
        </w:tc>
      </w:tr>
    </w:tbl>
    <w:p>
      <w:pPr>
        <w:spacing w:after="60" w:before="80"/>
      </w:pPr>
      <w:r>
        <w:rPr>
          <w:rFonts w:ascii="Arial" w:cs="Arial" w:eastAsia="Arial" w:hAnsi="Arial"/>
          <w:sz w:val="16"/>
          <w:szCs w:val="16"/>
        </w:rPr>
        <w:t xml:space="preserve">Notes. Strata: 18,938 admissions without SMM and 445 with SMM; 19,268 without and 115 with an ICU admission in the first 24 hours. The percentage without SMM is derived from the number with a value and the number with SMM (the latter obtained from the percentage with SMM); the other columns are as computed in the database. Age at admission, which is always available, is not shown. Variables of the main models: age, five administrative variables, hemoglobin and creatinine (with a missingness indicator for creatinine); the other variables enter only the sensitivity analyses (coverage below 10% or redundancy with hemoglobin), and the ICU variables are recorded only during an ICU stay, so they are structurally absent outside it. Plausibility limits of the laboratory variables are in Appendix A (Table A1); no value fell outside them, and each laboratory variable had a single unit in the window.</w:t>
      </w:r>
    </w:p>
    <w:p>
      <w:pPr>
        <w:keepNext/>
        <w:pageBreakBefore/>
        <w:spacing w:after="80" w:before="0"/>
      </w:pPr>
      <w:r>
        <w:rPr>
          <w:rFonts w:ascii="Arial" w:cs="Arial" w:eastAsia="Arial" w:hAnsi="Arial"/>
          <w:b/>
          <w:bCs/>
          <w:sz w:val="20"/>
          <w:szCs w:val="20"/>
        </w:rPr>
        <w:t xml:space="preserve">Table A8. Availability of hemoglobin, hematocrit and creatinine by stratum</w:t>
      </w:r>
    </w:p>
    <w:p>
      <w:pPr>
        <w:keepNext/>
        <w:spacing w:after="60" w:before="100"/>
      </w:pPr>
      <w:r>
        <w:rPr>
          <w:rFonts w:ascii="Arial" w:cs="Arial" w:eastAsia="Arial" w:hAnsi="Arial"/>
          <w:b/>
          <w:bCs/>
          <w:sz w:val="18"/>
          <w:szCs w:val="18"/>
        </w:rPr>
        <w:t xml:space="preserve">Eligible delivery hospitalizations (main analysis)</w:t>
      </w:r>
    </w:p>
    <w:tbl>
      <w:tblPr>
        <w:tblW w:type="dxa" w:w="12680"/>
        <w:tblBorders>
          <w:top w:val="single" w:color="auto" w:sz="4"/>
          <w:left w:val="single" w:color="auto" w:sz="4"/>
          <w:bottom w:val="single" w:color="auto" w:sz="4"/>
          <w:right w:val="single" w:color="auto" w:sz="4"/>
          <w:insideH w:val="single" w:color="auto" w:sz="4"/>
          <w:insideV w:val="single" w:color="auto" w:sz="4"/>
        </w:tblBorders>
      </w:tblPr>
      <w:tblGrid>
        <w:gridCol w:w="4300"/>
        <w:gridCol w:w="1250"/>
        <w:gridCol w:w="1350"/>
        <w:gridCol w:w="1350"/>
        <w:gridCol w:w="1350"/>
        <w:gridCol w:w="1350"/>
        <w:gridCol w:w="1730"/>
      </w:tblGrid>
      <w:tr>
        <w:trPr>
          <w:cantSplit/>
          <w:tblHeader/>
        </w:trPr>
        <w:tc>
          <w:tcPr>
            <w:tcW w:type="dxa" w:w="430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left"/>
            </w:pPr>
            <w:r>
              <w:rPr>
                <w:rFonts w:ascii="Arial" w:cs="Arial" w:eastAsia="Arial" w:hAnsi="Arial"/>
                <w:b/>
                <w:bCs/>
                <w:sz w:val="17"/>
                <w:szCs w:val="17"/>
              </w:rPr>
              <w:t xml:space="preserve">Stratum</w:t>
            </w:r>
          </w:p>
        </w:tc>
        <w:tc>
          <w:tcPr>
            <w:tcW w:type="dxa" w:w="12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Admissions</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Hemoglobin (%)</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Hematocrit (%)</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Creatinine (%)</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All three (%)</w:t>
            </w:r>
          </w:p>
        </w:tc>
        <w:tc>
          <w:tcPr>
            <w:tcW w:type="dxa" w:w="173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None of the three (%)</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All admissions</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19,383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81.6</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20.5</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18.2</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ICD-10-CM/PCS only</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8,864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81.6</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23.6</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23.6</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18.4</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ICD-9-CM only</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10,519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17.8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17.8</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18.1</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Without ICU admission in 24 h</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19,268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20.0</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18.3</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With ICU admission in 24 h</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115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95.7</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Without SMM</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18,938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81.6</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19.5</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18.3</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With SMM</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445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84.9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84.9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62.9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62.9</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15.1</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SMM, acute renal failure as the only indicator</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83.3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83.3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67.3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67.3</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16.7</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SMM, two or more indicators</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129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84.5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84.5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65.9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65.9</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15.5</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Death in the same admission</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r>
    </w:tbl>
    <w:p>
      <w:pPr>
        <w:keepNext/>
        <w:spacing w:after="60" w:before="100"/>
      </w:pPr>
      <w:r>
        <w:rPr>
          <w:rFonts w:ascii="Arial" w:cs="Arial" w:eastAsia="Arial" w:hAnsi="Arial"/>
          <w:b/>
          <w:bCs/>
          <w:sz w:val="18"/>
          <w:szCs w:val="18"/>
        </w:rPr>
        <w:t xml:space="preserve">Any eligible obstetric admission (sensitivity analysis)</w:t>
      </w:r>
    </w:p>
    <w:tbl>
      <w:tblPr>
        <w:tblW w:type="dxa" w:w="12680"/>
        <w:tblBorders>
          <w:top w:val="single" w:color="auto" w:sz="4"/>
          <w:left w:val="single" w:color="auto" w:sz="4"/>
          <w:bottom w:val="single" w:color="auto" w:sz="4"/>
          <w:right w:val="single" w:color="auto" w:sz="4"/>
          <w:insideH w:val="single" w:color="auto" w:sz="4"/>
          <w:insideV w:val="single" w:color="auto" w:sz="4"/>
        </w:tblBorders>
      </w:tblPr>
      <w:tblGrid>
        <w:gridCol w:w="4300"/>
        <w:gridCol w:w="1250"/>
        <w:gridCol w:w="1350"/>
        <w:gridCol w:w="1350"/>
        <w:gridCol w:w="1350"/>
        <w:gridCol w:w="1350"/>
        <w:gridCol w:w="1730"/>
      </w:tblGrid>
      <w:tr>
        <w:trPr>
          <w:cantSplit/>
          <w:tblHeader/>
        </w:trPr>
        <w:tc>
          <w:tcPr>
            <w:tcW w:type="dxa" w:w="430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left"/>
            </w:pPr>
            <w:r>
              <w:rPr>
                <w:rFonts w:ascii="Arial" w:cs="Arial" w:eastAsia="Arial" w:hAnsi="Arial"/>
                <w:b/>
                <w:bCs/>
                <w:sz w:val="17"/>
                <w:szCs w:val="17"/>
              </w:rPr>
              <w:t xml:space="preserve">Stratum</w:t>
            </w:r>
          </w:p>
        </w:tc>
        <w:tc>
          <w:tcPr>
            <w:tcW w:type="dxa" w:w="12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Admissions</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Hemoglobin (%)</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Hematocrit (%)</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Creatinine (%)</w:t>
            </w:r>
          </w:p>
        </w:tc>
        <w:tc>
          <w:tcPr>
            <w:tcW w:type="dxa" w:w="135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All three (%)</w:t>
            </w:r>
          </w:p>
        </w:tc>
        <w:tc>
          <w:tcPr>
            <w:tcW w:type="dxa" w:w="1730"/>
            <w:tcBorders>
              <w:top w:val="single" w:color="999999" w:sz="4"/>
              <w:left w:val="single" w:color="999999" w:sz="4"/>
              <w:bottom w:val="single" w:color="999999" w:sz="4"/>
              <w:right w:val="single" w:color="999999" w:sz="4"/>
            </w:tcBorders>
            <w:shd w:fill="D9E2F3" w:color="auto" w:val="clear"/>
            <w:tcMar>
              <w:top w:type="dxa" w:w="45"/>
              <w:left w:type="dxa" w:w="90"/>
              <w:bottom w:type="dxa" w:w="45"/>
              <w:right w:type="dxa" w:w="90"/>
            </w:tcMar>
          </w:tcPr>
          <w:p>
            <w:pPr>
              <w:spacing w:after="0"/>
              <w:jc w:val="right"/>
            </w:pPr>
            <w:r>
              <w:rPr>
                <w:rFonts w:ascii="Arial" w:cs="Arial" w:eastAsia="Arial" w:hAnsi="Arial"/>
                <w:b/>
                <w:bCs/>
                <w:sz w:val="17"/>
                <w:szCs w:val="17"/>
              </w:rPr>
              <w:t xml:space="preserve">None of the three (%)</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All admissions</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23,625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28.0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27.9</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18.5</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ICD-10-CM/PCS only</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10,800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30.8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30.6</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18.5</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ICD-9-CM only</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12,825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25.7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25.6</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18.6</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Without ICU admission in 24 h</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23,273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81.1</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26.8</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18.8</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With ICU admission in 24 h</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352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97.7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97.7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97.2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96.6</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1.7</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Without SMM</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22,811</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26.3</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18.7</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With SMM</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814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86.9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86.7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73.3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73.2</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13.1</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SMM, acute renal failure as the only indicator</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179</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83.2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83.2</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69.8</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69.8</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16.8</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SMM, two or more indicators</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223</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87.4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87.4</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76.7</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76.7</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12.6</w:t>
            </w:r>
          </w:p>
        </w:tc>
      </w:tr>
      <w:tr>
        <w:trPr>
          <w:cantSplit/>
        </w:trPr>
        <w:tc>
          <w:tcPr>
            <w:tcW w:type="dxa" w:w="430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left"/>
            </w:pPr>
            <w:r>
              <w:rPr>
                <w:rFonts w:ascii="Arial" w:cs="Arial" w:eastAsia="Arial" w:hAnsi="Arial"/>
                <w:sz w:val="17"/>
                <w:szCs w:val="17"/>
              </w:rPr>
              <w:t xml:space="preserve">Death in the same admission</w:t>
            </w:r>
          </w:p>
        </w:tc>
        <w:tc>
          <w:tcPr>
            <w:tcW w:type="dxa" w:w="12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5</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35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100.0</w:t>
            </w:r>
          </w:p>
        </w:tc>
        <w:tc>
          <w:tcPr>
            <w:tcW w:type="dxa" w:w="1730"/>
            <w:tcBorders>
              <w:top w:val="single" w:color="999999" w:sz="4"/>
              <w:left w:val="single" w:color="999999" w:sz="4"/>
              <w:bottom w:val="single" w:color="999999" w:sz="4"/>
              <w:right w:val="single" w:color="999999" w:sz="4"/>
            </w:tcBorders>
            <w:tcMar>
              <w:top w:type="dxa" w:w="45"/>
              <w:left w:type="dxa" w:w="90"/>
              <w:bottom w:type="dxa" w:w="45"/>
              <w:right w:type="dxa" w:w="90"/>
            </w:tcMar>
          </w:tcPr>
          <w:p>
            <w:pPr>
              <w:spacing w:after="0"/>
              <w:jc w:val="right"/>
            </w:pPr>
            <w:r>
              <w:rPr>
                <w:rFonts w:ascii="Arial" w:cs="Arial" w:eastAsia="Arial" w:hAnsi="Arial"/>
                <w:sz w:val="17"/>
                <w:szCs w:val="17"/>
              </w:rPr>
              <w:t xml:space="preserve">0.0</w:t>
            </w:r>
          </w:p>
        </w:tc>
      </w:tr>
    </w:tbl>
    <w:p>
      <w:pPr>
        <w:spacing w:after="0" w:before="80"/>
      </w:pPr>
      <w:r>
        <w:rPr>
          <w:rFonts w:ascii="Arial" w:cs="Arial" w:eastAsia="Arial" w:hAnsi="Arial"/>
          <w:sz w:val="16"/>
          <w:szCs w:val="16"/>
        </w:rPr>
        <w:t xml:space="preserve">Notes. The strata overlap (an admission can belong to several of them). The coding versions (ICD-10-CM/PCS only and ICD-9-CM only) are the only available marker of the period in these tables. The availability by anchor-year group was not tabulated.</w:t>
      </w:r>
    </w:p>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Supplementary predictor missingness,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predictor missingness</dc:title>
  <dc:creator>Authors</dc:creator>
  <cp:lastModifiedBy>Un-named</cp:lastModifiedBy>
  <cp:revision>1</cp:revision>
  <dcterms:created xsi:type="dcterms:W3CDTF">2026-10-25T23:50:47.350Z</dcterms:created>
  <dcterms:modified xsi:type="dcterms:W3CDTF">2026-10-25T23:50:47.351Z</dcterms:modified>
</cp:coreProperties>
</file>

<file path=docProps/custom.xml><?xml version="1.0" encoding="utf-8"?>
<Properties xmlns="http://schemas.openxmlformats.org/officeDocument/2006/custom-properties" xmlns:vt="http://schemas.openxmlformats.org/officeDocument/2006/docPropsVTypes"/>
</file>