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TRIPOD+AI checklist (supplementary material)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>Manuscript: Predicting Severe Maternal Morbidity at 24 Hours in Delivery Hospitalizations of MIMIC-IV: A Stacked Ensemble versus Logistic Regression, with a Feasibility Analysis of Maternal Death. Authors: E. Gutiérrez Jiménez, J. D. Márquez Díaz. Manuscript ID: healthcare-4661619 (revised version of October 25, 2026).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>Study type: development and internal validation of prediction models for severe maternal morbidity (patient-grouped nested cross-validation repeated three times, with patient-level bootstrap intervals, and an exploratory temporal validation in the same institution) and a feasibility analysis for in-hospital maternal death; no external validation. Reporting guideline: Collins GS et al. TRIPOD+AI statement. BMJ 2024;385:e078378. Item wording is abbreviated; D = applies to development, E = applies to evaluation.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Location refers to section numbers, tables and figures of the manuscript; "back matter" refers to the unnumbered MDPI statements after the Conclusions.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>Main checklist (52 rows): Reported 34; Partly 13; Not reported 0; N/A 5.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>Status key: Reported = fully addressed; Partly = addressed in part; Not reported = missing from the manuscript; N/A = does not apply to this study.</w:t>
      </w:r>
    </w:p>
    <w:p>
      <w:pPr>
        <w:pStyle w:val="Heading1"/>
      </w:pPr>
      <w:r>
        <w:rPr>
          <w:rFonts w:ascii="Arial" w:cs="Arial" w:eastAsia="Arial" w:hAnsi="Arial"/>
        </w:rPr>
        <w:t xml:space="preserve">Table 1. TRIPOD+AI main checklist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4000"/>
        <w:gridCol w:w="1100"/>
        <w:gridCol w:w="534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(abbreviated)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 in the manuscript / comment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Identify the study as developing/evaluating a multivariable prediction model; target population and outcome.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Title names the outcome (severe maternal morbidity), the setting (delivery hospitalizations), the time point (24 hours), the data source (MIMIC-IV), the comparison (stacked ensemble versus logistic regression) and the feasibility analysis of maternal death.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Abstract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the TRIPOD+AI for Abstracts checklist (13 items).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See Table 2 of this document.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Health-care context and rationale; cite existing models.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1; Sec. 2.1–2.4 (related work).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 population, purpose of the model in the care pathway, intended users.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Population: Sec. 1 and 3.2. Intended use is described as research prototypes that should not guide clinical decisions (Sec. 5 and 6); no specific care pathway or user is defined, and Sec. 6 proposes how a ranking could be evaluated.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Known health inequalities between sociodemographic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Addressed in Sec. 5 (limitation vii) and Sec. 6 (ethical considerations, with refs. 38–40); not in the Introduction.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Study objectives; development, evaluation or both.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1 (aims and contributions). Development with internal validation (patient-grouped nested cross-validation) and an exploratory temporal validation in the same institution (Sec. 4.9); no external validation (Sec. 5, limitation i).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data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sources for development and evaluation sets, rationale, representativeness.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 (MIMIC-IV v3.1); Sec. 3.2 (population); Sec. 3.4 (patient-grouped nested cross-validation, no separate evaluation set); Sec. 5, limitation (i) on representativeness.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Dates of data collection, start/end of recruitment, follow-up.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MIMIC-IV v3.1 covers admissions from 2008 to 2022; dates are deidentified by shifting, so no exact dates are available.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participants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Study setting; number and location of centres.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3.1; single academic medical centre (Beth Israel Deaconess Medical Center), Sec. 5 and 6.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Eligibility criteria.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3.2 (women of approximate age 12–55 years with an obstetric or pregnancy-related ICD diagnosis in any position; main analysis restricted to delivery hospitalizations still in hospital 24 hours after admission; ICU stay not required); Fig. 1; Table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Treatments received and how they were handled.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3.3: no treatments or interventions were used as predictors; ICU stay and ICU stay count were removed, and ICU admission in the first 24 hours appears only in a sensitivity analysis (Sec. 3.5, analysis vii).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data preparation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Preprocessing and quality control; whether similar across sociodemographic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3.3, Fig. 1 and Table A1 (predictor window, plausibility limits, winsorization at training percentiles, imputation, scaling). Similarity of preprocessing across sociodemographic groups is not stated.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outcome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Outcome definition, time horizon, rationale, consistency across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3.2 (SMM by the CDC/HRSA indicator lists in ICD-9-CM and ICD-10-CM/PCS; death in the same admission; prediction time 24 hours). Consistency across coding versions in Sec. 4.2 and Table 3; consistency across sociodemographic groups not assessed. Complete code lists in Appendix D (Tables A4 to A6). Diagnosis codes have no date and procedure codes only a calendar date; Sec. 4.2 and Appendix C (Table A3) place the dated procedure indicators before, around or after the prediction time (59 of 445 events certainly before; 319 rest on diagnosis codes alone). Label limitations in Sec. 5.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Subjective outcome assessment: rater training and characteristics.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Outcome derived from recorded death times and ICD codes; no raters.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Blinding of outcome assessment.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No assessment; outcome derived from coded data.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predictors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selection of predictors and any pre-screening.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(predictor set and the 10% availability rule for laboratory tests); Table A1; Sec. 3.5 (sensitivity analyses vi and vii with extended predictors).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 definitions, how and when measured; blinding.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(first value in the window from 24 hours before to 24 hours after admission; timing of first values); Table A1 (item identifiers, units, coverage). Blinding not applicable.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Subjective predictor measurement: rater training and characteristics.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Predictors are recorded laboratory values and administrative variables.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sample size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sample size was determined and why adequate; include calculation.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and 4.11: criteria of Riley et al. with the observed Cox–Snell R² of 0.031 (9,112 admissions and 209 events required; 19,383 and 445 available; 13.9 events per parameter). Mortality: Sec. 4.12 (assumed R²; 211,688 to 635,433 admissions required).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missing data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Handling of missing data; reasons for omitting data.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(missing data, implausible values, imputation, missingness indicator of creatinine); Table 4 (availability by stratum); Appendix E, Tables A7 and A8 (availability of every variable by SMM and ICU admission); Table 11 (with and without the indicator); no rows deleted.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analysis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data were used (development/evaluation), partitioning, sample-size considerations.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3.4 (patient-grouped five-fold cross-validation repeated three times, 15 splits; test folds with 2,732–2,748 patients and 70–109 patients with an event; inner three-fold tuning); Fig.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 handling: functional form, rescaling, transformation.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3.3 (winsorization at the 0.5th and 99.5th training percentiles, standardization, one-hot encoding with infrequent categories grouped); numeric variables enter linearly, with no further transformation.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type, rationale, all building steps incl. hyperparameter tuning, internal validation.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3.4 (learners, grids, tuning on average precision, explicit stacking with a logistic meta-learner, Platt step); Sec. 4.11 (selected hyperparameters).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Handling and quantification of heterogeneity across clusters.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Single centre, so no centre-level clustering. Patient-level clustering is handled by grouped splits and a patient-level bootstrap (Sec. 3.4 and 3.5; 6,793 of 15,084 patients contributed more than one admission). Heterogeneity is examined by ICU stratum, coding version and calendar group (Sec. 4.7 to 4.9); not by sociodemographic group.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measures and plots (discrimination, calibration, clinical utility), rationale.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and 4.4–4.6, 4.9: AUROC, AUPRC, Brier score, calibration slope, calibration-in-the-large, observed-to-expected ratio, expected calibration error, decile plot, share of events in the top 5% and 10%, decision curve; patient-level bootstrap intervals and paired differences.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updating (e.g., recalibration) arising from the evaluation.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3.4 and 4.5: Platt recalibration fitted on out-of-fold predictions of the training patients (cross-fitted for the ensemble) and evaluated in other patients; calibration in later calendar groups after training on earlier ones in Sec. 4.9 (Table 13); not externally validated.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predictions were calculated in evaluation (formula, code, API).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SQL scripts and notebooks for cohort extraction, labels, predictors, modelling and sensitivity analyses (notebooks/revision), the aggregate outputs of the revised analyses (counts and metrics, no patient-level data) and the audit counts are available in the project repository (Data Availability Statement). Complete code lists: Tables A4 to A6 of Appendix 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class imbalance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Imbalance methods, rationale, and any recalibration afterwards.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(class weights and SMOTE-NC inside the training folds); Sec. 4.10 and Appendix B (Table A2); recalibration after each strategy.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fairness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Approaches to address model fairness and rationale.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Ethnicity, insurance and language group are predictors; performance by group was not assessed and no fairness mitigation was applied (Sec. 5, limitation vii; Sec. 6, ethical considerations).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model output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Output type, rationale, how thresholds were defined.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3.5 and 4.5–4.6: recalibrated probability; no operating threshold is proposed; rank-based groups (top 5% and 10%) and decision curve over 0.5%–20%.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development vs evaluation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Differences between development and evaluation data (setting, eligibility, outcome, predictors).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Evaluation is internal: patient-grouped nested cross-validation and an exploratory temporal validation in the same institution (earlier calendar groups to later ones, and ICD-9 to ICD-10; Sec. 3.5 and 4.9, Tables 12 and 13), which show differences in SMM prevalence and calibration between periods. There is no separate external evaluation cohort.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Methods: ethics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Ethics committee and consent or waiver.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Institutional Review Board Statement and Informed Consent Statement (back matter): ethical review and informed consent were waived because the study used retrospective, de-identified data.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 science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Funding source and role of funders.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Funding statement (back matter).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Conflicts of interest of all authors.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Conflicts of Interest statement (back matter).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Where to access the protocol, or state none was prepared.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developed within a doctoral thesis proposal; no separate protocol was published or is publicly available.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Registration details, or state not registered.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the study was not registered.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Availability of study data.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Data Availability Statement (credentialed access via PhysioNet).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Availability of analytical code.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Data Availability Statement: repository URL (https://github.com/khem777/MaternalMortality_MIMIC-IV) with the code and the aggregate outputs of the revised analyses; patient-level data are not shared (credentialed access via PhysioNet, item 18e).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Patient and public involvement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Patient/public involvement, or state none.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3.1: there was no patient or public involvement.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Results: participants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Flow of participants; numbers with and without outcome; diagram.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Fig. 1 and Sec. 4.1 (Table 1): 25,736 obstetric admissions, 19,425 delivery hospitalizations, 19,383 eligible at 24 hours, with patients, SMM events and deaths in each; the 42 admissions that ended earlier are described in Sec. 3.2.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characteristics, by source, and differences across key demographic 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Table 1, Table 3 (indicators), Table 4 (availability by stratum). There is no baseline-characteristics table by outcome or by sociodemographic group.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Compare predictor and outcome distributions with the development data.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No separate evaluation cohort.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Participants and events in each analysis.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4.1 and Table 1 (patients and events); Sec. 3.4 (events per test fold); Tables 5–11 give the number of admissions and events of each analysis.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Results: model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model details for predictions and third-party evaluation; access restrictions.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3.4, Sec. 4.10 and Table A1 list the learners, grids, selected hyperparameters and predictors. Fitted models are not released (they were trained on credentialed data); the analysis code and aggregate outputs are in the repository and the data access restrictions are in the Data Availability Statement.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Results: performance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estimates with confidence intervals, including key subgroups.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Bootstrap 95% intervals for all performance measures (Tables 5–11), paired differences (Table 6). Key subgroups: ICU strata (Table 9), first admission, ICD-10 only (Table 10); sociodemographic subgroups were not evaluated.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Heterogeneity of performance across clusters.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Single centre.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 of model updating and subsequent performance.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4.5, Table 7, Fig. 2 (after recalibration) and Appendix B, Table A2 (probabilities before recalibration by strategy).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Discussion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interpretation, including fairness.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5; Sec. 6 (ethical considerations).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Limitations: bias, statistical uncertainty, generalisability.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5 (limitations i–ix).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poor-quality or unavailable input data should be assessed and handled at deployment.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5, limitation (iv): the creatinine missingness indicator may be decision-dependent in another workflow; Sec. 6: monitoring for drift. No procedure for assessing poor-quality or unavailable inputs at deployment is given.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27b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Whether users must interact with the data/model and the expertise required.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6: ranking of admissions for clinical review, non-binding aid, overridable alerts, validation by an authorized human decision-maker; the expertise required is not described.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D;E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 research steps (applicability, generalisability).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Sec. 6 (future work i–v).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Table 2. TRIPOD+AI for Abstracts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5000"/>
        <w:gridCol w:w="1100"/>
        <w:gridCol w:w="504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(abbreviated)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Identify as development/evaluation; population and outcome.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Title.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Care context and rationale.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Abstract, Background.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Objectives; development, evaluation or both.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No explicit objective sentence; the abstract states what was analyzed under Methods.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sources.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MIMIC-IV electronic health record database.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Eligibility criteria and setting.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Delivery hospitalizations still in hospital 24 hours after admission; single-centre stated in the Conclusions.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Outcome predicted (and time horizon).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SMM defined with the CDC list in ICD-9-CM and ICD-10-CM/PCS; prediction at 24 hours.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 type, building steps, internal validation (development).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Learners, nested patient-grouped cross-validation, recalibration, patient-level bootstrap.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measures.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AUROC, AUPRC and share of events in the top 5% are reported; calibration is not summarized.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Number of participants and events.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19,383 admissions; 445 SMM events.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Predictors of the final model (development).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Predictors listed: age, five administrative variables, hemoglobin and creatinine.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estimates with confidence intervals.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Partly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AUROC with 95% interval and paired difference with interval; AUPRC without interval.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Discussion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interpretation.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Reported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Conclusions.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Registry name and number.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N/A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>The study was not registered (Sec. 3.1); the MDPI abstract has no registry field.</w:t>
            </w:r>
          </w:p>
        </w:tc>
      </w:tr>
    </w:tbl>
    <w:sectPr>
      <w:footerReference w:type="default" r:id="rId7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TRIPOD+AI checklist –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2026-10-10T14:42:37.280Z</dcterms:created>
  <dcterms:modified xsi:type="dcterms:W3CDTF">2026-10-10T14:42:37.285Z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