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</w:rPr>
        <w:t xml:space="preserve">TRIPOD+AI checklist (supplementary material)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Manuscript: Predicting In-Hospital Maternal Mortality and Severe Maternal Morbidity in MIMIC-IV with a Stacked Machine Learning Ensemble under Extreme Class Imbalance. Authors: E. Gutiérrez Jiménez, J. D. Márquez Díaz. Version of the manuscript: v10.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Study type: development of two prediction models with internal validation (hold-out split and cross-validation); no external validation. Reporting guideline: Collins GS et al. TRIPOD+AI statement. BMJ 2024;385:e078378. Item wording is abbreviated; D = applies to development, E = applies to evaluation.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Location refers to section numbers, tables and figures of the manuscript; "back matter" refers to the unnumbered MDPI statements after the Conclusions.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Main checklist (52 rows): Reported 27; Partly 13; Not reported 6; N/A 6.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Status key: Reported = fully addressed; Partly = addressed in part; Not reported = missing from the manuscript; N/A = does not apply to this study; Pending = analysis or link still to be added.</w:t>
      </w:r>
    </w:p>
    <w:p>
      <w:pPr>
        <w:pStyle w:val="Heading1"/>
      </w:pPr>
      <w:r>
        <w:rPr>
          <w:rFonts w:ascii="Arial" w:cs="Arial" w:eastAsia="Arial" w:hAnsi="Arial"/>
        </w:rPr>
        <w:t xml:space="preserve">Table 1. TRIPOD+AI main checklist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"/>
        <w:gridCol w:w="700"/>
        <w:gridCol w:w="4000"/>
        <w:gridCol w:w="1100"/>
        <w:gridCol w:w="5340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Section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Requirement (abbreviated)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Location in the manuscript / comment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Title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Identify the study as developing/evaluating a multivariable prediction model; target population and outcome.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Reported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Title names the two outcomes (in-hospital maternal mortality, severe maternal morbidity), the data source and the model type.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Abstract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 the TRIPOD+AI for Abstracts checklist (13 items).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Partly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See Table 2 of this document.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Introduction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3a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Health-care context and rationale; cite existing models.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Reported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Sec. 1; Sec. 2.1–2.4 (related work).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3b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Target population, purpose of the model in the care pathway, intended users.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Partly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Population: Sec. 1 and 3.1. Intended use and users appear in Sec. 6 (Implications for practice), not in the Introduction.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3c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Known health inequalities between sociodemographic groups.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Partly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Addressed in Sec. 3.6(v) and Sec. 6 (ethical considerations, with Obermeyer 2019; Rajkomar 2018); not in the Introduction.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Study objectives; development, evaluation or both.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Reported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Sec. 1 (aims and contributions). Development with internal validation only (no external validation; Sec. 5, limitation i).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Methods: data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5a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sources for development and evaluation sets, rationale, representativeness.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Reported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Sec. 3.1 (MIMIC-IV v3.1); Sec. 3.5 (80/20 split and cross-validation); Sec. 5 limitation (vii) on representativeness.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5b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Dates of data collection, start/end of recruitment, follow-up.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Reported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Sec. 3.1: MIMIC-IV v3.1 covers admissions from 2008 to 2022; dates are deidentified by shifting, so no exact dates are available.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Methods: participants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6a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Study setting; number and location of centres.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Reported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Sec. 3.1; single academic medical centre (Beth Israel Deaconess Medical Center), Sec. 1, 5 and 6.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6b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Eligibility criteria.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Reported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Sec. 3.1 (women 12–55 years, obstetric/pregnancy-related ICD diagnosis in position ≤ 4; ICU stay not required).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6c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Treatments received and how they were handled.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CC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Not reported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described. ICU stay is the only care-related variable (Sec. 3.3). Suggest one sentence.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Methods: data preparation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Preprocessing and quality control; whether similar across sociodemographic groups.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Partly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Sec. 3.3 and Fig. 1 (sentinel values, implausible zeros, winsorization, imputation, scaling). Similarity across groups is not stated.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Methods: outcome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8a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Outcome definition, time horizon, rationale, consistency across groups.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Partly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Sec. 3.2 (Model A: recorded death in index or later admission; Model B: CDC/HRSA FAD-2023 indicators). Consistency across groups not assessed; label limits in Sec. 5 (limitations iv, v).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8b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Subjective outcome assessment: rater training and characteristics.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N/A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Outcome derived from recorded death times and ICD codes; no raters.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8c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Blinding of outcome assessment.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N/A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 assessment; outcome derived from coded data.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Methods: predictors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9a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Initial selection of predictors and any pre-screening.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Reported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Sec. 3.3 (candidate predictors); Sec. 3.4 (correlation review); Table 3 (predictors per model).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9b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Predictor definitions, how and when measured; blinding.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Reported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Sec. 3.3 (earliest available value; hospital-wide laboratory events). Blinding not applicable.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9c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Subjective predictor measurement: rater training and characteristics.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N/A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Predictors are recorded laboratory/chart values and administrative variables.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Methods: sample size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10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How sample size was determined and why adequate; include calculation.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Partly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Sec. 3.5: Riley et al. criteria discussed; Model A (41 events, 89 predictors) stated as unlikely to meet them. No formal calculation reported (suggest adding it for Model B).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Methods: missing data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Handling of missing data; reasons for omitting data.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Partly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Sec. 3.3 (implausible values set to missing; median/mode imputation); no rows deleted. Proportion of missing values per predictor is not reported.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Methods: analysis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12a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How data were used (development/evaluation), partitioning, sample-size considerations.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Reported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Sec. 3.5 (80/20 stratified split, seed 42; five-fold CV on all admissions; Table 3 for events per split). Split is by admission, not by patient (see 12d).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12b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Predictor handling: functional form, rescaling, transformation.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Reported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Sec. 3.3 (RobustScaler / MinMaxScaler by skewness, one-hot encoding, winsorization).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12c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Model type, rationale, all building steps incl. hyperparameter tuning, internal validation.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Reported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Sec. 3.5; Table 2 (selected hyperparameters); stacking with class-weighted L2 logistic meta-learner; grid search on AP.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12d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Handling and quantification of heterogeneity across clusters.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CC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Not reported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Single centre, so no centre-level clustering. Patient-level clustering (several admissions of one patient) is not addressed: the notebooks split and cross-validate by row, without grouping by patient. Verify and state.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12e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Performance measures and plots (discrimination, calibration, clinical utility), rationale.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Reported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Sec. 3.5 and 3.6(iii): AUC, AP, recall, F1, Brier score and skill, reliability curves, gain/lift tables, bootstrap CIs. Decision-curve analysis not done (Sec. 6, future work).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12f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Model updating (e.g., recalibration) arising from the evaluation.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Reported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Sec. 3.6(vi) and Sec. 4.8: Platt scaling and isotonic regression fitted to out-of-fold stacking probabilities (20 x 5-fold CV); not externally validated (Sec. 5, 6).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12g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How predictions were calculated in evaluation (formula, code, API).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Reported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Analysis code in the public repository https://github.com/khem777/maternal-smm-mimicIV (Data Availability Statement); the repository must be public before submission.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Methods: class imbalance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Imbalance methods, rationale, and any recalibration afterwards.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Reported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Sec. 3.5 (class weights; SMOTE inside folds as sensitivity); Sec. 4.5 and 4.8; calibration assessed and recalibration (Platt, isotonic) applied in Sec. 4.8.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Methods: fairness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Approaches to address model fairness and rationale.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Partly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Sec. 3.6(v) subgroup audit (ethnicity, insurance, age, ICU stay, delivery); Sec. 6. No mitigation approach applied.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Methods: model output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15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Output type, rationale, how thresholds were defined.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Reported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Sec. 3.5 and 3.6(iii): predicted probabilities; default 0.5 threshold; percentile-based risk bands.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Methods: development vs evaluation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16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Differences between development and evaluation data (setting, eligibility, outcome, predictors).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N/A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Both sets come from the same source by random stratified split.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Methods: ethics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17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Ethics committee and consent or waiver.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Reported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Institutional Review Board Statement and Informed Consent Statement (back matter): BIDMC IRB approval of the database; waiver for this secondary use.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Open science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18a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Funding source and role of funders.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Reported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Funding statement (back matter).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18b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Conflicts of interest of all authors.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Reported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Conflicts of Interest statement (back matter).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18c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Where to access the protocol, or state none was prepared.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CC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Not reported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stated. Suggest: "No protocol was prepared."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18d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Registration details, or state not registered.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CC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Not reported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stated. Suggest: "The study was not registered."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18e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Availability of study data.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Reported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Availability Statement (credentialed access via PhysioNet).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18f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Availability of analytical code.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Reported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Repository URL in the Data Availability Statement; the repository must be public before submission.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Patient and public involvement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19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Patient/public involvement, or state none.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CC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Not reported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stated. Suggest: "There was no patient or public involvement."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Results: participants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20a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Flow of participants; numbers with and without outcome; diagram.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Partly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Fig. 1 and Sec. 4.1 / Table 3 give the final cohort and events. No flow diagram from all MIMIC-IV admissions to the 25,736 included.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20b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Overall characteristics, by source, and differences across key demographic groups.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Partly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Table 3, Sec. 4.2 (SMM description), Table 15 (subgroup sizes). No baseline-characteristics table by outcome.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20c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Compare predictor and outcome distributions with the development data.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N/A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 separate evaluation cohort.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Participants and events in each analysis.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Reported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Sec. 3.5 and Table 3 (33/8 events in Model A, 380/95 in Model B, train/test); CV tables (Tables 6 and 9).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Results: model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Full model details for predictions and third-party evaluation; access restrictions.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Partly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Table 2 lists hyperparameters. Fitted models are not released and the code URL is pending; access restrictions of the data in Sec. 6.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Results: performance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23a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Performance estimates with confidence intervals, including key subgroups.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Partly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CV mean ± SD (Tables 6, 9); bootstrap 95% CI for subgroup AUC (Table 15) and calibration; hold-out Table 8 reports point estimates only.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23b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Heterogeneity of performance across clusters.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N/A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Single centre.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Results of model updating and subsequent performance.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Reported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Sec. 4.8 and Table 14 / Figure 11 (Brier skill, ECE, slope, AUC, AP before and after recalibration, both models).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Discussion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25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Overall interpretation, including fairness.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Reported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Sec. 5; Sec. 6 (ethical considerations).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26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Limitations: bias, statistical uncertainty, generalisability.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Reported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Sec. 5 (limitations i–vii).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27a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How poor-quality or unavailable input data should be assessed and handled at deployment.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CC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Not reported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discussed. Sec. 6 states the models are research prototypes. Suggest one sentence.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27b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Whether users must interact with the data/model and the expertise required.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Partly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Sec. 6: ranking for clinical review, non-binding aid, overridable alerts; expertise level not specified.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27c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Next research steps (applicability, generalisability).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Reported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Sec. 6 (future work i–v).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Table 2. TRIPOD+AI for Abstracts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"/>
        <w:gridCol w:w="5000"/>
        <w:gridCol w:w="1100"/>
        <w:gridCol w:w="5040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Section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Requirement (abbreviated)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5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Comment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Title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Identify as development/evaluation; population and outcome.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Reported</w:t>
            </w:r>
          </w:p>
        </w:tc>
        <w:tc>
          <w:tcPr>
            <w:tcW w:type="dxa" w:w="5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Title.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Background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Care context and rationale.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Reported</w:t>
            </w:r>
          </w:p>
        </w:tc>
        <w:tc>
          <w:tcPr>
            <w:tcW w:type="dxa" w:w="5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Abstract, Background.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Objectives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Objectives; development, evaluation or both.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Partly</w:t>
            </w:r>
          </w:p>
        </w:tc>
        <w:tc>
          <w:tcPr>
            <w:tcW w:type="dxa" w:w="5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 explicit objective sentence; "we built two models" appears under Methods.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Methods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sources.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Reported</w:t>
            </w:r>
          </w:p>
        </w:tc>
        <w:tc>
          <w:tcPr>
            <w:tcW w:type="dxa" w:w="5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MIMIC-IV electronic health record database.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Eligibility criteria and setting.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Reported</w:t>
            </w:r>
          </w:p>
        </w:tc>
        <w:tc>
          <w:tcPr>
            <w:tcW w:type="dxa" w:w="5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Obstetric admissions of women 12–55 years; single-centre stated in Conclusions.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Outcome predicted (and time horizon).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Reported</w:t>
            </w:r>
          </w:p>
        </w:tc>
        <w:tc>
          <w:tcPr>
            <w:tcW w:type="dxa" w:w="5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Models A and B defined.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Model type, building steps, internal validation (development).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Reported</w:t>
            </w:r>
          </w:p>
        </w:tc>
        <w:tc>
          <w:tcPr>
            <w:tcW w:type="dxa" w:w="5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Algorithms, grid search on AP, cross-validation and hold-out.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Performance measures.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Reported</w:t>
            </w:r>
          </w:p>
        </w:tc>
        <w:tc>
          <w:tcPr>
            <w:tcW w:type="dxa" w:w="5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AUC, AP, calibration, risk bands, subgroup audit.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Results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9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Number of participants and events.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Reported</w:t>
            </w:r>
          </w:p>
        </w:tc>
        <w:tc>
          <w:tcPr>
            <w:tcW w:type="dxa" w:w="5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25,736 admissions; 41 and 475 events.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10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Predictors of the final model (development).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CC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Not reported</w:t>
            </w:r>
          </w:p>
        </w:tc>
        <w:tc>
          <w:tcPr>
            <w:tcW w:type="dxa" w:w="5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Leading predictors are not summarised in the abstract.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11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Performance estimates with confidence intervals.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Partly</w:t>
            </w:r>
          </w:p>
        </w:tc>
        <w:tc>
          <w:tcPr>
            <w:tcW w:type="dxa" w:w="5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Mean ± SD for cross-validation; no confidence intervals for the hold-out.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Discussion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12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Overall interpretation.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Reported</w:t>
            </w:r>
          </w:p>
        </w:tc>
        <w:tc>
          <w:tcPr>
            <w:tcW w:type="dxa" w:w="5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Conclusions.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Registration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13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Registry name and number.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N/A</w:t>
            </w:r>
          </w:p>
        </w:tc>
        <w:tc>
          <w:tcPr>
            <w:tcW w:type="dxa" w:w="5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registered; the MDPI abstract has no registry field.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Gaps to close before submission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Patient-level clustering (items 12a, 12d). </w:t>
      </w:r>
      <w:r>
        <w:rPr>
          <w:rFonts w:ascii="Arial" w:cs="Arial" w:eastAsia="Arial" w:hAnsi="Arial"/>
          <w:sz w:val="20"/>
          <w:szCs w:val="20"/>
        </w:rPr>
        <w:t xml:space="preserve">Check how many distinct patients the 25,736 admissions represent (a query you run yourself). If patients have repeated admissions, state it and consider a patient-grouped split and cross-validation, because the same patient could appear in both training and test sets, which can make the estimates optimistic.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One-line statements (6c, 18c, 18d, 19, 27a). </w:t>
      </w:r>
      <w:r>
        <w:rPr>
          <w:rFonts w:ascii="Arial" w:cs="Arial" w:eastAsia="Arial" w:hAnsi="Arial"/>
          <w:sz w:val="20"/>
          <w:szCs w:val="20"/>
        </w:rPr>
        <w:t xml:space="preserve">Add short sentences on treatments, protocol, registration, public involvement and deployment data quality.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Confidence intervals for the hold-out (23a, abstract 11). </w:t>
      </w:r>
      <w:r>
        <w:rPr>
          <w:rFonts w:ascii="Arial" w:cs="Arial" w:eastAsia="Arial" w:hAnsi="Arial"/>
          <w:sz w:val="20"/>
          <w:szCs w:val="20"/>
        </w:rPr>
        <w:t xml:space="preserve">Add bootstrap 95% CIs for AUC and AP in Table 8.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Cohort flow (20a) and baseline characteristics (20b). </w:t>
      </w:r>
      <w:r>
        <w:rPr>
          <w:rFonts w:ascii="Arial" w:cs="Arial" w:eastAsia="Arial" w:hAnsi="Arial"/>
          <w:sz w:val="20"/>
          <w:szCs w:val="20"/>
        </w:rPr>
        <w:t xml:space="preserve">Add a flow diagram and a table of characteristics by outcome.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Sample size (10). </w:t>
      </w:r>
      <w:r>
        <w:rPr>
          <w:rFonts w:ascii="Arial" w:cs="Arial" w:eastAsia="Arial" w:hAnsi="Arial"/>
          <w:sz w:val="20"/>
          <w:szCs w:val="20"/>
        </w:rPr>
        <w:t xml:space="preserve">Report a formal Riley et al. calculation for Model 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Introduction (3b, 3c). </w:t>
      </w:r>
      <w:r>
        <w:rPr>
          <w:rFonts w:ascii="Arial" w:cs="Arial" w:eastAsia="Arial" w:hAnsi="Arial"/>
          <w:sz w:val="20"/>
          <w:szCs w:val="20"/>
        </w:rPr>
        <w:t xml:space="preserve">Add intended use/users and the known disparities in maternal outcomes.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Missing data (11). </w:t>
      </w:r>
      <w:r>
        <w:rPr>
          <w:rFonts w:ascii="Arial" w:cs="Arial" w:eastAsia="Arial" w:hAnsi="Arial"/>
          <w:sz w:val="20"/>
          <w:szCs w:val="20"/>
        </w:rPr>
        <w:t xml:space="preserve">Report the proportion of missing values per predictor.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Repository (12g, 18f). </w:t>
      </w:r>
      <w:r>
        <w:rPr>
          <w:rFonts w:ascii="Arial" w:cs="Arial" w:eastAsia="Arial" w:hAnsi="Arial"/>
          <w:sz w:val="20"/>
          <w:szCs w:val="20"/>
        </w:rPr>
        <w:t xml:space="preserve">Upload the repository and make it public before submission; confirm that .env and *.xlsx files are not tracked.</w:t>
      </w:r>
    </w:p>
    <w:sectPr>
      <w:footerReference w:type="default" r:id="rId7"/>
      <w:pgSz w:w="15840" w:h="12240" w:orient="landscape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TRIPOD+AI checklist – 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2026-10-10T11:47:04.812Z</dcterms:created>
  <dcterms:modified xsi:type="dcterms:W3CDTF">2026-10-10T11:47:04.812Z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