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52A83" w14:textId="77777777" w:rsidR="005D2CF6" w:rsidRDefault="00000000">
      <w:pPr>
        <w:pStyle w:val="Ttulo"/>
        <w:spacing w:after="400"/>
        <w:jc w:val="center"/>
      </w:pPr>
      <w:r>
        <w:rPr>
          <w:b/>
          <w:bCs/>
        </w:rPr>
        <w:t>Limitaciones Metodológicas y Justificación del Diseño de Dos Modelos Predictivos para Morbimortalidad Materna</w:t>
      </w:r>
    </w:p>
    <w:p w14:paraId="235CC42D" w14:textId="77777777" w:rsidR="005D2CF6" w:rsidRDefault="00000000">
      <w:pPr>
        <w:pStyle w:val="Ttulo1"/>
        <w:spacing w:before="400" w:after="200"/>
      </w:pPr>
      <w:r>
        <w:rPr>
          <w:b/>
          <w:bCs/>
        </w:rPr>
        <w:t>1. Planteamiento del reto metodológico</w:t>
      </w:r>
    </w:p>
    <w:p w14:paraId="38DEAAFF" w14:textId="77777777" w:rsidR="005D2CF6" w:rsidRDefault="00000000">
      <w:pPr>
        <w:spacing w:after="200" w:line="360" w:lineRule="auto"/>
        <w:jc w:val="both"/>
      </w:pPr>
      <w:r>
        <w:rPr>
          <w:sz w:val="24"/>
          <w:szCs w:val="24"/>
        </w:rPr>
        <w:t xml:space="preserve">Durante la construcción de la cohorte de mujeres embarazadas en MIMIC-IV para el segundo modelo predictivo de esta tesis (mortalidad materna), el número absoluto de casos positivos (madres fallecidas) resultó consistentemente bajo a lo largo de sucesivas iteraciones de depuración: 36 casos en la extracción inicial (cohorte restringida a estancia en UCI y a una ventana de 13 meses), 45 casos tras ampliar la cohorte a toda admisión hospitalaria y remover la restricción de fechas, y 41 casos tras corregir un error de cálculo de edad materna (se identificó que el campo DOB de la tabla PATIENTS de este esquema está documentado explícitamente como no poblado de forma confiable para pacientes adultas, por lo que la edad debió recalcularse a partir de los campos ANCHOR_AGE y ANCHOR_YEAR, el mecanismo oficial de desidentificación temporal de MIMIC-IV). Este capítulo documenta por qué esa baja frecuencia no constituye, en sí misma, evidencia de un error de extracción, sino un fenómeno epidemiológicamente esperado y ampliamente documentado en la literatura, y justifica la decisión metodológica de complementar el modelo de mortalidad con un segundo modelo, estadísticamente más robusto, sobre morbilidad materna severa (severe maternal </w:t>
      </w:r>
      <w:proofErr w:type="spellStart"/>
      <w:r>
        <w:rPr>
          <w:sz w:val="24"/>
          <w:szCs w:val="24"/>
        </w:rPr>
        <w:t>morbidity</w:t>
      </w:r>
      <w:proofErr w:type="spellEnd"/>
      <w:r>
        <w:rPr>
          <w:sz w:val="24"/>
          <w:szCs w:val="24"/>
        </w:rPr>
        <w:t>, SMM).</w:t>
      </w:r>
    </w:p>
    <w:p w14:paraId="5152B866" w14:textId="77777777" w:rsidR="005D2CF6" w:rsidRDefault="00000000">
      <w:pPr>
        <w:pStyle w:val="Ttulo1"/>
        <w:spacing w:before="400" w:after="200"/>
      </w:pPr>
      <w:r>
        <w:rPr>
          <w:b/>
          <w:bCs/>
        </w:rPr>
        <w:t>2. Contexto epidemiológico de la mortalidad materna</w:t>
      </w:r>
    </w:p>
    <w:p w14:paraId="6D7910FF" w14:textId="52EE0F01" w:rsidR="005D2CF6" w:rsidRDefault="00000000">
      <w:pPr>
        <w:spacing w:after="200" w:line="360" w:lineRule="auto"/>
        <w:jc w:val="both"/>
      </w:pPr>
      <w:r>
        <w:rPr>
          <w:sz w:val="24"/>
          <w:szCs w:val="24"/>
        </w:rPr>
        <w:t xml:space="preserve">La razón de mortalidad materna (RMM) es, por definición, un evento raro incluso en poblaciones de alto riesgo. Según las estimaciones </w:t>
      </w:r>
      <w:r w:rsidR="001E3C26">
        <w:rPr>
          <w:sz w:val="24"/>
          <w:szCs w:val="24"/>
        </w:rPr>
        <w:t>inter agenciales</w:t>
      </w:r>
      <w:r>
        <w:rPr>
          <w:sz w:val="24"/>
          <w:szCs w:val="24"/>
        </w:rPr>
        <w:t xml:space="preserve"> de Naciones Unidas publicadas por la Organización Mundial de la Salud, la RMM global se situó en 197 muertes por cada 100.000 nacidos vivos en 2023, lo que equivale a una probabilidad de muerte materna de aproximadamente 0,197% por nacimiento (OMS, 2025). En Estados Unidos —el país de origen de la base de datos MIMIC-IV, proveniente del Beth Israel Deaconess Medical Center en Boston—, el Centro </w:t>
      </w:r>
      <w:r>
        <w:rPr>
          <w:sz w:val="24"/>
          <w:szCs w:val="24"/>
        </w:rPr>
        <w:lastRenderedPageBreak/>
        <w:t xml:space="preserve">Nacional de Estadísticas de Salud (NCHS) de los CDC reportó una tasa de 18,6 muertes por cada 100.000 nacidos vivos en 2023, frente a 22,3 en 2022 (CDC/NCHS, 2025). Con una tasa de este orden de magnitud, una cohorte de aproximadamente 23.000 mujeres con diagnóstico obstétrico produce, por pura aritmética poblacional, un número esperado de eventos fatales de apenas un puñado de casos —consistente con los 36 a 45 casos identificados—, incluso si la identificación de la cohorte y del </w:t>
      </w:r>
      <w:proofErr w:type="spellStart"/>
      <w:r>
        <w:rPr>
          <w:sz w:val="24"/>
          <w:szCs w:val="24"/>
        </w:rPr>
        <w:t>outcome</w:t>
      </w:r>
      <w:proofErr w:type="spellEnd"/>
      <w:r>
        <w:rPr>
          <w:sz w:val="24"/>
          <w:szCs w:val="24"/>
        </w:rPr>
        <w:t xml:space="preserve"> fuera perfecta.</w:t>
      </w:r>
    </w:p>
    <w:p w14:paraId="588DEEB6" w14:textId="77777777" w:rsidR="005D2CF6" w:rsidRDefault="00000000">
      <w:pPr>
        <w:pStyle w:val="Ttulo1"/>
        <w:spacing w:before="400" w:after="200"/>
      </w:pPr>
      <w:r>
        <w:rPr>
          <w:b/>
          <w:bCs/>
        </w:rPr>
        <w:t>3. Limitación estructural de la fuente de datos: MIMIC-IV</w:t>
      </w:r>
    </w:p>
    <w:p w14:paraId="580BA17E" w14:textId="77777777" w:rsidR="005D2CF6" w:rsidRDefault="00000000">
      <w:pPr>
        <w:spacing w:after="200" w:line="360" w:lineRule="auto"/>
        <w:jc w:val="both"/>
      </w:pPr>
      <w:r>
        <w:rPr>
          <w:sz w:val="24"/>
          <w:szCs w:val="24"/>
        </w:rPr>
        <w:t xml:space="preserve">A esta rareza epidemiológica se suma una limitación estructural propia de la base de datos utilizada. El campo </w:t>
      </w:r>
      <w:proofErr w:type="spellStart"/>
      <w:r>
        <w:rPr>
          <w:sz w:val="24"/>
          <w:szCs w:val="24"/>
        </w:rPr>
        <w:t>deathtime</w:t>
      </w:r>
      <w:proofErr w:type="spellEnd"/>
      <w:r>
        <w:rPr>
          <w:sz w:val="24"/>
          <w:szCs w:val="24"/>
        </w:rPr>
        <w:t xml:space="preserve"> de la tabla ADMISSIONS de MIMIC-IV únicamente registra defunciones ocurridas durante una hospitalización activa. A diferencia de versiones previas (MIMIC-III), la versión actual de MIMIC-IV no incluye vinculación pública con registros civiles de defunción posteriores al egreso hospitalario, por razones de desidentificación de los pacientes. Dado que la definición de muerte materna de la Organización Mundial de la Salud contempla cualquier fallecimiento ocurrido durante el embarazo o dentro de los 42 días posteriores a su terminación —lapso que con frecuencia excede la duración de la hospitalización índice—, es esperable que la fuente de datos subestime sistemáticamente el verdadero número de muertes maternas asociadas a la cohorte, independientemente de la precisión con la que se identifiquen los diagnósticos obstétricos.</w:t>
      </w:r>
    </w:p>
    <w:p w14:paraId="513F55C2" w14:textId="77777777" w:rsidR="005D2CF6" w:rsidRDefault="00000000">
      <w:pPr>
        <w:pStyle w:val="Ttulo1"/>
        <w:spacing w:before="400" w:after="200"/>
      </w:pPr>
      <w:r>
        <w:rPr>
          <w:b/>
          <w:bCs/>
        </w:rPr>
        <w:t>4. Proceso de depuración y auditoría de la cohorte</w:t>
      </w:r>
    </w:p>
    <w:p w14:paraId="05C9DE67" w14:textId="77777777" w:rsidR="005D2CF6" w:rsidRDefault="00000000">
      <w:pPr>
        <w:spacing w:after="200" w:line="360" w:lineRule="auto"/>
        <w:jc w:val="both"/>
      </w:pPr>
      <w:r>
        <w:rPr>
          <w:sz w:val="24"/>
          <w:szCs w:val="24"/>
        </w:rPr>
        <w:t xml:space="preserve">La secuencia de refinamiento de la cohorte (36 → 45 → 41 casos) documenta un proceso de auditoría de calidad de datos que debe presentarse como evidencia de rigor metodológico. En primer lugar, se removió la exigencia de estancia en unidad de cuidados intensivos y la restricción a una ventana de 13 meses heredada, sin justificación clínica explícita, del modelo neonatal. En segundo lugar, se amplió la identificación de diagnóstico obstétrico combinando la búsqueda original por palabras clave en el título del diagnóstico con una identificación complementaria por capítulo y rango de código (CIE-9 630-679 y V22-V24/V27/V28; CIE-10 capítulo O00-O9A y códigos Z33/Z34/Z37/Z39). En tercer lugar, se identificó y corrigió el uso indebido del campo DOB para el cálculo de edad materna, reemplazándolo por el cálculo estándar de MIMIC-IV </w:t>
      </w:r>
      <w:r>
        <w:rPr>
          <w:sz w:val="24"/>
          <w:szCs w:val="24"/>
        </w:rPr>
        <w:lastRenderedPageBreak/>
        <w:t>basado en ANCHOR_AGE y ANCHOR_YEAR. Cada uno de estos pasos se documentó y justificó antes de aplicarse, siguiendo un principio de trazabilidad y reproducibilidad exigible a cualquier pipeline de investigación en salud basado en datos administrativos.</w:t>
      </w:r>
    </w:p>
    <w:p w14:paraId="2C65D09D" w14:textId="77777777" w:rsidR="005D2CF6" w:rsidRDefault="00000000">
      <w:pPr>
        <w:pStyle w:val="Ttulo1"/>
        <w:spacing w:before="400" w:after="200"/>
      </w:pPr>
      <w:r>
        <w:rPr>
          <w:b/>
          <w:bCs/>
        </w:rPr>
        <w:t>5. Justificación del diseño de dos modelos complementarios</w:t>
      </w:r>
    </w:p>
    <w:p w14:paraId="5900DD8B" w14:textId="77777777" w:rsidR="005D2CF6" w:rsidRDefault="00000000">
      <w:pPr>
        <w:spacing w:after="200" w:line="360" w:lineRule="auto"/>
        <w:jc w:val="both"/>
      </w:pPr>
      <w:r>
        <w:rPr>
          <w:sz w:val="24"/>
          <w:szCs w:val="24"/>
        </w:rPr>
        <w:t>Ante la imposibilidad de incrementar sustancialmente el número absoluto de eventos de mortalidad materna mediante refinamiento adicional de la consulta —dado que el techo está determinado por la rareza epidemiológica real del evento y por la limitación estructural de captura de MIMIC-IV, no por la calidad del proceso de extracción—, se adoptó el diseño de dos modelos predictivos complementarios, en línea con precedentes publicados que enfrentaron el mismo reto.</w:t>
      </w:r>
    </w:p>
    <w:p w14:paraId="113FF46B" w14:textId="77777777" w:rsidR="005D2CF6" w:rsidRDefault="00000000">
      <w:pPr>
        <w:pStyle w:val="Ttulo2"/>
        <w:spacing w:before="300" w:after="150"/>
      </w:pPr>
      <w:r>
        <w:rPr>
          <w:b/>
          <w:bCs/>
        </w:rPr>
        <w:t>5.1 Modelo A — Mortalidad materna (exploratorio)</w:t>
      </w:r>
    </w:p>
    <w:p w14:paraId="5D9054F5" w14:textId="77777777" w:rsidR="005D2CF6" w:rsidRDefault="00000000">
      <w:pPr>
        <w:spacing w:after="200" w:line="360" w:lineRule="auto"/>
        <w:jc w:val="both"/>
      </w:pPr>
      <w:r>
        <w:rPr>
          <w:sz w:val="24"/>
          <w:szCs w:val="24"/>
        </w:rPr>
        <w:t xml:space="preserve">El primer modelo conserva la muerte materna intrahospitalaria como </w:t>
      </w:r>
      <w:proofErr w:type="spellStart"/>
      <w:r>
        <w:rPr>
          <w:sz w:val="24"/>
          <w:szCs w:val="24"/>
        </w:rPr>
        <w:t>outcome</w:t>
      </w:r>
      <w:proofErr w:type="spellEnd"/>
      <w:r>
        <w:rPr>
          <w:sz w:val="24"/>
          <w:szCs w:val="24"/>
        </w:rPr>
        <w:t>, y se presenta explícitamente como exploratorio y generador de hipótesis, no como un modelo de uso clínico validado. Su evaluación se apoya en validación cruzada estratificada (</w:t>
      </w:r>
      <w:proofErr w:type="spellStart"/>
      <w:r>
        <w:rPr>
          <w:sz w:val="24"/>
          <w:szCs w:val="24"/>
        </w:rPr>
        <w:t>Stratified</w:t>
      </w:r>
      <w:proofErr w:type="spellEnd"/>
      <w:r>
        <w:rPr>
          <w:sz w:val="24"/>
          <w:szCs w:val="24"/>
        </w:rPr>
        <w:t xml:space="preserve"> K-Fold, k=5) en lugar de una única partición entrenamiento/prueba, en métricas robustas a un desbalance extremo de clases (precisión-</w:t>
      </w:r>
      <w:proofErr w:type="spellStart"/>
      <w:r>
        <w:rPr>
          <w:sz w:val="24"/>
          <w:szCs w:val="24"/>
        </w:rPr>
        <w:t>recall</w:t>
      </w:r>
      <w:proofErr w:type="spellEnd"/>
      <w:r>
        <w:rPr>
          <w:sz w:val="24"/>
          <w:szCs w:val="24"/>
        </w:rPr>
        <w:t>/</w:t>
      </w:r>
      <w:proofErr w:type="spellStart"/>
      <w:r>
        <w:rPr>
          <w:sz w:val="24"/>
          <w:szCs w:val="24"/>
        </w:rPr>
        <w:t>average</w:t>
      </w:r>
      <w:proofErr w:type="spellEnd"/>
      <w:r>
        <w:rPr>
          <w:sz w:val="24"/>
          <w:szCs w:val="24"/>
        </w:rPr>
        <w:t xml:space="preserve"> </w:t>
      </w:r>
      <w:proofErr w:type="spellStart"/>
      <w:r>
        <w:rPr>
          <w:sz w:val="24"/>
          <w:szCs w:val="24"/>
        </w:rPr>
        <w:t>precision</w:t>
      </w:r>
      <w:proofErr w:type="spellEnd"/>
      <w:r>
        <w:rPr>
          <w:sz w:val="24"/>
          <w:szCs w:val="24"/>
        </w:rPr>
        <w:t>, sensibilidad, F1 y exactitud balanceada, además del área bajo la curva ROC), y en el uso de ponderación de clases (</w:t>
      </w:r>
      <w:proofErr w:type="spellStart"/>
      <w:r>
        <w:rPr>
          <w:sz w:val="24"/>
          <w:szCs w:val="24"/>
        </w:rPr>
        <w:t>class_weight</w:t>
      </w:r>
      <w:proofErr w:type="spellEnd"/>
      <w:r>
        <w:rPr>
          <w:sz w:val="24"/>
          <w:szCs w:val="24"/>
        </w:rPr>
        <w:t>="</w:t>
      </w:r>
      <w:proofErr w:type="spellStart"/>
      <w:r>
        <w:rPr>
          <w:sz w:val="24"/>
          <w:szCs w:val="24"/>
        </w:rPr>
        <w:t>balanced</w:t>
      </w:r>
      <w:proofErr w:type="spellEnd"/>
      <w:r>
        <w:rPr>
          <w:sz w:val="24"/>
          <w:szCs w:val="24"/>
        </w:rPr>
        <w:t>"/"</w:t>
      </w:r>
      <w:proofErr w:type="spellStart"/>
      <w:r>
        <w:rPr>
          <w:sz w:val="24"/>
          <w:szCs w:val="24"/>
        </w:rPr>
        <w:t>balanced_subsample</w:t>
      </w:r>
      <w:proofErr w:type="spellEnd"/>
      <w:r>
        <w:rPr>
          <w:sz w:val="24"/>
          <w:szCs w:val="24"/>
        </w:rPr>
        <w:t xml:space="preserve">", </w:t>
      </w:r>
      <w:proofErr w:type="spellStart"/>
      <w:r>
        <w:rPr>
          <w:sz w:val="24"/>
          <w:szCs w:val="24"/>
        </w:rPr>
        <w:t>scale_pos_weight</w:t>
      </w:r>
      <w:proofErr w:type="spellEnd"/>
      <w:r>
        <w:rPr>
          <w:sz w:val="24"/>
          <w:szCs w:val="24"/>
        </w:rPr>
        <w:t xml:space="preserve">) en los cinco algoritmos entrenados (bosques aleatorios, </w:t>
      </w:r>
      <w:proofErr w:type="spellStart"/>
      <w:r>
        <w:rPr>
          <w:sz w:val="24"/>
          <w:szCs w:val="24"/>
        </w:rPr>
        <w:t>XGBoost</w:t>
      </w:r>
      <w:proofErr w:type="spellEnd"/>
      <w:r>
        <w:rPr>
          <w:sz w:val="24"/>
          <w:szCs w:val="24"/>
        </w:rPr>
        <w:t xml:space="preserve">, Extra Trees, regresión logística y un ensamble por apilamiento). El </w:t>
      </w:r>
      <w:proofErr w:type="spellStart"/>
      <w:r>
        <w:rPr>
          <w:sz w:val="24"/>
          <w:szCs w:val="24"/>
        </w:rPr>
        <w:t>sobremuestreo</w:t>
      </w:r>
      <w:proofErr w:type="spellEnd"/>
      <w:r>
        <w:rPr>
          <w:sz w:val="24"/>
          <w:szCs w:val="24"/>
        </w:rPr>
        <w:t xml:space="preserve"> sintético (SMOTE) se documenta como análisis de sensibilidad opcional, no como paso por defecto, dado el riesgo de generar pacientes sintéticas poco realistas a partir de menos de 40 casos positivos reales.</w:t>
      </w:r>
    </w:p>
    <w:p w14:paraId="05181BAA" w14:textId="77777777" w:rsidR="005D2CF6" w:rsidRDefault="00000000">
      <w:pPr>
        <w:pStyle w:val="Ttulo2"/>
        <w:spacing w:before="300" w:after="150"/>
      </w:pPr>
      <w:r>
        <w:rPr>
          <w:b/>
          <w:bCs/>
        </w:rPr>
        <w:t xml:space="preserve">5.2 Modelo B — Morbilidad materna severa / </w:t>
      </w:r>
      <w:proofErr w:type="spellStart"/>
      <w:r>
        <w:rPr>
          <w:b/>
          <w:bCs/>
        </w:rPr>
        <w:t>near</w:t>
      </w:r>
      <w:proofErr w:type="spellEnd"/>
      <w:r>
        <w:rPr>
          <w:b/>
          <w:bCs/>
        </w:rPr>
        <w:t>-miss (robusto)</w:t>
      </w:r>
    </w:p>
    <w:p w14:paraId="08EA0860" w14:textId="77777777" w:rsidR="005D2CF6" w:rsidRDefault="00000000">
      <w:pPr>
        <w:spacing w:after="200" w:line="360" w:lineRule="auto"/>
        <w:jc w:val="both"/>
      </w:pPr>
      <w:r>
        <w:rPr>
          <w:sz w:val="24"/>
          <w:szCs w:val="24"/>
        </w:rPr>
        <w:t xml:space="preserve">El segundo modelo adopta como </w:t>
      </w:r>
      <w:proofErr w:type="spellStart"/>
      <w:r>
        <w:rPr>
          <w:sz w:val="24"/>
          <w:szCs w:val="24"/>
        </w:rPr>
        <w:t>outcome</w:t>
      </w:r>
      <w:proofErr w:type="spellEnd"/>
      <w:r>
        <w:rPr>
          <w:sz w:val="24"/>
          <w:szCs w:val="24"/>
        </w:rPr>
        <w:t xml:space="preserve"> la morbilidad materna severa (severe maternal </w:t>
      </w:r>
      <w:proofErr w:type="spellStart"/>
      <w:r>
        <w:rPr>
          <w:sz w:val="24"/>
          <w:szCs w:val="24"/>
        </w:rPr>
        <w:t>morbidity</w:t>
      </w:r>
      <w:proofErr w:type="spellEnd"/>
      <w:r>
        <w:rPr>
          <w:sz w:val="24"/>
          <w:szCs w:val="24"/>
        </w:rPr>
        <w:t>, SMM), también conocida como enfoque "</w:t>
      </w:r>
      <w:proofErr w:type="spellStart"/>
      <w:r>
        <w:rPr>
          <w:sz w:val="24"/>
          <w:szCs w:val="24"/>
        </w:rPr>
        <w:t>near</w:t>
      </w:r>
      <w:proofErr w:type="spellEnd"/>
      <w:r>
        <w:rPr>
          <w:sz w:val="24"/>
          <w:szCs w:val="24"/>
        </w:rPr>
        <w:t xml:space="preserve">-miss", identificada mediante los 20 indicadores vigentes definidos por los CDC —de un listado original de 21, tras el retiro oficial del indicador de transfusión sanguínea por parte de la Health </w:t>
      </w:r>
      <w:proofErr w:type="spellStart"/>
      <w:r>
        <w:rPr>
          <w:sz w:val="24"/>
          <w:szCs w:val="24"/>
        </w:rPr>
        <w:t>Resources</w:t>
      </w:r>
      <w:proofErr w:type="spellEnd"/>
      <w:r>
        <w:rPr>
          <w:sz w:val="24"/>
          <w:szCs w:val="24"/>
        </w:rPr>
        <w:t xml:space="preserve"> and </w:t>
      </w:r>
      <w:proofErr w:type="spellStart"/>
      <w:r>
        <w:rPr>
          <w:sz w:val="24"/>
          <w:szCs w:val="24"/>
        </w:rPr>
        <w:t>Services</w:t>
      </w:r>
      <w:proofErr w:type="spellEnd"/>
      <w:r>
        <w:rPr>
          <w:sz w:val="24"/>
          <w:szCs w:val="24"/>
        </w:rPr>
        <w:t xml:space="preserve"> </w:t>
      </w:r>
      <w:proofErr w:type="spellStart"/>
      <w:r>
        <w:rPr>
          <w:sz w:val="24"/>
          <w:szCs w:val="24"/>
        </w:rPr>
        <w:t>Administration</w:t>
      </w:r>
      <w:proofErr w:type="spellEnd"/>
      <w:r>
        <w:rPr>
          <w:sz w:val="24"/>
          <w:szCs w:val="24"/>
        </w:rPr>
        <w:t xml:space="preserve"> (HRSA) en 2023— y sus códigos CIE-10-CM/PCS correspondientes (CDC, 2023; HRSA, Maternal and Child Health Bureau, 2023). Este enfoque cuenta con precedente directo en la </w:t>
      </w:r>
      <w:r>
        <w:rPr>
          <w:sz w:val="24"/>
          <w:szCs w:val="24"/>
        </w:rPr>
        <w:lastRenderedPageBreak/>
        <w:t xml:space="preserve">literatura: Callaghan, Creanga y </w:t>
      </w:r>
      <w:proofErr w:type="spellStart"/>
      <w:r>
        <w:rPr>
          <w:sz w:val="24"/>
          <w:szCs w:val="24"/>
        </w:rPr>
        <w:t>Kuklina</w:t>
      </w:r>
      <w:proofErr w:type="spellEnd"/>
      <w:r>
        <w:rPr>
          <w:sz w:val="24"/>
          <w:szCs w:val="24"/>
        </w:rPr>
        <w:t xml:space="preserve"> (2012) documentaron que los eventos de SMM ocurren aproximadamente 100 veces más frecuentemente que las muertes intrahospitalarias en el mismo tipo de hospitalizaciones, lo que provee una base muestral sustancialmente mayor para el entrenamiento de modelos predictivos. Estudios recientes han aplicado exactamente esta sustitución metodológica con buenos resultados: Clapp, Perlis y colaboradores (2021), en una cohorte prospectiva de 17.835 mujeres del Massachusetts General Hospital, identificaron nueve códigos CIE-10 predictores de SMM mediante selección de variables por aprendizaje automático, con un valor predictivo positivo de 11% en el decil de mayor riesgo (frente a una prevalencia poblacional de 3,1%) y validación externa en una segunda institución; un estudio similar en Maryland ajustó modelos LASSO y de regresión logística sobre SMM sobre hospitalizaciones de parto (</w:t>
      </w:r>
      <w:proofErr w:type="spellStart"/>
      <w:r>
        <w:rPr>
          <w:sz w:val="24"/>
          <w:szCs w:val="24"/>
        </w:rPr>
        <w:t>Healthcare</w:t>
      </w:r>
      <w:proofErr w:type="spellEnd"/>
      <w:r>
        <w:rPr>
          <w:sz w:val="24"/>
          <w:szCs w:val="24"/>
        </w:rPr>
        <w:t>, 2025). El diseño del Modelo B de esta tesis reutiliza esta misma lógica, entrenando sobre la cohorte obstétrica ampliada (mayor potencia estadística) y reportando como análisis de sensibilidad el subconjunto restringido a hospitalizaciones de parto propiamente dichas —identificadas mediante códigos de resultado de parto Z37.x y O80.x/O82.x—, que constituye el denominador oficial utilizado en los reportes de vigilancia de SMM del CDC y de las autoridades estatales de salud de Estados Unidos.</w:t>
      </w:r>
    </w:p>
    <w:p w14:paraId="15500685" w14:textId="77777777" w:rsidR="005D2CF6" w:rsidRDefault="00000000">
      <w:pPr>
        <w:spacing w:after="200" w:line="360" w:lineRule="auto"/>
        <w:jc w:val="both"/>
      </w:pPr>
      <w:r>
        <w:rPr>
          <w:sz w:val="24"/>
          <w:szCs w:val="24"/>
        </w:rPr>
        <w:t>Es importante reconocer, no obstante, que los códigos administrativos CIE-10 para SMM tienen limitaciones de validez documentadas en la literatura: Boulet et al. (2024), comparando la identificación por CIE-10 contra revisión de historia clínica (estándar de referencia) en 1.000 partos, encontraron una sensibilidad de apenas 26% y un valor predictivo positivo de 28% para el conjunto de indicadores CDC, aunque con especificidad de 95% y valor predictivo negativo de 94%. Esto implica que, incluso con el Modelo B, es esperable una subestimación sistemática de la verdadera prevalencia de morbilidad severa —un límite que debe declararse explícitamente en la sección de limitaciones de la tesis, y que constituye evidencia adicional (más allá de la sola rareza del evento) de por qué los conteos de casos positivos obtenidos mediante códigos administrativos tienden a ser conservadores frente a la realidad clínica.</w:t>
      </w:r>
    </w:p>
    <w:p w14:paraId="3A16E645" w14:textId="77777777" w:rsidR="005D2CF6" w:rsidRDefault="00000000">
      <w:pPr>
        <w:pStyle w:val="Ttulo1"/>
        <w:spacing w:before="400" w:after="200"/>
      </w:pPr>
      <w:r>
        <w:rPr>
          <w:b/>
          <w:bCs/>
        </w:rPr>
        <w:t>6. Manejo del desbalance de clases</w:t>
      </w:r>
    </w:p>
    <w:p w14:paraId="1B8CC99F" w14:textId="77777777" w:rsidR="005D2CF6" w:rsidRDefault="00000000">
      <w:pPr>
        <w:spacing w:after="200" w:line="360" w:lineRule="auto"/>
        <w:jc w:val="both"/>
      </w:pPr>
      <w:r>
        <w:rPr>
          <w:sz w:val="24"/>
          <w:szCs w:val="24"/>
        </w:rPr>
        <w:t xml:space="preserve">La literatura metodológica reciente sobre modelos de predicción clínica bajo desbalance extremo de clases respalda el enfoque adoptado en ambos modelos. Marshall (2023), en el contexto de </w:t>
      </w:r>
      <w:r>
        <w:rPr>
          <w:sz w:val="24"/>
          <w:szCs w:val="24"/>
        </w:rPr>
        <w:lastRenderedPageBreak/>
        <w:t xml:space="preserve">modelos de predicción de sobredosis por opioides —un dominio con el mismo reto de prevalencia baja del </w:t>
      </w:r>
      <w:proofErr w:type="spellStart"/>
      <w:r>
        <w:rPr>
          <w:sz w:val="24"/>
          <w:szCs w:val="24"/>
        </w:rPr>
        <w:t>outcome</w:t>
      </w:r>
      <w:proofErr w:type="spellEnd"/>
      <w:r>
        <w:rPr>
          <w:sz w:val="24"/>
          <w:szCs w:val="24"/>
        </w:rPr>
        <w:t xml:space="preserve">—, documenta que el desbalance de clases distorsiona de forma engañosa las medidas de desempeño predictivo si no se seleccionan métricas apropiadas, y que una planificación adecuada del tamaño muestral y de las métricas de evaluación es preferible a un rebalanceo agresivo </w:t>
      </w:r>
      <w:proofErr w:type="spellStart"/>
      <w:r>
        <w:rPr>
          <w:sz w:val="24"/>
          <w:szCs w:val="24"/>
        </w:rPr>
        <w:t>post-hoc</w:t>
      </w:r>
      <w:proofErr w:type="spellEnd"/>
      <w:r>
        <w:rPr>
          <w:sz w:val="24"/>
          <w:szCs w:val="24"/>
        </w:rPr>
        <w:t xml:space="preserve"> de los datos. En la misma línea, revisiones sistemáticas recientes sobre técnicas de </w:t>
      </w:r>
      <w:proofErr w:type="spellStart"/>
      <w:r>
        <w:rPr>
          <w:sz w:val="24"/>
          <w:szCs w:val="24"/>
        </w:rPr>
        <w:t>remuestreo</w:t>
      </w:r>
      <w:proofErr w:type="spellEnd"/>
      <w:r>
        <w:rPr>
          <w:sz w:val="24"/>
          <w:szCs w:val="24"/>
        </w:rPr>
        <w:t xml:space="preserve"> en modelos clínicos concluyen que el área bajo la curva de precisión-</w:t>
      </w:r>
      <w:proofErr w:type="spellStart"/>
      <w:r>
        <w:rPr>
          <w:sz w:val="24"/>
          <w:szCs w:val="24"/>
        </w:rPr>
        <w:t>recall</w:t>
      </w:r>
      <w:proofErr w:type="spellEnd"/>
      <w:r>
        <w:rPr>
          <w:sz w:val="24"/>
          <w:szCs w:val="24"/>
        </w:rPr>
        <w:t xml:space="preserve"> (PR-AUC) es más informativa que el área bajo la curva ROC quirúrgica bajo desbalance severo, y que el aprendizaje sensible al costo (ponderación de clases) puede superar a las técnicas de </w:t>
      </w:r>
      <w:proofErr w:type="spellStart"/>
      <w:r>
        <w:rPr>
          <w:sz w:val="24"/>
          <w:szCs w:val="24"/>
        </w:rPr>
        <w:t>remuestreo</w:t>
      </w:r>
      <w:proofErr w:type="spellEnd"/>
      <w:r>
        <w:rPr>
          <w:sz w:val="24"/>
          <w:szCs w:val="24"/>
        </w:rPr>
        <w:t xml:space="preserve"> a nivel de datos. Ambos modelos de esta tesis incorporan estos hallazgos: el Modelo A los aplica de forma central dado su desbalance extremo (~0,15-0,2% de prevalencia), y el Modelo B los mantiene como buena práctica general aunque su desbalance, comparativamente, sea mucho menos severo (prevalencia esperada de SMM en el rango de 0,5%-3% según la literatura citada).</w:t>
      </w:r>
    </w:p>
    <w:p w14:paraId="031FA977" w14:textId="77777777" w:rsidR="005D2CF6" w:rsidRDefault="00000000">
      <w:pPr>
        <w:pStyle w:val="Ttulo1"/>
        <w:spacing w:before="400" w:after="200"/>
      </w:pPr>
      <w:r>
        <w:rPr>
          <w:b/>
          <w:bCs/>
        </w:rPr>
        <w:t>7. Limitaciones y trabajo futuro</w:t>
      </w:r>
    </w:p>
    <w:p w14:paraId="70B4DF64" w14:textId="77777777" w:rsidR="005D2CF6" w:rsidRDefault="00000000">
      <w:pPr>
        <w:spacing w:after="200" w:line="360" w:lineRule="auto"/>
        <w:jc w:val="both"/>
      </w:pPr>
      <w:r>
        <w:rPr>
          <w:sz w:val="24"/>
          <w:szCs w:val="24"/>
        </w:rPr>
        <w:t xml:space="preserve">Se recomienda declarar explícitamente, en el capítulo de limitaciones de la tesis, los siguientes puntos: (i) el </w:t>
      </w:r>
      <w:proofErr w:type="spellStart"/>
      <w:r>
        <w:rPr>
          <w:sz w:val="24"/>
          <w:szCs w:val="24"/>
        </w:rPr>
        <w:t>outcome</w:t>
      </w:r>
      <w:proofErr w:type="spellEnd"/>
      <w:r>
        <w:rPr>
          <w:sz w:val="24"/>
          <w:szCs w:val="24"/>
        </w:rPr>
        <w:t xml:space="preserve"> de mortalidad del Modelo A está acotado a defunciones intrahospitalarias por restricción estructural de MIMIC-IV, y no captura muertes maternas posteriores al egreso; (</w:t>
      </w:r>
      <w:proofErr w:type="spellStart"/>
      <w:r>
        <w:rPr>
          <w:sz w:val="24"/>
          <w:szCs w:val="24"/>
        </w:rPr>
        <w:t>ii</w:t>
      </w:r>
      <w:proofErr w:type="spellEnd"/>
      <w:r>
        <w:rPr>
          <w:sz w:val="24"/>
          <w:szCs w:val="24"/>
        </w:rPr>
        <w:t>) los resultados del Modelo A deben interpretarse como exploratorios/generadores de hipótesis dado el reducido número de casos positivos, y no como evidencia suficiente para uso clínico; (</w:t>
      </w:r>
      <w:proofErr w:type="spellStart"/>
      <w:r>
        <w:rPr>
          <w:sz w:val="24"/>
          <w:szCs w:val="24"/>
        </w:rPr>
        <w:t>iii</w:t>
      </w:r>
      <w:proofErr w:type="spellEnd"/>
      <w:r>
        <w:rPr>
          <w:sz w:val="24"/>
          <w:szCs w:val="24"/>
        </w:rPr>
        <w:t>) los indicadores administrativos de SMM utilizados en el Modelo B tienen sensibilidad documentada limitada frente a la revisión de historia clínica, por lo que sus resultados deben interpretarse como una aproximación conservadora a la verdadera prevalencia de morbilidad severa; (</w:t>
      </w:r>
      <w:proofErr w:type="spellStart"/>
      <w:r>
        <w:rPr>
          <w:sz w:val="24"/>
          <w:szCs w:val="24"/>
        </w:rPr>
        <w:t>iv</w:t>
      </w:r>
      <w:proofErr w:type="spellEnd"/>
      <w:r>
        <w:rPr>
          <w:sz w:val="24"/>
          <w:szCs w:val="24"/>
        </w:rPr>
        <w:t xml:space="preserve">) como trabajo futuro, se recomienda la validación externa de ambos modelos en una fuente de datos con vinculación a registros vitales o de alcance </w:t>
      </w:r>
      <w:proofErr w:type="spellStart"/>
      <w:r>
        <w:rPr>
          <w:sz w:val="24"/>
          <w:szCs w:val="24"/>
        </w:rPr>
        <w:t>multi-institucional</w:t>
      </w:r>
      <w:proofErr w:type="spellEnd"/>
      <w:r>
        <w:rPr>
          <w:sz w:val="24"/>
          <w:szCs w:val="24"/>
        </w:rPr>
        <w:t>, así como, si los recursos del programa doctoral lo permiten, la revisión manual de historias clínicas de una submuestra para estimar la sensibilidad real de la identificación por códigos en esta cohorte específica.</w:t>
      </w:r>
    </w:p>
    <w:p w14:paraId="65EB0321" w14:textId="77777777" w:rsidR="005D2CF6" w:rsidRDefault="00000000">
      <w:pPr>
        <w:pStyle w:val="Ttulo1"/>
        <w:spacing w:before="400" w:after="200"/>
      </w:pPr>
      <w:r>
        <w:rPr>
          <w:b/>
          <w:bCs/>
        </w:rPr>
        <w:t>Referencias</w:t>
      </w:r>
    </w:p>
    <w:p w14:paraId="03E3E6E1" w14:textId="77777777" w:rsidR="005D2CF6" w:rsidRDefault="00000000">
      <w:pPr>
        <w:spacing w:after="160" w:line="300" w:lineRule="auto"/>
        <w:ind w:left="720" w:hanging="720"/>
      </w:pPr>
      <w:r>
        <w:rPr>
          <w:sz w:val="22"/>
          <w:szCs w:val="22"/>
        </w:rPr>
        <w:t xml:space="preserve">Boulet, S. L., Stanhope, K. K., Valdez-Sinon, A. N., Vuncannon, D., Preslar, J., Bergbower, H., Gray, B., </w:t>
      </w:r>
      <w:proofErr w:type="spellStart"/>
      <w:r>
        <w:rPr>
          <w:sz w:val="22"/>
          <w:szCs w:val="22"/>
        </w:rPr>
        <w:t>Gathoo</w:t>
      </w:r>
      <w:proofErr w:type="spellEnd"/>
      <w:r>
        <w:rPr>
          <w:sz w:val="22"/>
          <w:szCs w:val="22"/>
        </w:rPr>
        <w:t xml:space="preserve">, A., Hansen, N., Andre, K., </w:t>
      </w:r>
      <w:proofErr w:type="spellStart"/>
      <w:r>
        <w:rPr>
          <w:sz w:val="22"/>
          <w:szCs w:val="22"/>
        </w:rPr>
        <w:t>Bensouda</w:t>
      </w:r>
      <w:proofErr w:type="spellEnd"/>
      <w:r>
        <w:rPr>
          <w:sz w:val="22"/>
          <w:szCs w:val="22"/>
        </w:rPr>
        <w:t xml:space="preserve">, S., Braun, C., &amp; Platner, M. (2024). </w:t>
      </w:r>
      <w:r w:rsidRPr="001E3C26">
        <w:rPr>
          <w:sz w:val="22"/>
          <w:szCs w:val="22"/>
          <w:lang w:val="en-US"/>
        </w:rPr>
        <w:t xml:space="preserve">Validation of </w:t>
      </w:r>
      <w:r w:rsidRPr="001E3C26">
        <w:rPr>
          <w:sz w:val="22"/>
          <w:szCs w:val="22"/>
          <w:lang w:val="en-US"/>
        </w:rPr>
        <w:lastRenderedPageBreak/>
        <w:t xml:space="preserve">ICD-10 codes for severe maternal morbidity at delivery in a public hospital. </w:t>
      </w:r>
      <w:proofErr w:type="spellStart"/>
      <w:r>
        <w:rPr>
          <w:sz w:val="22"/>
          <w:szCs w:val="22"/>
        </w:rPr>
        <w:t>Epidemiology</w:t>
      </w:r>
      <w:proofErr w:type="spellEnd"/>
      <w:r>
        <w:rPr>
          <w:sz w:val="22"/>
          <w:szCs w:val="22"/>
        </w:rPr>
        <w:t>, 35(4), 506–511. https://doi.org/10.1097/EDE.0000000000001743</w:t>
      </w:r>
    </w:p>
    <w:p w14:paraId="591CE9B4" w14:textId="77777777" w:rsidR="005D2CF6" w:rsidRPr="001E3C26" w:rsidRDefault="00000000">
      <w:pPr>
        <w:spacing w:after="160" w:line="300" w:lineRule="auto"/>
        <w:ind w:left="720" w:hanging="720"/>
        <w:rPr>
          <w:lang w:val="en-US"/>
        </w:rPr>
      </w:pPr>
      <w:r>
        <w:rPr>
          <w:sz w:val="22"/>
          <w:szCs w:val="22"/>
        </w:rPr>
        <w:t xml:space="preserve">Callaghan, W. M., Creanga, A. A., &amp; </w:t>
      </w:r>
      <w:proofErr w:type="spellStart"/>
      <w:r>
        <w:rPr>
          <w:sz w:val="22"/>
          <w:szCs w:val="22"/>
        </w:rPr>
        <w:t>Kuklina</w:t>
      </w:r>
      <w:proofErr w:type="spellEnd"/>
      <w:r>
        <w:rPr>
          <w:sz w:val="22"/>
          <w:szCs w:val="22"/>
        </w:rPr>
        <w:t xml:space="preserve">, E. V. (2012). </w:t>
      </w:r>
      <w:r w:rsidRPr="001E3C26">
        <w:rPr>
          <w:sz w:val="22"/>
          <w:szCs w:val="22"/>
          <w:lang w:val="en-US"/>
        </w:rPr>
        <w:t>Severe maternal morbidity among delivery and postpartum hospitalizations in the United States. Obstetrics and Gynecology, 120(5), 1029–1036. https://doi.org/10.1097/AOG.0b013e31826d60c5</w:t>
      </w:r>
    </w:p>
    <w:p w14:paraId="453E7F6C" w14:textId="77777777" w:rsidR="005D2CF6" w:rsidRPr="001E3C26" w:rsidRDefault="00000000">
      <w:pPr>
        <w:spacing w:after="160" w:line="300" w:lineRule="auto"/>
        <w:ind w:left="720" w:hanging="720"/>
        <w:rPr>
          <w:lang w:val="en-US"/>
        </w:rPr>
      </w:pPr>
      <w:r w:rsidRPr="001E3C26">
        <w:rPr>
          <w:sz w:val="22"/>
          <w:szCs w:val="22"/>
          <w:lang w:val="en-US"/>
        </w:rPr>
        <w:t>Centers for Disease Control and Prevention (CDC). (2023). Severe maternal morbidity in the United States. Division of Reproductive Health, National Center for Chronic Disease Prevention and Health Promotion. https://www.cdc.gov/maternal-infant-health/php/severe-maternal-morbidity/index.html</w:t>
      </w:r>
    </w:p>
    <w:p w14:paraId="09AB34B2" w14:textId="77777777" w:rsidR="005D2CF6" w:rsidRPr="001E3C26" w:rsidRDefault="00000000">
      <w:pPr>
        <w:spacing w:after="160" w:line="300" w:lineRule="auto"/>
        <w:ind w:left="720" w:hanging="720"/>
        <w:rPr>
          <w:lang w:val="en-US"/>
        </w:rPr>
      </w:pPr>
      <w:r w:rsidRPr="001E3C26">
        <w:rPr>
          <w:sz w:val="22"/>
          <w:szCs w:val="22"/>
          <w:lang w:val="en-US"/>
        </w:rPr>
        <w:t>Centers for Disease Control and Prevention (CDC), National Center for Health Statistics (NCHS). (2025). Maternal mortality rates in the United States, 2023. https://www.cdc.gov/nchs/data/hestat/maternal-mortality/2023/Estat-maternal-mortality.pdf</w:t>
      </w:r>
    </w:p>
    <w:p w14:paraId="081137B5" w14:textId="77777777" w:rsidR="005D2CF6" w:rsidRPr="001E3C26" w:rsidRDefault="00000000">
      <w:pPr>
        <w:spacing w:after="160" w:line="300" w:lineRule="auto"/>
        <w:ind w:left="720" w:hanging="720"/>
        <w:rPr>
          <w:lang w:val="en-US"/>
        </w:rPr>
      </w:pPr>
      <w:r w:rsidRPr="001E3C26">
        <w:rPr>
          <w:sz w:val="22"/>
          <w:szCs w:val="22"/>
          <w:lang w:val="fr-FR"/>
        </w:rPr>
        <w:t xml:space="preserve">Clapp, M. A., Perlis, R. H., et al. </w:t>
      </w:r>
      <w:r w:rsidRPr="001E3C26">
        <w:rPr>
          <w:sz w:val="22"/>
          <w:szCs w:val="22"/>
          <w:lang w:val="en-US"/>
        </w:rPr>
        <w:t>(2021). Prenatal diagnosis codes predict maternal morbidity, aid in risk stratification. Journal of Perinatology. https://www.nature.com/articles/s41372-021-01072-z</w:t>
      </w:r>
    </w:p>
    <w:p w14:paraId="1792C039" w14:textId="77777777" w:rsidR="005D2CF6" w:rsidRPr="001E3C26" w:rsidRDefault="00000000">
      <w:pPr>
        <w:spacing w:after="160" w:line="300" w:lineRule="auto"/>
        <w:ind w:left="720" w:hanging="720"/>
        <w:rPr>
          <w:lang w:val="en-US"/>
        </w:rPr>
      </w:pPr>
      <w:r w:rsidRPr="001E3C26">
        <w:rPr>
          <w:sz w:val="22"/>
          <w:szCs w:val="22"/>
          <w:lang w:val="en-US"/>
        </w:rPr>
        <w:t>Health Resources and Services Administration (HRSA), Maternal and Child Health Bureau. (2023). Federally Available Data (FAD) resource document. https://mchb.tvisdata.hrsa.gov/Home/Resources</w:t>
      </w:r>
    </w:p>
    <w:p w14:paraId="73E4F749" w14:textId="77777777" w:rsidR="005D2CF6" w:rsidRPr="001E3C26" w:rsidRDefault="00000000">
      <w:pPr>
        <w:spacing w:after="160" w:line="300" w:lineRule="auto"/>
        <w:ind w:left="720" w:hanging="720"/>
        <w:rPr>
          <w:lang w:val="en-US"/>
        </w:rPr>
      </w:pPr>
      <w:r w:rsidRPr="001E3C26">
        <w:rPr>
          <w:sz w:val="22"/>
          <w:szCs w:val="22"/>
          <w:lang w:val="en-US"/>
        </w:rPr>
        <w:t>Marshall, B. D. L. (2023). Outcome class imbalance and rare events: An underappreciated complication for overdose risk prediction modeling. Addiction, 118(6), 1167–1174. https://doi.org/10.1111/add.16133</w:t>
      </w:r>
    </w:p>
    <w:p w14:paraId="31EFAEA5" w14:textId="77777777" w:rsidR="005D2CF6" w:rsidRDefault="00000000">
      <w:pPr>
        <w:spacing w:after="160" w:line="300" w:lineRule="auto"/>
        <w:ind w:left="720" w:hanging="720"/>
      </w:pPr>
      <w:r w:rsidRPr="001E3C26">
        <w:rPr>
          <w:sz w:val="22"/>
          <w:szCs w:val="22"/>
          <w:lang w:val="en-US"/>
        </w:rPr>
        <w:t xml:space="preserve">Nebraska Department of Health and Human Services, Division of Public Health, Office of Maternal and Child Health Epidemiology. </w:t>
      </w:r>
      <w:r>
        <w:rPr>
          <w:sz w:val="22"/>
          <w:szCs w:val="22"/>
        </w:rPr>
        <w:t xml:space="preserve">(2024). Severe maternal </w:t>
      </w:r>
      <w:proofErr w:type="spellStart"/>
      <w:r>
        <w:rPr>
          <w:sz w:val="22"/>
          <w:szCs w:val="22"/>
        </w:rPr>
        <w:t>morbidity</w:t>
      </w:r>
      <w:proofErr w:type="spellEnd"/>
      <w:r>
        <w:rPr>
          <w:sz w:val="22"/>
          <w:szCs w:val="22"/>
        </w:rPr>
        <w:t xml:space="preserve"> </w:t>
      </w:r>
      <w:proofErr w:type="spellStart"/>
      <w:r>
        <w:rPr>
          <w:sz w:val="22"/>
          <w:szCs w:val="22"/>
        </w:rPr>
        <w:t>report</w:t>
      </w:r>
      <w:proofErr w:type="spellEnd"/>
      <w:r>
        <w:rPr>
          <w:sz w:val="22"/>
          <w:szCs w:val="22"/>
        </w:rPr>
        <w:t xml:space="preserve"> 2017–2021.</w:t>
      </w:r>
    </w:p>
    <w:p w14:paraId="530BC4FC" w14:textId="77777777" w:rsidR="005D2CF6" w:rsidRPr="001E3C26" w:rsidRDefault="00000000">
      <w:pPr>
        <w:spacing w:after="160" w:line="300" w:lineRule="auto"/>
        <w:ind w:left="720" w:hanging="720"/>
        <w:rPr>
          <w:lang w:val="en-US"/>
        </w:rPr>
      </w:pPr>
      <w:r>
        <w:rPr>
          <w:sz w:val="22"/>
          <w:szCs w:val="22"/>
        </w:rPr>
        <w:t xml:space="preserve">Organización Mundial de la Salud (OMS). </w:t>
      </w:r>
      <w:r w:rsidRPr="001E3C26">
        <w:rPr>
          <w:sz w:val="22"/>
          <w:szCs w:val="22"/>
          <w:lang w:val="en-US"/>
        </w:rPr>
        <w:t>(2025). Maternal mortality [Fact sheet]. https://www.who.int/news-room/fact-sheets/detail/maternal-mortality</w:t>
      </w:r>
    </w:p>
    <w:p w14:paraId="0590D79C" w14:textId="77777777" w:rsidR="005D2CF6" w:rsidRDefault="00000000">
      <w:pPr>
        <w:spacing w:after="160" w:line="300" w:lineRule="auto"/>
        <w:ind w:left="720" w:hanging="720"/>
      </w:pPr>
      <w:r w:rsidRPr="001E3C26">
        <w:rPr>
          <w:sz w:val="22"/>
          <w:szCs w:val="22"/>
          <w:lang w:val="en-US"/>
        </w:rPr>
        <w:t xml:space="preserve">[Autores </w:t>
      </w:r>
      <w:proofErr w:type="spellStart"/>
      <w:r w:rsidRPr="001E3C26">
        <w:rPr>
          <w:sz w:val="22"/>
          <w:szCs w:val="22"/>
          <w:lang w:val="en-US"/>
        </w:rPr>
        <w:t>por</w:t>
      </w:r>
      <w:proofErr w:type="spellEnd"/>
      <w:r w:rsidRPr="001E3C26">
        <w:rPr>
          <w:sz w:val="22"/>
          <w:szCs w:val="22"/>
          <w:lang w:val="en-US"/>
        </w:rPr>
        <w:t xml:space="preserve"> </w:t>
      </w:r>
      <w:proofErr w:type="spellStart"/>
      <w:r w:rsidRPr="001E3C26">
        <w:rPr>
          <w:sz w:val="22"/>
          <w:szCs w:val="22"/>
          <w:lang w:val="en-US"/>
        </w:rPr>
        <w:t>confirmar</w:t>
      </w:r>
      <w:proofErr w:type="spellEnd"/>
      <w:r w:rsidRPr="001E3C26">
        <w:rPr>
          <w:sz w:val="22"/>
          <w:szCs w:val="22"/>
          <w:lang w:val="en-US"/>
        </w:rPr>
        <w:t xml:space="preserve">]. (2025). Leveraging machine learning to predict and assess disparities in severe maternal morbidity in Maryland. </w:t>
      </w:r>
      <w:proofErr w:type="spellStart"/>
      <w:r>
        <w:rPr>
          <w:sz w:val="22"/>
          <w:szCs w:val="22"/>
        </w:rPr>
        <w:t>Healthcare</w:t>
      </w:r>
      <w:proofErr w:type="spellEnd"/>
      <w:r>
        <w:rPr>
          <w:sz w:val="22"/>
          <w:szCs w:val="22"/>
        </w:rPr>
        <w:t>, 13(3), 284. https://www.mdpi.com/2227-9032/13/3/284 — Nota: verificar lista completa de autores antes de citar en la versión final de la tesis; el acceso directo al artículo estuvo bloqueado por un control de verificación (</w:t>
      </w:r>
      <w:proofErr w:type="spellStart"/>
      <w:r>
        <w:rPr>
          <w:sz w:val="22"/>
          <w:szCs w:val="22"/>
        </w:rPr>
        <w:t>reCAPTCHA</w:t>
      </w:r>
      <w:proofErr w:type="spellEnd"/>
      <w:r>
        <w:rPr>
          <w:sz w:val="22"/>
          <w:szCs w:val="22"/>
        </w:rPr>
        <w:t>) durante esta sesión de investigación.</w:t>
      </w:r>
    </w:p>
    <w:sectPr w:rsidR="005D2C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426F7"/>
    <w:multiLevelType w:val="hybridMultilevel"/>
    <w:tmpl w:val="1C1CCBE2"/>
    <w:lvl w:ilvl="0" w:tplc="466E7736">
      <w:start w:val="1"/>
      <w:numFmt w:val="bullet"/>
      <w:lvlText w:val="●"/>
      <w:lvlJc w:val="left"/>
      <w:pPr>
        <w:ind w:left="720" w:hanging="360"/>
      </w:pPr>
    </w:lvl>
    <w:lvl w:ilvl="1" w:tplc="EE2A5F26">
      <w:start w:val="1"/>
      <w:numFmt w:val="bullet"/>
      <w:lvlText w:val="○"/>
      <w:lvlJc w:val="left"/>
      <w:pPr>
        <w:ind w:left="1440" w:hanging="360"/>
      </w:pPr>
    </w:lvl>
    <w:lvl w:ilvl="2" w:tplc="D2C21364">
      <w:start w:val="1"/>
      <w:numFmt w:val="bullet"/>
      <w:lvlText w:val="■"/>
      <w:lvlJc w:val="left"/>
      <w:pPr>
        <w:ind w:left="2160" w:hanging="360"/>
      </w:pPr>
    </w:lvl>
    <w:lvl w:ilvl="3" w:tplc="578602F4">
      <w:start w:val="1"/>
      <w:numFmt w:val="bullet"/>
      <w:lvlText w:val="●"/>
      <w:lvlJc w:val="left"/>
      <w:pPr>
        <w:ind w:left="2880" w:hanging="360"/>
      </w:pPr>
    </w:lvl>
    <w:lvl w:ilvl="4" w:tplc="9398D356">
      <w:start w:val="1"/>
      <w:numFmt w:val="bullet"/>
      <w:lvlText w:val="○"/>
      <w:lvlJc w:val="left"/>
      <w:pPr>
        <w:ind w:left="3600" w:hanging="360"/>
      </w:pPr>
    </w:lvl>
    <w:lvl w:ilvl="5" w:tplc="3664F586">
      <w:start w:val="1"/>
      <w:numFmt w:val="bullet"/>
      <w:lvlText w:val="■"/>
      <w:lvlJc w:val="left"/>
      <w:pPr>
        <w:ind w:left="4320" w:hanging="360"/>
      </w:pPr>
    </w:lvl>
    <w:lvl w:ilvl="6" w:tplc="DAC8C9DE">
      <w:start w:val="1"/>
      <w:numFmt w:val="bullet"/>
      <w:lvlText w:val="●"/>
      <w:lvlJc w:val="left"/>
      <w:pPr>
        <w:ind w:left="5040" w:hanging="360"/>
      </w:pPr>
    </w:lvl>
    <w:lvl w:ilvl="7" w:tplc="E012B472">
      <w:start w:val="1"/>
      <w:numFmt w:val="bullet"/>
      <w:lvlText w:val="●"/>
      <w:lvlJc w:val="left"/>
      <w:pPr>
        <w:ind w:left="5760" w:hanging="360"/>
      </w:pPr>
    </w:lvl>
    <w:lvl w:ilvl="8" w:tplc="1A42CB94">
      <w:start w:val="1"/>
      <w:numFmt w:val="bullet"/>
      <w:lvlText w:val="●"/>
      <w:lvlJc w:val="left"/>
      <w:pPr>
        <w:ind w:left="6480" w:hanging="360"/>
      </w:pPr>
    </w:lvl>
  </w:abstractNum>
  <w:num w:numId="1" w16cid:durableId="9644294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CF6"/>
    <w:rsid w:val="0000288B"/>
    <w:rsid w:val="001E3C26"/>
    <w:rsid w:val="00207FEF"/>
    <w:rsid w:val="005D2C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3E926"/>
  <w15:docId w15:val="{9B0C1105-7AD7-4060-B0A8-2B4F62EF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1155</TotalTime>
  <Pages>1</Pages>
  <Words>2182</Words>
  <Characters>12006</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Gutierrez Jimenez</cp:lastModifiedBy>
  <cp:revision>3</cp:revision>
  <dcterms:created xsi:type="dcterms:W3CDTF">2026-07-23T16:52:00Z</dcterms:created>
  <dcterms:modified xsi:type="dcterms:W3CDTF">2026-07-24T13:51:00Z</dcterms:modified>
</cp:coreProperties>
</file>