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sz w:val="28"/>
          <w:szCs w:val="28"/>
        </w:rPr>
        <w:t xml:space="preserve">Material suplementario: disponibilidad de los predictores por desenlace y por estrato</w:t>
      </w:r>
    </w:p>
    <w:p>
      <w:pPr>
        <w:spacing w:after="160" w:before="0"/>
      </w:pPr>
      <w:r>
        <w:rPr>
          <w:rFonts w:ascii="Arial" w:cs="Arial" w:eastAsia="Arial" w:hAnsi="Arial"/>
          <w:i/>
          <w:iCs/>
          <w:sz w:val="20"/>
          <w:szCs w:val="20"/>
        </w:rPr>
        <w:t xml:space="preserve">Predicción de la morbilidad materna grave a las 24 horas en hospitalizaciones de parto: un estudio retrospectivo con MIMIC-IV (manuscrito healthcare-4661619)</w:t>
      </w:r>
    </w:p>
    <w:p>
      <w:pPr>
        <w:spacing w:after="120" w:before="0"/>
      </w:pPr>
      <w:r>
        <w:rPr>
          <w:rFonts w:ascii="Arial" w:cs="Arial" w:eastAsia="Arial" w:hAnsi="Arial"/>
          <w:sz w:val="18"/>
          <w:szCs w:val="18"/>
        </w:rPr>
        <w:t xml:space="preserve">Estas tablas muestran, para cada variable del diccionario de predictores (Apéndice A del manuscrito), la proporción de admisiones con un valor en la ventana de predicción (desde 24 horas antes hasta 24 horas después de la hora de ingreso), antes de cualquier imputación, según la morbilidad materna grave (SMM) y según el ingreso a UCI en las primeras 24 horas. Contienen solo conteos y porcentajes.</w:t>
      </w:r>
    </w:p>
    <w:p>
      <w:pPr>
        <w:keepNext/>
        <w:spacing w:after="80" w:before="100"/>
      </w:pPr>
      <w:r>
        <w:rPr>
          <w:rFonts w:ascii="Arial" w:cs="Arial" w:eastAsia="Arial" w:hAnsi="Arial"/>
          <w:b/>
          <w:bCs/>
          <w:sz w:val="20"/>
          <w:szCs w:val="20"/>
        </w:rPr>
        <w:t xml:space="preserve">Tabla A7. Proporción de las 19,383 hospitalizaciones de parto elegibles con un valor en la ventana de predicción, por variable, SMM e ingreso a UCI en las primeras 24 horas</w:t>
      </w:r>
    </w:p>
    <w:tbl>
      <w:tblPr>
        <w:tblW w:type="dxa" w:w="1268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2250"/>
        <w:gridCol w:w="1050"/>
        <w:gridCol w:w="1050"/>
        <w:gridCol w:w="1100"/>
        <w:gridCol w:w="1050"/>
        <w:gridCol w:w="1050"/>
        <w:gridCol w:w="1130"/>
      </w:tblGrid>
      <w:tr>
        <w:trPr>
          <w:cantSplit/>
          <w:tblHeader/>
        </w:trPr>
        <w:tc>
          <w:tcPr>
            <w:tcW w:type="dxa" w:w="290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left"/>
            </w:pPr>
            <w:r>
              <w:rPr>
                <w:rFonts w:ascii="Arial" w:cs="Arial" w:eastAsia="Arial" w:hAnsi="Arial"/>
                <w:b/>
                <w:bCs/>
                <w:sz w:val="17"/>
                <w:szCs w:val="17"/>
              </w:rPr>
              <w:t xml:space="preserve">Variable</w:t>
            </w:r>
          </w:p>
        </w:tc>
        <w:tc>
          <w:tcPr>
            <w:tcW w:type="dxa" w:w="110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left"/>
            </w:pPr>
            <w:r>
              <w:rPr>
                <w:rFonts w:ascii="Arial" w:cs="Arial" w:eastAsia="Arial" w:hAnsi="Arial"/>
                <w:b/>
                <w:bCs/>
                <w:sz w:val="17"/>
                <w:szCs w:val="17"/>
              </w:rPr>
              <w:t xml:space="preserve">Unidad</w:t>
            </w:r>
          </w:p>
        </w:tc>
        <w:tc>
          <w:tcPr>
            <w:tcW w:type="dxa" w:w="22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left"/>
            </w:pPr>
            <w:r>
              <w:rPr>
                <w:rFonts w:ascii="Arial" w:cs="Arial" w:eastAsia="Arial" w:hAnsi="Arial"/>
                <w:b/>
                <w:bCs/>
                <w:sz w:val="17"/>
                <w:szCs w:val="17"/>
              </w:rPr>
              <w:t xml:space="preserve">Función en el análisis</w:t>
            </w:r>
          </w:p>
        </w:tc>
        <w:tc>
          <w:tcPr>
            <w:tcW w:type="dxa" w:w="10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Con valor, n</w:t>
            </w:r>
          </w:p>
        </w:tc>
        <w:tc>
          <w:tcPr>
            <w:tcW w:type="dxa" w:w="10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Todas las elegibles (%)</w:t>
            </w:r>
          </w:p>
        </w:tc>
        <w:tc>
          <w:tcPr>
            <w:tcW w:type="dxa" w:w="110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Sin SMM (%)</w:t>
            </w:r>
          </w:p>
        </w:tc>
        <w:tc>
          <w:tcPr>
            <w:tcW w:type="dxa" w:w="10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Con SMM (%)</w:t>
            </w:r>
          </w:p>
        </w:tc>
        <w:tc>
          <w:tcPr>
            <w:tcW w:type="dxa" w:w="10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Sin UCI en 24 h (%)</w:t>
            </w:r>
          </w:p>
        </w:tc>
        <w:tc>
          <w:tcPr>
            <w:tcW w:type="dxa" w:w="113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Con UCI en 24 h (%)</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Hemoglobina</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g/dL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Principal</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15,822</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81.6</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84.9</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81.5</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96.5</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Creatinina (+ indicador de faltante)</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mg/dL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Principal</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3,971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20.5</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19.5</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62.9</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96.5</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Hematocrito</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laboratorio (redundante)</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15,846</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81.8</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81.7</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84.9</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81.7</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96.5</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Glucosa</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mg/dL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laboratorio</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760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3.9</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39.3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3.4</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95.7</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Cloruro</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mEq/L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laboratorio</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673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3.5</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2.7</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38.2</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2.9</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95.7</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Potasio</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mEq/L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laboratorio</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683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3.5</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2.7</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38.4</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95.7</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Sodio</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mEq/L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laboratorio</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678</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3.5</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2.7</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38.4</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2.9</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95.7</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Brecha aniónica</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mEq/L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laboratorio</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660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3.4</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2.6</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38.0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2.9</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95.7</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Bicarbonato</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mEq/L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laboratorio</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660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3.4</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2.6</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38.0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2.9</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95.7</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Magnesio</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mg/dL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laboratorio</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620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3.2</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2.4</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39.1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2.7</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93.9</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Calcio (no ionizado)</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mg/dL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laboratorio</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527</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2.7</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35.7</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2.2</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94.8</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Fósforo</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mg/dL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laboratorio</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513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35.3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2.1</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94.8</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Lactato</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mmol/L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laboratorio</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162</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0.8</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21.6</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0.4</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73.0</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Escala de coma de Glasgow: apertura ocular</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puntaje</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UCI</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19.8</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98.3</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Escala de coma de Glasgow: respuesta motora</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puntaje</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UCI</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19.8</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98.3</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Escala de coma de Glasgow: respuesta verbal</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puntaje</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UCI</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19.8</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98.3</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Frecuencia cardíaca</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latidos/min</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UCI</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114</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99.1</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Saturación de oxígeno</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UCI</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114</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99.1</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Frecuencia respiratoria</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resp/min</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UCI</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114</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99.1</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Temperatura</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°F</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UCI</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19.8</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98.3</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Peso al ingreso</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kg</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UCI</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115</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20.2</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Presión arterial diastólica</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mmHg</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UCI</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92</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0.5</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15.5</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80.0</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Presión arterial media</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mmHg</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UCI</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92</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0.5</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15.5</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80.0</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Presión arterial sistólica</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mmHg</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UCI</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92</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0.5</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15.5</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80.0</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Escala de agitación y sedación de Richmond</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puntaje</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UCI</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95</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0.5</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17.3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82.6</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Presión positiva al final de la espiración</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cmH2O</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UCI</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59</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0.3</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11.9</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51.3</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Talla</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cm</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Sensibilidad de UCI</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44</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0.2</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9.2</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38.3</w:t>
            </w:r>
          </w:p>
        </w:tc>
      </w:tr>
    </w:tbl>
    <w:p>
      <w:pPr>
        <w:spacing w:after="60" w:before="80"/>
      </w:pPr>
      <w:r>
        <w:rPr>
          <w:rFonts w:ascii="Arial" w:cs="Arial" w:eastAsia="Arial" w:hAnsi="Arial"/>
          <w:sz w:val="16"/>
          <w:szCs w:val="16"/>
        </w:rPr>
        <w:t xml:space="preserve">Notas. Estratos: 18,938 admisiones sin SMM y 445 con SMM; 19,268 sin y 115 con ingreso a UCI en las primeras 24 horas. El porcentaje sin SMM se deriva del número con valor y del número con SMM (este último obtenido a partir del porcentaje con SMM); las demás columnas son las calculadas en la base de datos. No se muestra la edad al ingreso, que siempre está disponible. Variables de los modelos principales: edad, cinco variables administrativas, hemoglobina y creatinina (con un indicador de faltante para la creatinina); las demás variables entran solo en los análisis de sensibilidad (cobertura inferior al 10 % o redundancia con la hemoglobina), y las variables de UCI se registran solo durante una estancia en UCI, por lo que están ausentes de forma estructural fuera de ella. Los límites de plausibilidad de las variables de laboratorio están en el Apéndice A (Tabla A1); ningún valor quedó fuera de ellos, y cada variable de laboratorio tenía una sola unidad en la ventana.</w:t>
      </w:r>
    </w:p>
    <w:p>
      <w:pPr>
        <w:keepNext/>
        <w:pageBreakBefore/>
        <w:spacing w:after="80" w:before="0"/>
      </w:pPr>
      <w:r>
        <w:rPr>
          <w:rFonts w:ascii="Arial" w:cs="Arial" w:eastAsia="Arial" w:hAnsi="Arial"/>
          <w:b/>
          <w:bCs/>
          <w:sz w:val="20"/>
          <w:szCs w:val="20"/>
        </w:rPr>
        <w:t xml:space="preserve">Tabla A8. Disponibilidad de hemoglobina, hematocrito y creatinina por estrato</w:t>
      </w:r>
    </w:p>
    <w:p>
      <w:pPr>
        <w:keepNext/>
        <w:spacing w:after="60" w:before="100"/>
      </w:pPr>
      <w:r>
        <w:rPr>
          <w:rFonts w:ascii="Arial" w:cs="Arial" w:eastAsia="Arial" w:hAnsi="Arial"/>
          <w:b/>
          <w:bCs/>
          <w:sz w:val="18"/>
          <w:szCs w:val="18"/>
        </w:rPr>
        <w:t xml:space="preserve">Hospitalizaciones de parto elegibles (análisis principal)</w:t>
      </w:r>
    </w:p>
    <w:tbl>
      <w:tblPr>
        <w:tblW w:type="dxa" w:w="12680"/>
        <w:tblBorders>
          <w:top w:val="single" w:color="auto" w:sz="4"/>
          <w:left w:val="single" w:color="auto" w:sz="4"/>
          <w:bottom w:val="single" w:color="auto" w:sz="4"/>
          <w:right w:val="single" w:color="auto" w:sz="4"/>
          <w:insideH w:val="single" w:color="auto" w:sz="4"/>
          <w:insideV w:val="single" w:color="auto" w:sz="4"/>
        </w:tblBorders>
      </w:tblPr>
      <w:tblGrid>
        <w:gridCol w:w="4300"/>
        <w:gridCol w:w="1250"/>
        <w:gridCol w:w="1350"/>
        <w:gridCol w:w="1350"/>
        <w:gridCol w:w="1350"/>
        <w:gridCol w:w="1350"/>
        <w:gridCol w:w="1730"/>
      </w:tblGrid>
      <w:tr>
        <w:trPr>
          <w:cantSplit/>
          <w:tblHeader/>
        </w:trPr>
        <w:tc>
          <w:tcPr>
            <w:tcW w:type="dxa" w:w="430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left"/>
            </w:pPr>
            <w:r>
              <w:rPr>
                <w:rFonts w:ascii="Arial" w:cs="Arial" w:eastAsia="Arial" w:hAnsi="Arial"/>
                <w:b/>
                <w:bCs/>
                <w:sz w:val="17"/>
                <w:szCs w:val="17"/>
              </w:rPr>
              <w:t xml:space="preserve">Estrato</w:t>
            </w:r>
          </w:p>
        </w:tc>
        <w:tc>
          <w:tcPr>
            <w:tcW w:type="dxa" w:w="12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Admisiones</w:t>
            </w:r>
          </w:p>
        </w:tc>
        <w:tc>
          <w:tcPr>
            <w:tcW w:type="dxa" w:w="13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Hemoglobina (%)</w:t>
            </w:r>
          </w:p>
        </w:tc>
        <w:tc>
          <w:tcPr>
            <w:tcW w:type="dxa" w:w="13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Hematocrito (%)</w:t>
            </w:r>
          </w:p>
        </w:tc>
        <w:tc>
          <w:tcPr>
            <w:tcW w:type="dxa" w:w="13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Creatinina (%)</w:t>
            </w:r>
          </w:p>
        </w:tc>
        <w:tc>
          <w:tcPr>
            <w:tcW w:type="dxa" w:w="13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Las tres (%)</w:t>
            </w:r>
          </w:p>
        </w:tc>
        <w:tc>
          <w:tcPr>
            <w:tcW w:type="dxa" w:w="173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Ninguna de las tres (%)</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Todas las admisiones</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19,383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81.6</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81.8</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20.5</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18.2</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Solo ICD-10-CM/PCS</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8,864</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81.6</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23.6</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23.6</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18.4</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Solo ICD-9-CM</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10,519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81.8</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17.8</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17.8</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18.1</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Sin ingreso a UCI en 24 h</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19,268</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81.7</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20.0</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18.3</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Con ingreso a UCI en 24 h</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96.5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96.5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96.5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95.7</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2.6</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Sin SMM</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18,938</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81.6</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81.7</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19.5</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18.3</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Con SMM</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445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84.9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84.9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62.9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62.9</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15.1</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SMM, insuficiencia renal aguda como único indicador</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150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83.3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83.3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67.3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67.3</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16.7</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SMM, dos o más indicadores</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129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84.5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84.5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65.9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65.9</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15.5</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Muerte en la misma admisión</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r>
    </w:tbl>
    <w:p>
      <w:pPr>
        <w:keepNext/>
        <w:spacing w:after="60" w:before="100"/>
      </w:pPr>
      <w:r>
        <w:rPr>
          <w:rFonts w:ascii="Arial" w:cs="Arial" w:eastAsia="Arial" w:hAnsi="Arial"/>
          <w:b/>
          <w:bCs/>
          <w:sz w:val="18"/>
          <w:szCs w:val="18"/>
        </w:rPr>
        <w:t xml:space="preserve">Cualquier admisión obstétrica elegible (análisis de sensibilidad)</w:t>
      </w:r>
    </w:p>
    <w:tbl>
      <w:tblPr>
        <w:tblW w:type="dxa" w:w="12680"/>
        <w:tblBorders>
          <w:top w:val="single" w:color="auto" w:sz="4"/>
          <w:left w:val="single" w:color="auto" w:sz="4"/>
          <w:bottom w:val="single" w:color="auto" w:sz="4"/>
          <w:right w:val="single" w:color="auto" w:sz="4"/>
          <w:insideH w:val="single" w:color="auto" w:sz="4"/>
          <w:insideV w:val="single" w:color="auto" w:sz="4"/>
        </w:tblBorders>
      </w:tblPr>
      <w:tblGrid>
        <w:gridCol w:w="4300"/>
        <w:gridCol w:w="1250"/>
        <w:gridCol w:w="1350"/>
        <w:gridCol w:w="1350"/>
        <w:gridCol w:w="1350"/>
        <w:gridCol w:w="1350"/>
        <w:gridCol w:w="1730"/>
      </w:tblGrid>
      <w:tr>
        <w:trPr>
          <w:cantSplit/>
          <w:tblHeader/>
        </w:trPr>
        <w:tc>
          <w:tcPr>
            <w:tcW w:type="dxa" w:w="430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left"/>
            </w:pPr>
            <w:r>
              <w:rPr>
                <w:rFonts w:ascii="Arial" w:cs="Arial" w:eastAsia="Arial" w:hAnsi="Arial"/>
                <w:b/>
                <w:bCs/>
                <w:sz w:val="17"/>
                <w:szCs w:val="17"/>
              </w:rPr>
              <w:t xml:space="preserve">Estrato</w:t>
            </w:r>
          </w:p>
        </w:tc>
        <w:tc>
          <w:tcPr>
            <w:tcW w:type="dxa" w:w="12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Admisiones</w:t>
            </w:r>
          </w:p>
        </w:tc>
        <w:tc>
          <w:tcPr>
            <w:tcW w:type="dxa" w:w="13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Hemoglobina (%)</w:t>
            </w:r>
          </w:p>
        </w:tc>
        <w:tc>
          <w:tcPr>
            <w:tcW w:type="dxa" w:w="13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Hematocrito (%)</w:t>
            </w:r>
          </w:p>
        </w:tc>
        <w:tc>
          <w:tcPr>
            <w:tcW w:type="dxa" w:w="13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Creatinina (%)</w:t>
            </w:r>
          </w:p>
        </w:tc>
        <w:tc>
          <w:tcPr>
            <w:tcW w:type="dxa" w:w="13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Las tres (%)</w:t>
            </w:r>
          </w:p>
        </w:tc>
        <w:tc>
          <w:tcPr>
            <w:tcW w:type="dxa" w:w="173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Ninguna de las tres (%)</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Todas las admisiones</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23,625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81.2</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81.4</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28.0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27.9</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18.5</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Solo ICD-10-CM/PCS</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10,800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81.2</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81.4</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30.8</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30.6</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18.5</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Solo ICD-9-CM</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12,825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81.4</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25.7</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25.6</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18.6</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Sin ingreso a UCI en 24 h</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23,273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81.1</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26.9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26.8</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18.8</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Con ingreso a UCI en 24 h</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352</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97.7</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97.7</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97.2</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96.6</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1.7</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Sin SMM</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22,811</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81.2</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26.4</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26.3</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18.7</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Con SMM</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814</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86.9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86.7</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73.3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73.2</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13.1</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SMM, insuficiencia renal aguda como único indicador</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179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83.2</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83.2</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69.8</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69.8</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16.8</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SMM, dos o más indicadores</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223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87.4</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87.4</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76.7</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76.7</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12.6</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Muerte en la misma admisión</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r>
    </w:tbl>
    <w:p>
      <w:pPr>
        <w:spacing w:after="0" w:before="80"/>
      </w:pPr>
      <w:r>
        <w:rPr>
          <w:rFonts w:ascii="Arial" w:cs="Arial" w:eastAsia="Arial" w:hAnsi="Arial"/>
          <w:sz w:val="16"/>
          <w:szCs w:val="16"/>
        </w:rPr>
        <w:t xml:space="preserve">Notas. Los estratos se solapan (una admisión puede pertenecer a varios de ellos). Las versiones de codificación (solo ICD-10-CM/PCS y solo ICD-9-CM) son el único marcador disponible del período en estas tablas. No se tabuló la disponibilidad por grupo de año ancla.</w:t>
      </w:r>
    </w:p>
    <w:sectPr>
      <w:footerReference w:type="default" r:id="rId6"/>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Faltantes de predictores suplementarios, 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predictor missingness</dc:title>
  <dc:creator>Authors</dc:creator>
  <cp:lastModifiedBy>Un-named</cp:lastModifiedBy>
  <cp:revision>1</cp:revision>
  <dcterms:created xsi:type="dcterms:W3CDTF">2026-10-25T23:50:47.350Z</dcterms:created>
  <dcterms:modified xsi:type="dcterms:W3CDTF">2026-10-25T23:50:47.351Z</dcterms:modified>
</cp:coreProperties>
</file>

<file path=docProps/custom.xml><?xml version="1.0" encoding="utf-8"?>
<Properties xmlns="http://schemas.openxmlformats.org/officeDocument/2006/custom-properties" xmlns:vt="http://schemas.openxmlformats.org/officeDocument/2006/docPropsVTypes"/>
</file>