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Lista de verificación TRIPOD+AI (material suplementario)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>Manuscrito: Predicción de la morbilidad materna grave a las 24 horas en hospitalizaciones de parto de MIMIC-IV: un ensamble apilado frente a la regresión logística, con un análisis de factibilidad de la muerte materna. Autores: E. Gutiérrez Jiménez, J. D. Márquez Díaz. ID del manuscrito: healthcare-4661619 (versión revisada del 25 de octubre de 2026).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>Tipo de estudio: desarrollo y validación interna de modelos de predicción de la morbilidad materna grave (validación cruzada anidada agrupada por paciente repetida tres veces, con intervalos bootstrap a nivel de paciente, y una validación temporal exploratoria en la misma institución) y un análisis de factibilidad de la muerte materna intrahospitalaria; sin validación externa. Guía de reporte: Collins GS et al. TRIPOD+AI statement. BMJ 2024;385:e078378. El texto de los ítems está abreviado; D = aplica al desarrollo, E = aplica a la evaluación.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ubicación remite a los números de sección, tablas y figuras del manuscrito; "back matter" se refiere a las declaraciones de MDPI sin numerar que siguen a las Conclusiones.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>Lista principal (52 filas): Reportado 34; Parcial 13; No reportado 0; N/A 5.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>Clave del estado: Reportado = abordado por completo; Parcial = abordado en parte; No reportado = ausente del manuscrito; N/A = no aplica a este estudio.</w:t>
      </w:r>
    </w:p>
    <w:p>
      <w:pPr>
        <w:pStyle w:val="Heading1"/>
      </w:pPr>
      <w:r>
        <w:rPr>
          <w:rFonts w:ascii="Arial" w:cs="Arial" w:eastAsia="Arial" w:hAnsi="Arial"/>
        </w:rPr>
        <w:t xml:space="preserve">Tabla 1. Lista principal TRIPOD+AI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700"/>
        <w:gridCol w:w="4000"/>
        <w:gridCol w:w="1100"/>
        <w:gridCol w:w="534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Ítem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 (abreviado)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Ubicación en el manuscrito / comentario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Título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Identificar el estudio como desarrollo/evaluación de un modelo de predicción multivariable; población objetivo y desenlace.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El título nombra el desenlace (morbilidad materna grave), el entorno (hospitalizaciones de parto), el momento (24 horas), la fuente de datos (MIMIC-IV), la comparación (ensamble apilado frente a regresión logística) y el análisis de factibilidad de la muerte materna.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Resumen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Usar la lista TRIPOD+AI para resúmenes (13 ítems).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Véase la Tabla 2 de este documento.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Introducción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Contexto asistencial y justificación; citar los modelos existentes.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1; Sec. 2.1–2.4 (trabajos relacionados).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Población objetivo, propósito del modelo en la ruta de atención, usuarios previstos.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Población: Sec. 1 y 3.2. El uso previsto se describe como prototipos de investigación que no deben orientar decisiones clínicas (Sec. 5 y 6); no se define una ruta de atención ni un usuario específicos, y la Sec. 6 propone cómo podría evaluarse un ranking.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Desigualdades en salud conocidas entre grupos sociodemográficos.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Abordado en la Sec. 5 (limitación vii) y en la Sec. 6 (consideraciones éticas, con las refs. 38–40); no en la Introducción.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Objetivos del estudio; desarrollo, evaluación o ambos.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1 (objetivos y contribuciones). Desarrollo con validación interna (validación cruzada anidada agrupada por paciente) y una validación temporal exploratoria en la misma institución (Sec. 4.9); sin validación externa (Sec. 5, limitación i).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datos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Fuentes de datos de los conjuntos de desarrollo y evaluación, justificación, representatividad.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 (MIMIC-IV v3.1); Sec. 3.2 (población); Sec. 3.4 (validación cruzada anidada agrupada por paciente, sin conjunto de evaluación separado); Sec. 5, limitación (i) sobre la representatividad.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Fechas de recolección de datos, inicio y fin del reclutamiento, seguimiento.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3.1: MIMIC-IV v3.1 abarca admisiones de 2008 a 2022; las fechas se desidentifican por desplazamiento, por lo que no hay fechas exactas.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participantes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Entorno del estudio; número y ubicación de los centros.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3.1; un solo centro médico académico (Beth Israel Deaconess Medical Center), Sec. 5 y 6.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Criterios de elegibilidad.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3.2 (mujeres de edad aproximada de 12 a 55 años con un diagnóstico ICD obstétrico o relacionado con el embarazo en cualquier posición; análisis principal restringido a hospitalizaciones de parto que siguen hospitalizadas 24 horas después del ingreso; no se exige estancia en UCI); Fig. 1; Tabla 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Tratamientos recibidos y cómo se manejaron.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3.3: no se usaron tratamientos ni intervenciones como predictores; se eliminaron la estancia en UCI y el número de estancias en UCI, y el ingreso a UCI en las primeras 24 horas aparece solo en un análisis de sensibilidad (Sec. 3.5, análisis vii).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preparación de los datos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Preprocesamiento y control de calidad; si fue similar entre grupos sociodemográficos.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3.3, Fig. 1 y Tabla A1 (ventana de predicción, límites de plausibilidad, winsorización en los percentiles del entrenamiento, imputación, escalado). No se indica si el preprocesamiento fue similar entre grupos sociodemográficos.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desenlace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Definición del desenlace, horizonte temporal, justificación, consistencia entre grupos.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3.2 (SMM según las listas de indicadores de los CDC/HRSA en ICD-9-CM e ICD-10-CM/PCS; muerte en la misma admisión; momento de la predicción a las 24 horas). Consistencia entre versiones de codificación en la Sec. 4.2 y la Tabla 3; no se evaluó la consistencia entre grupos sociodemográficos. Listas de códigos completas en el Apéndice D (Tablas A4 a A6). Los códigos de diagnóstico no tienen fecha y los de procedimiento solo una fecha calendario; la Sec. 4.2 y el Apéndice C (Tabla A3) ubican los indicadores de procedimiento con fecha antes, alrededor o después del momento de la predicción (59 de 445 eventos con certeza antes; 319 se apoyan solo en códigos de diagnóstico). Limitaciones de la etiqueta en la Sec. 5.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Evaluación subjetiva del desenlace: capacitación y características de los evaluadores.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Desenlace derivado de las horas de muerte registradas y de los códigos ICD; sin evaluadores.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Enmascaramiento de la evaluación del desenlace.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Sin evaluación; desenlace derivado de datos codificados.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predictores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Selección inicial de predictores y cualquier cribado previo.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 (conjunto de predictores y regla de disponibilidad del 10 % para los exámenes de laboratorio); Tabla A1; Sec. 3.5 (análisis de sensibilidad vi y vii con predictores ampliados).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Definiciones de los predictores, cómo y cuándo se midieron; enmascaramiento.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 (primer valor en la ventana desde 24 horas antes hasta 24 horas después del ingreso; momento de los primeros valores); Tabla A1 (identificadores de ítem, unidades, cobertura). El enmascaramiento no aplica.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Medición subjetiva de los predictores: capacitación y características de los evaluadores.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Los predictores son valores de laboratorio registrados y variables administrativas.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tamaño de muestra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Cómo se determinó el tamaño de muestra y por qué es adecuado; incluir el cálculo.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3.5 y 4.11: criterios de Riley et al. con el R² de Cox–Snell observado de 0.031 (se requieren 9,112 admisiones y 209 eventos; hay 19,383 y 445 disponibles; 13.9 eventos por parámetro). Mortalidad: Sec. 4.12 (R² supuesto; se requieren entre 211,688 y 635,433 admisiones).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datos faltantes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Manejo de los datos faltantes; razones para omitir datos.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 (datos faltantes, valores implausibles, imputación, indicador de faltante de la creatinina); Tabla 4 (disponibilidad por estrato); Apéndice E, Tablas A7 y A8 (disponibilidad de cada variable según SMM e ingreso a UCI); Tabla 11 (con y sin el indicador); no se eliminaron filas.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análisis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Cómo se usaron los datos (desarrollo/evaluación), particiones, consideraciones de tamaño de muestra.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3.4 (validación cruzada de cinco pliegues agrupada por paciente repetida tres veces, 15 particiones; pliegues de prueba con 2,732–2,748 pacientes y 70–109 pacientes con un evento; ajuste interno de tres pliegues); Fig. 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Manejo de los predictores: forma funcional, reescalado, transformación.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 (winsorización en los percentiles 0.5 y 99.5 del entrenamiento, estandarización, codificación one-hot con las categorías infrecuentes agrupadas); las variables numéricas entran de forma lineal, sin otra transformación.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Tipo de modelo, justificación, todos los pasos de construcción, incluido el ajuste de hiperparámetros, y validación interna.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3.4 (algoritmos, mallas, ajuste sobre la precisión promedio, apilamiento explícito con un metaaprendiz logístico, paso de Platt); Sec. 4.11 (hiperparámetros seleccionados).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Manejo y cuantificación de la heterogeneidad entre conglomerados.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Un solo centro, por lo que no hay conglomerados por centro. Los conglomerados por paciente se manejan con particiones agrupadas y un bootstrap a nivel de paciente (Sec. 3.4 y 3.5; 6,793 de 15,084 pacientes aportaron más de una admisión). La heterogeneidad se examina por estrato de UCI, versión de codificación y grupo calendario (Sec. 4.7 a 4.9); no por grupo sociodemográfico.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Medidas y gráficos de desempeño (discriminación, calibración, utilidad clínica), justificación.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3.5 y 4.4–4.6, 4.9: AUROC, AUPRC, puntaje de Brier, pendiente de calibración, calibración en general, razón observado/esperado, error de calibración esperado, gráfico por deciles, proporción de eventos en el 5 % y el 10 % superiores, curva de decisión; intervalos bootstrap a nivel de paciente y diferencias pareadas.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12f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Actualización del modelo (p. ej., recalibración) derivada de la evaluación.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3.4 y 4.5: recalibración de Platt ajustada sobre las predicciones fuera de muestra de los pacientes de entrenamiento (con ajuste cruzado para el ensamble) y evaluada en otros pacientes; calibración en grupos calendario posteriores tras entrenar con los anteriores en la Sec. 4.9 (Tabla 13); sin validación externa.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12g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Cómo se calcularon las predicciones en la evaluación (fórmula, código, API).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Los scripts SQL y los notebooks de extracción de la cohorte, etiquetas, predictores, modelado y análisis de sensibilidad (notebooks/), las salidas agregadas de los análisis revisados (conteos y métricas, sin datos a nivel de paciente) y los conteos de auditoría están disponibles en el repositorio del proyecto (Declaración de disponibilidad de datos). Listas de códigos completas: Tablas A4 a A6 del Apéndice 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desbalance de clases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 de desbalance, justificación y cualquier recalibración posterior.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3.5 (pesos de clase y SMOTE-NC dentro de los pliegues de entrenamiento); Sec. 4.10 y Apéndice B (Tabla A2); recalibración después de cada estrategia.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equidad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Enfoques para abordar la equidad del modelo y justificación.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El grupo étnico, el seguro y el idioma son predictores; no se evaluó el desempeño por grupo ni se aplicó ninguna mitigación de equidad (Sec. 5, limitación vii; Sec. 6, consideraciones éticas).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salida del modelo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Tipo de salida, justificación, cómo se definieron los umbrales.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3.5 y 4.5–4.6: probabilidad recalibrada; no se propone ningún umbral operativo; grupos basados en el ranking (5 % y 10 % superiores) y curva de decisión entre 0.5 % y 20 %.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desarrollo frente a evaluación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Diferencias entre los datos de desarrollo y de evaluación (entorno, elegibilidad, desenlace, predictores).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La evaluación es interna: validación cruzada anidada agrupada por paciente y una validación temporal exploratoria en la misma institución (de grupos calendario anteriores a posteriores, y de ICD-9 a ICD-10; Sec. 3.5 y 4.9, Tablas 12 y 13), que muestran diferencias en la prevalencia de SMM y en la calibración entre períodos. No hay una cohorte de evaluación externa separada.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Métodos: ética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Comité de ética y consentimiento o exención.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Declaración del comité de revisión institucional y declaración de consentimiento informado (back matter): se eximió de la revisión ética y del consentimiento informado porque el estudio usó datos retrospectivos y desidentificados.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Ciencia abierta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Fuente de financiación y papel de los financiadores.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Declaración de financiación (back matter).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Conflictos de interés de todos los autores.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Declaración de conflictos de interés (back matter).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Dónde acceder al protocolo, o indicar que no se preparó ninguno.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3.1: desarrollado dentro de una propuesta de tesis doctoral; no se publicó ni hay disponible públicamente un protocolo aparte.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Datos del registro, o indicar que no se registró.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3.1: el estudio no se registró.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Disponibilidad de los datos del estudio.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Declaración de disponibilidad de datos (acceso con credenciales a través de PhysioNet).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18f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Disponibilidad del código analítico.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Declaración de disponibilidad de datos: URL del repositorio (https://github.com/khem777/MaternalMortality_MIMIC-IV) con el código y las salidas agregadas de los análisis revisados; los datos a nivel de paciente no se comparten (acceso con credenciales a través de PhysioNet, ítem 18e).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Participación de pacientes y público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Participación de pacientes o del público, o indicar que no hubo.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3.1: no hubo participación de pacientes ni del público.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Resultados: participantes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Flujo de participantes; números con y sin desenlace; diagrama.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Fig. 1 y Sec. 4.1 (Tabla 1): 25,736 admisiones obstétricas, 19,425 hospitalizaciones de parto, 19,383 elegibles a las 24 horas, con los pacientes, eventos de SMM y muertes en cada una; las 42 admisiones que terminaron antes se describen en la Sec. 3.2.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Características generales, por fuente, y diferencias entre los principales grupos demográficos.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Tabla 1, Tabla 3 (indicadores), Tabla 4 (disponibilidad por estrato). No hay una tabla de características basales por desenlace ni por grupo sociodemográfico.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Comparar las distribuciones de predictores y desenlace con los datos de desarrollo.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No hay una cohorte de evaluación separada.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Participantes y eventos en cada análisis.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4.1 y Tabla 1 (pacientes y eventos); Sec. 3.4 (eventos por pliegue de prueba); las Tablas 5–11 dan el número de admisiones y de eventos de cada análisis.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Resultados: modelo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Detalles completos del modelo para las predicciones y la evaluación por terceros; restricciones de acceso.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La Sec. 3.4, la Sec. 4.10 y la Tabla A1 enumeran los algoritmos, las mallas, los hiperparámetros seleccionados y los predictores. Los modelos ajustados no se publican (se entrenaron con datos de acceso con credenciales); el código de análisis y las salidas agregadas están en el repositorio y las restricciones de acceso a los datos están en la Declaración de disponibilidad de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Resultados: desempeño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Estimaciones de desempeño con intervalos de confianza, incluidos los subgrupos clave.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Intervalos bootstrap del 95 % para todas las medidas de desempeño (Tablas 5–11), diferencias pareadas (Tabla 6). Subgrupos clave: estratos de UCI (Tabla 9), primera admisión, solo ICD-10 (Tabla 10); no se evaluaron subgrupos sociodemográficos.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Heterogeneidad del desempeño entre conglomerados.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Un solo centro.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Resultados de la actualización del modelo y desempeño posterior.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4.5, Tabla 7, Fig. 2 (después de la recalibración) y Apéndice B, Tabla A2 (probabilidades antes de la recalibración por estrategia).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Discusión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Interpretación general, incluida la equidad.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5; Sec. 6 (consideraciones éticas).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Limitaciones: sesgo, incertidumbre estadística, generalización.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5 (limitaciones i–ix).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Cómo deben evaluarse y manejarse los datos de entrada de mala calidad o no disponibles en la implementación.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5, limitación (iv): el indicador de faltante de la creatinina puede depender de las decisiones en otro flujo de trabajo; Sec. 6: monitoreo de la deriva. No se da ningún procedimiento para evaluar entradas de mala calidad o no disponibles en la implementación.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los usuarios deben interactuar con los datos o el modelo y la experiencia requerida.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6: ranking de admisiones para revisión clínica, ayuda no vinculante, alertas que se pueden anular, validación por un responsable humano autorizado; no se describe la experiencia requerida.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Próximos pasos de investigación (aplicabilidad, generalización).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6 (trabajo futuro i–v).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Tabla 2. TRIPOD+AI para resúmenes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5000"/>
        <w:gridCol w:w="1100"/>
        <w:gridCol w:w="504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Ítem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 (abreviado)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Título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Identificar como desarrollo/evaluación; población y desenlace.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Título.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Antecedentes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Contexto asistencial y justificación.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Resumen, Antecedentes.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Objetivos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Objetivos; desarrollo, evaluación o ambos.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No hay una oración de objetivo explícita; el resumen indica lo analizado en Métodos.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Métodos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Fuentes de datos.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Base de datos de historias clínicas electrónicas MIMIC-IV.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Criterios de elegibilidad y entorno.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Hospitalizaciones de parto que siguen hospitalizadas 24 horas después del ingreso; el carácter de un solo centro se indica en las Conclusiones.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Desenlace predicho (y horizonte temporal).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SMM definida con la lista de los CDC en ICD-9-CM e ICD-10-CM/PCS; predicción a las 24 horas.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Tipo de modelo, pasos de construcción, validación interna (desarrollo).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Algoritmos, validación cruzada anidada agrupada por paciente, recalibración, bootstrap a nivel de paciente.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Medidas de desempeño.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 reportan AUROC, AUPRC y la proporción de eventos en el 5 % superior; no se resume la calibración.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Resultados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 de participantes y eventos.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19,383 admisiones; 445 eventos de SMM.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Predictores del modelo final (desarrollo).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Predictores enumerados: edad, cinco variables administrativas, hemoglobina y creatinina.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Estimaciones de desempeño con intervalos de confianza.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Parcial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AUROC con intervalo del 95 % y diferencia pareada con intervalo; AUPRC sin intervalo.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Discusión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Interpretación general.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Reportado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Conclusiones.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Nombre y número del registro.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El estudio no se registró (Sec. 3.1); el resumen de MDPI no tiene un campo de registro.</w:t>
            </w:r>
          </w:p>
        </w:tc>
      </w:tr>
    </w:tbl>
    <w:sectPr>
      <w:footerReference w:type="default" r:id="rId7"/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Lista de verificación TRIPOD+AI –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2026-10-10T14:42:37.280Z</dcterms:created>
  <dcterms:modified xsi:type="dcterms:W3CDTF">2026-10-10T14:42:37.285Z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