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r>
        <w:rPr>
          <w:rFonts w:ascii="Calibri" w:hAnsi="Calibri"/>
          <w:b/>
          <w:color w:val="0D9488"/>
          <w:sz w:val="22"/>
        </w:rPr>
        <w:t>MANUAL TÉCNICO &amp; FUNCIONAL EXECUTIVO</w:t>
      </w:r>
    </w:p>
    <w:p>
      <w:pPr>
        <w:spacing w:after="40"/>
      </w:pPr>
      <w:r>
        <w:rPr>
          <w:rFonts w:ascii="Calibri" w:hAnsi="Calibri"/>
          <w:b/>
          <w:color w:val="0F172A"/>
          <w:sz w:val="56"/>
        </w:rPr>
        <w:t>FLUXO FINANCEIRO</w:t>
      </w:r>
    </w:p>
    <w:p>
      <w:pPr>
        <w:spacing w:after="360"/>
      </w:pPr>
      <w:r>
        <w:rPr>
          <w:rFonts w:ascii="Calibri" w:hAnsi="Calibri"/>
          <w:color w:val="64748B"/>
          <w:sz w:val="26"/>
        </w:rPr>
        <w:t>Documentação Arquitetural, Funcionalidades, Stack Tecnológica e Histórico de Versões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284C7"/>
                <w:sz w:val="21"/>
              </w:rPr>
              <w:t>■ VISÃO GERAL DA DOCUMENTAÇÃO</w:t>
              <w:br/>
            </w:r>
            <w:r>
              <w:rPr>
                <w:color w:val="334155"/>
                <w:sz w:val="20"/>
              </w:rPr>
              <w:t>• Sistema: Fluxo Financeiro (Web App / Progressive Web App - PWA)</w:t>
              <w:br/>
              <w:t>• Versão de Referência: v1.2.0 (Edição Agosto/2026)</w:t>
              <w:br/>
              <w:t>• Regime Contábil: Regime de Caixa Estrito (Realização Financeira na Data de Pagamento)</w:t>
              <w:br/>
              <w:t>• Stack Principal: React 18 + TypeScript + Vite + Tailwind CSS + Supabase (PostgreSQL)</w:t>
              <w:br/>
              <w:t>• Responsável Técnico: Engenharia de Software &amp; Arquitetura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1. O que é o Fluxo Financeiro e Filosofia do Sistema</w:t>
      </w:r>
    </w:p>
    <w:p>
      <w:pPr>
        <w:spacing w:after="60"/>
      </w:pPr>
      <w:r>
        <w:rPr>
          <w:color w:val="334155"/>
        </w:rPr>
        <w:t>O Fluxo Financeiro é uma plataforma executiva de gestão financeira pessoal e familiar desenvolvida para transformar o controle de receitas, despesas, contas fixas, cartões de crédito e investimentos em uma experiência transparente, ágil e livre de complexidades contábeis desnecessárias.</w:t>
      </w:r>
    </w:p>
    <w:p>
      <w:pPr>
        <w:keepNext/>
        <w:spacing w:before="260" w:after="80"/>
      </w:pPr>
      <w:r>
        <w:rPr>
          <w:rFonts w:ascii="Calibri" w:hAnsi="Calibri"/>
          <w:b/>
          <w:color w:val="0D9488"/>
          <w:sz w:val="26"/>
        </w:rPr>
        <w:t>1.1 Cerne Arquitetural: O Regime de Caixa</w:t>
      </w:r>
    </w:p>
    <w:p>
      <w:pPr>
        <w:spacing w:after="60"/>
      </w:pPr>
      <w:r>
        <w:rPr>
          <w:b/>
          <w:color w:val="0F172A"/>
        </w:rPr>
        <w:t xml:space="preserve">Comportamento de Extrato Bancário (Regime de Caixa): </w:t>
      </w:r>
      <w:r>
        <w:rPr>
          <w:color w:val="334155"/>
        </w:rPr>
        <w:t xml:space="preserve">Diferente de sistemas corporativos baseados em regime de competência, o Fluxo opera 100% sob o </w:t>
      </w:r>
    </w:p>
    <w:p>
      <w:pPr>
        <w:pStyle w:val="ListBullet"/>
        <w:spacing w:after="50"/>
      </w:pPr>
      <w:r>
        <w:rPr>
          <w:b/>
          <w:color w:val="0F172A"/>
        </w:rPr>
        <w:t>Entradas e Saídas Efetivas:</w:t>
      </w:r>
      <w:r>
        <w:rPr>
          <w:color w:val="334155"/>
        </w:rPr>
        <w:t>Uma despesa ou receita só altera o saldo consolidado e impacta o extrato no momento exato em que o dinheiro é pago ou recebido (paymentDate). A data de vencimento serve exclusivamente como referência de agendamento.</w:t>
      </w:r>
    </w:p>
    <w:p>
      <w:pPr>
        <w:pStyle w:val="ListBullet"/>
        <w:spacing w:after="50"/>
      </w:pPr>
      <w:r>
        <w:rPr>
          <w:b/>
          <w:color w:val="0F172A"/>
        </w:rPr>
        <w:t>Cartão de Crédito sem Duplicidade:</w:t>
      </w:r>
      <w:r>
        <w:rPr>
          <w:color w:val="334155"/>
        </w:rPr>
        <w:t>As compras parceladas ou pontuais em cartão comprometem o limite do cartão e entram na fatura mensal, mas o dinheiro só sai da conta corrente no momento em que a fatura do cartão é quitada na Gestão de Contas.</w:t>
      </w:r>
    </w:p>
    <w:p>
      <w:pPr>
        <w:pStyle w:val="ListBullet"/>
        <w:spacing w:after="50"/>
      </w:pPr>
      <w:r>
        <w:rPr>
          <w:b/>
          <w:color w:val="0F172A"/>
        </w:rPr>
        <w:t>Abatimentos e Antecipações Contábeis:</w:t>
      </w:r>
      <w:r>
        <w:rPr>
          <w:color w:val="334155"/>
        </w:rPr>
        <w:t>O sistema suporta transferências diretas entre conta corrente e cartão de crédito, registrando o pagamento antecipado e o desconto da parcela em par contábil vinculado.</w:t>
      </w:r>
    </w:p>
    <w:p>
      <w:pPr>
        <w:keepNext/>
        <w:spacing w:before="260" w:after="80"/>
      </w:pPr>
      <w:r>
        <w:rPr>
          <w:rFonts w:ascii="Calibri" w:hAnsi="Calibri"/>
          <w:b/>
          <w:color w:val="0D9488"/>
          <w:sz w:val="26"/>
        </w:rPr>
        <w:t>1.2 Filosofia Visual &amp; Ergonomia (Apple Minimalist)</w:t>
      </w:r>
    </w:p>
    <w:p>
      <w:pPr>
        <w:pStyle w:val="ListBullet"/>
        <w:spacing w:after="50"/>
      </w:pPr>
      <w:r>
        <w:rPr>
          <w:b/>
          <w:color w:val="0F172A"/>
        </w:rPr>
        <w:t>Design Clean &amp; Executivo:</w:t>
      </w:r>
      <w:r>
        <w:rPr>
          <w:color w:val="334155"/>
        </w:rPr>
        <w:t>Interface moderna, tipografia refinada, contornos suaves e alto contraste em modo escuro e claro.</w:t>
      </w:r>
    </w:p>
    <w:p>
      <w:pPr>
        <w:pStyle w:val="ListBullet"/>
        <w:spacing w:after="50"/>
      </w:pPr>
      <w:r>
        <w:rPr>
          <w:b/>
          <w:color w:val="0F172A"/>
        </w:rPr>
        <w:t>Ausência Total de Emojis:</w:t>
      </w:r>
      <w:r>
        <w:rPr>
          <w:color w:val="334155"/>
        </w:rPr>
        <w:t>Substituição rigorosa de emojis por ícones técnicos vetoriais Lucide React em toda a interface do usuário.</w:t>
      </w:r>
    </w:p>
    <w:p>
      <w:pPr>
        <w:pStyle w:val="ListBullet"/>
        <w:spacing w:after="50"/>
      </w:pPr>
      <w:r>
        <w:rPr>
          <w:b/>
          <w:color w:val="0F172A"/>
        </w:rPr>
        <w:t>Mobile First &amp; Responsividade Adaptativa:</w:t>
      </w:r>
      <w:r>
        <w:rPr>
          <w:color w:val="334155"/>
        </w:rPr>
        <w:t>Layouts otimizados para uso ergonômico em smartphones (a partir de 375px) com ações rápidas por toque, preservando visual amplo e detalhado na Web Desktop.</w:t>
      </w:r>
    </w:p>
    <w:p>
      <w:pPr>
        <w:pStyle w:val="ListBullet"/>
        <w:spacing w:after="50"/>
      </w:pPr>
      <w:r>
        <w:rPr>
          <w:b/>
          <w:color w:val="0F172A"/>
        </w:rPr>
        <w:t>Padrão de Encoding UTF-8 Rigoroso:</w:t>
      </w:r>
      <w:r>
        <w:rPr>
          <w:color w:val="334155"/>
        </w:rPr>
        <w:t>Arquitetura 100% imune a problemas de codificação (mojibake), auditada por testes automatizados em cada release.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2. Stack Tecnológica &amp; Engenharia de Software</w:t>
      </w:r>
    </w:p>
    <w:p>
      <w:pPr>
        <w:spacing w:after="60"/>
      </w:pPr>
      <w:r>
        <w:rPr>
          <w:color w:val="334155"/>
        </w:rPr>
        <w:t>A aplicação foi construída sobre tecnologias de ponta no ecossistema Web moderno, priorizando tipagem estrita, performance de renderização e segurança ponta a ponta.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51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Descrição Arquitetural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Linguagem Principal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TypeScript 5.x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Tipagem estrita (strict mode), interfaces tipadas e 0 tolerância a 'any' oculto.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Frontend Core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React 18.3 + Vite 5.4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Single Page Application (SPA) com renderização veloz e Hot Module Replacement.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Roteamento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React Router 6.x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Navegação SPA fluida com suporte a flags de transição do React 18.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Estilização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Tailwind CSS 3.4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Design system utilitário com paleta customizada, dark mode e tokens de design.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Componentes UI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Radix UI Primitives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Diálogos, dropdowns, switches, tabs e tooltips totalmente acessíveis (WAI-ARIA).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Ícones Vetoriais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Lucide React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Catálogo expandido com +100 ícones categorizados por tema e busca em português.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Gerenciamento de Estado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TanStack React Query v5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Cache inteligente, sincronização em tempo real e revalidação de dados em segundo plano.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Estado Local &amp; Tema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Zustand 4.x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Persistência leve de preferências (filtros, visibilidade de saldo, tema).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Gráficos &amp; Métricas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Recharts 2.x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Gráficos interativos (ComposedChart, Area, Bar, Pie) com tooltips customizados.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Banco de Dados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PostgreSQL 15 (Supabase)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Tabelas relacionais, índices B-Tree, triggers automáticos e RLS.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Segurança &amp; Auth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Supabase Auth + RLS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Isolamento total por usuário (auth.uid()), RPCs com segurança de execução restrita.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PWA &amp; Notificações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Workbox + Web Push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Service Worker com cache de assets e notificações push via VAPID.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Testes Automatizados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Vitest + Testing Library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Suíte com 38 arquivos e 313 testes unitários e de integração contínua.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Deploy &amp; Hospedagem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Vercel + Supabase Cloud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Builds de produção otimizados com cabeçalhos de segurança HTTP.</w:t>
            </w:r>
          </w:p>
        </w:tc>
      </w:tr>
    </w:tbl>
    <w:p>
      <w:pPr>
        <w:spacing w:after="4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3. Módulos e Funcionalidades Detalhadas</w:t>
      </w:r>
    </w:p>
    <w:p>
      <w:pPr>
        <w:keepNext/>
        <w:spacing w:before="260" w:after="80"/>
      </w:pPr>
      <w:r>
        <w:rPr>
          <w:rFonts w:ascii="Calibri" w:hAnsi="Calibri"/>
          <w:b/>
          <w:color w:val="0D9488"/>
          <w:sz w:val="26"/>
        </w:rPr>
        <w:t>3.1 Dashboard Executivo (Visão Geral de Caixa)</w:t>
      </w:r>
    </w:p>
    <w:p>
      <w:pPr>
        <w:spacing w:after="60"/>
      </w:pPr>
      <w:r>
        <w:rPr>
          <w:color w:val="334155"/>
        </w:rPr>
        <w:t>O Dashboard é a central de comando financeiro, oferecendo leitura instantânea da saúde patrimonial:</w:t>
      </w:r>
    </w:p>
    <w:p>
      <w:pPr>
        <w:pStyle w:val="ListBullet"/>
        <w:spacing w:after="50"/>
      </w:pPr>
      <w:r>
        <w:rPr>
          <w:b/>
          <w:color w:val="0F172A"/>
        </w:rPr>
        <w:t>Cards de Indicadores Chave:</w:t>
      </w:r>
      <w:r>
        <w:rPr>
          <w:color w:val="334155"/>
        </w:rPr>
        <w:t>Saldo Total Consolidado (com alternador de ocultar/mostrar valores), Entradas do Mês, Saídas Realizadas e Balanço Previsto até o final do período.</w:t>
      </w:r>
    </w:p>
    <w:p>
      <w:pPr>
        <w:pStyle w:val="ListBullet"/>
        <w:spacing w:after="50"/>
      </w:pPr>
      <w:r>
        <w:rPr>
          <w:b/>
          <w:color w:val="0F172A"/>
        </w:rPr>
        <w:t>Evolução Diária de Caixa:</w:t>
      </w:r>
      <w:r>
        <w:rPr>
          <w:color w:val="334155"/>
        </w:rPr>
        <w:t>Gráfico temporal comparando o saldo acumulado dia a dia contra as contas a vencer.</w:t>
      </w:r>
    </w:p>
    <w:p>
      <w:pPr>
        <w:pStyle w:val="ListBullet"/>
        <w:spacing w:after="50"/>
      </w:pPr>
      <w:r>
        <w:rPr>
          <w:b/>
          <w:color w:val="0F172A"/>
        </w:rPr>
        <w:t>Ranking de Gastos por Categoria:</w:t>
      </w:r>
      <w:r>
        <w:rPr>
          <w:color w:val="334155"/>
        </w:rPr>
        <w:t>Lista ordenada das categorias de maior impacto financeiro com percentual sobre o total.</w:t>
      </w:r>
    </w:p>
    <w:p>
      <w:pPr>
        <w:pStyle w:val="ListBullet"/>
        <w:spacing w:after="50"/>
      </w:pPr>
      <w:r>
        <w:rPr>
          <w:b/>
          <w:color w:val="0F172A"/>
        </w:rPr>
        <w:t>Atalhos Rápidos de Ação:</w:t>
      </w:r>
      <w:r>
        <w:rPr>
          <w:color w:val="334155"/>
        </w:rPr>
        <w:t>Botões de Lançamento Rápido, Aporte na Reserva e Gestão de Contas.</w:t>
      </w:r>
    </w:p>
    <w:p>
      <w:pPr>
        <w:keepNext/>
        <w:spacing w:before="260" w:after="80"/>
      </w:pPr>
      <w:r>
        <w:rPr>
          <w:rFonts w:ascii="Calibri" w:hAnsi="Calibri"/>
          <w:b/>
          <w:color w:val="0D9488"/>
          <w:sz w:val="26"/>
        </w:rPr>
        <w:t>3.2 Extrato &amp; Lançamentos Inteligentes</w:t>
      </w:r>
    </w:p>
    <w:p>
      <w:pPr>
        <w:spacing w:after="60"/>
      </w:pPr>
      <w:r>
        <w:rPr>
          <w:color w:val="334155"/>
        </w:rPr>
        <w:t>Módulo responsável pela inclusão, conciliação e rastreamento de todas as movimentações financeiras:</w:t>
      </w:r>
    </w:p>
    <w:p>
      <w:pPr>
        <w:pStyle w:val="ListBullet"/>
        <w:spacing w:after="50"/>
      </w:pPr>
      <w:r>
        <w:rPr>
          <w:b/>
          <w:color w:val="0F172A"/>
        </w:rPr>
        <w:t>Tipos de Lançamento:</w:t>
      </w:r>
      <w:r>
        <w:rPr>
          <w:color w:val="334155"/>
        </w:rPr>
        <w:t>Suporte nativo a Lançamento Pontual, Parcelado (com divisão automática de parcelas e competências), Fixo Recorrente, Transferência entre Contas e Abatimento no Cartão.</w:t>
      </w:r>
    </w:p>
    <w:p>
      <w:pPr>
        <w:pStyle w:val="ListBullet"/>
        <w:spacing w:after="50"/>
      </w:pPr>
      <w:r>
        <w:rPr>
          <w:b/>
          <w:color w:val="0F172A"/>
        </w:rPr>
        <w:t>Filtros Multi-dimensionais:</w:t>
      </w:r>
      <w:r>
        <w:rPr>
          <w:color w:val="334155"/>
        </w:rPr>
        <w:t>Filtragem rápida por Mês Atual, Próximo Mês, Trimestre, Semestre, Ano ou Intervalo Personalizado, além de filtros por Conta Bancária, Categoria e Status (Pago/Pendente).</w:t>
      </w:r>
    </w:p>
    <w:p>
      <w:pPr>
        <w:pStyle w:val="ListBullet"/>
        <w:spacing w:after="50"/>
      </w:pPr>
      <w:r>
        <w:rPr>
          <w:b/>
          <w:color w:val="0F172A"/>
        </w:rPr>
        <w:t>Baixa Instantânea com Confirmação:</w:t>
      </w:r>
      <w:r>
        <w:rPr>
          <w:color w:val="334155"/>
        </w:rPr>
        <w:t>Ao marcar um lançamento como pago, o usuário pode definir a data exata da baixa e a conta utilizada, atualizando o saldo bancário via trigger de banco de dados.</w:t>
      </w:r>
    </w:p>
    <w:p>
      <w:pPr>
        <w:keepNext/>
        <w:spacing w:before="260" w:after="80"/>
      </w:pPr>
      <w:r>
        <w:rPr>
          <w:rFonts w:ascii="Calibri" w:hAnsi="Calibri"/>
          <w:b/>
          <w:color w:val="0D9488"/>
          <w:sz w:val="26"/>
        </w:rPr>
        <w:t>3.3 Gestão de Contas a Pagar e Receber (Bills Manager)</w:t>
      </w:r>
    </w:p>
    <w:p>
      <w:pPr>
        <w:spacing w:after="60"/>
      </w:pPr>
      <w:r>
        <w:rPr>
          <w:color w:val="334155"/>
        </w:rPr>
        <w:t>Painel dedicado ao controle de vencimentos e compromissos recorrentes:</w:t>
      </w:r>
    </w:p>
    <w:p>
      <w:pPr>
        <w:pStyle w:val="ListBullet"/>
        <w:spacing w:after="50"/>
      </w:pPr>
      <w:r>
        <w:rPr>
          <w:b/>
          <w:color w:val="0F172A"/>
        </w:rPr>
        <w:t>Contas do Mês &amp; Pendências Acumuladas:</w:t>
      </w:r>
      <w:r>
        <w:rPr>
          <w:color w:val="334155"/>
        </w:rPr>
        <w:t>Exibe todas as despesas e receitas agendadas, trazendo automaticamente contas em atraso para o topo da lista.</w:t>
      </w:r>
    </w:p>
    <w:p>
      <w:pPr>
        <w:pStyle w:val="ListBullet"/>
        <w:spacing w:after="50"/>
      </w:pPr>
      <w:r>
        <w:rPr>
          <w:b/>
          <w:color w:val="0F172A"/>
        </w:rPr>
        <w:t>Edição Granular e Escopo de Repetição:</w:t>
      </w:r>
      <w:r>
        <w:rPr>
          <w:color w:val="334155"/>
        </w:rPr>
        <w:t>Permite alterar nome, categoria, valor, data e escolher se a alteração afeta: apenas a parcela atual, a atual e futuras, ou todas as repetições da série.</w:t>
      </w:r>
    </w:p>
    <w:p>
      <w:pPr>
        <w:pStyle w:val="ListBullet"/>
        <w:spacing w:after="50"/>
      </w:pPr>
      <w:r>
        <w:rPr>
          <w:b/>
          <w:color w:val="0F172A"/>
        </w:rPr>
        <w:t>Baixas Totais e Parciais:</w:t>
      </w:r>
      <w:r>
        <w:rPr>
          <w:color w:val="334155"/>
        </w:rPr>
        <w:t>Possibilidade de dar baixa integral ou parcial em contas, gerando o saldo restante na competência correta.</w:t>
      </w:r>
    </w:p>
    <w:p>
      <w:pPr>
        <w:pStyle w:val="ListBullet"/>
        <w:spacing w:after="50"/>
      </w:pPr>
      <w:r>
        <w:rPr>
          <w:b/>
          <w:color w:val="0F172A"/>
        </w:rPr>
        <w:t>Estorno Seguro:</w:t>
      </w:r>
      <w:r>
        <w:rPr>
          <w:color w:val="334155"/>
        </w:rPr>
        <w:t>Opção de estornar lançamentos baixados indevidamente, recompondo o saldo da conta de origem automaticamente.</w:t>
      </w:r>
    </w:p>
    <w:p>
      <w:pPr>
        <w:keepNext/>
        <w:spacing w:before="260" w:after="80"/>
      </w:pPr>
      <w:r>
        <w:rPr>
          <w:rFonts w:ascii="Calibri" w:hAnsi="Calibri"/>
          <w:b/>
          <w:color w:val="0D9488"/>
          <w:sz w:val="26"/>
        </w:rPr>
        <w:t>3.4 Cartões de Crédito, Faturas &amp; Antecipações</w:t>
      </w:r>
    </w:p>
    <w:p>
      <w:pPr>
        <w:spacing w:after="60"/>
      </w:pPr>
      <w:r>
        <w:rPr>
          <w:color w:val="334155"/>
        </w:rPr>
        <w:t>Controle completo de múltiplos cartões de crédito corporativos e pessoais:</w:t>
      </w:r>
    </w:p>
    <w:p>
      <w:pPr>
        <w:pStyle w:val="ListBullet"/>
        <w:spacing w:after="50"/>
      </w:pPr>
      <w:r>
        <w:rPr>
          <w:b/>
          <w:color w:val="0F172A"/>
        </w:rPr>
        <w:t>Gestão de Limites Dinâmicos:</w:t>
      </w:r>
      <w:r>
        <w:rPr>
          <w:color w:val="334155"/>
        </w:rPr>
        <w:t>Acompanhamento em tempo real de Limite Total, Limite Comprometido e Limite Disponível para compras.</w:t>
      </w:r>
    </w:p>
    <w:p>
      <w:pPr>
        <w:pStyle w:val="ListBullet"/>
        <w:spacing w:after="50"/>
      </w:pPr>
      <w:r>
        <w:rPr>
          <w:b/>
          <w:color w:val="0F172A"/>
        </w:rPr>
        <w:t>Ciclos de Fatura Inteligentes:</w:t>
      </w:r>
      <w:r>
        <w:rPr>
          <w:color w:val="334155"/>
        </w:rPr>
        <w:t>Cálculo preciso de datas de fechamento e vencimento de faturas, com suporte a viradas de mês e compras no melhor dia.</w:t>
      </w:r>
    </w:p>
    <w:p>
      <w:pPr>
        <w:pStyle w:val="ListBullet"/>
        <w:spacing w:after="50"/>
      </w:pPr>
      <w:r>
        <w:rPr>
          <w:b/>
          <w:color w:val="0F172A"/>
        </w:rPr>
        <w:t>Pagamento e Parcelamento de Fatura:</w:t>
      </w:r>
      <w:r>
        <w:rPr>
          <w:color w:val="334155"/>
        </w:rPr>
        <w:t>Baixa de fatura vinculada à conta bancária de pagamento, com opção de parcelamento de fatura sem recálculo de juros indevido.</w:t>
      </w:r>
    </w:p>
    <w:p>
      <w:pPr>
        <w:pStyle w:val="ListBullet"/>
        <w:spacing w:after="50"/>
      </w:pPr>
      <w:r>
        <w:rPr>
          <w:b/>
          <w:color w:val="0F172A"/>
        </w:rPr>
        <w:t>Abatimento no Cartão / Antecipação de Parcelas:</w:t>
      </w:r>
      <w:r>
        <w:rPr>
          <w:color w:val="334155"/>
        </w:rPr>
        <w:t>Fluxo exclusivo para antecipar compras ou abater valores diretamente no cartão, gerando lançamento casado na conta e abatendo a fatura.</w:t>
      </w:r>
    </w:p>
    <w:p>
      <w:pPr>
        <w:keepNext/>
        <w:spacing w:before="260" w:after="80"/>
      </w:pPr>
      <w:r>
        <w:rPr>
          <w:rFonts w:ascii="Calibri" w:hAnsi="Calibri"/>
          <w:b/>
          <w:color w:val="0D9488"/>
          <w:sz w:val="26"/>
        </w:rPr>
        <w:t>3.5 Reserva de Emergência &amp; Simulador de Aportes</w:t>
      </w:r>
    </w:p>
    <w:p>
      <w:pPr>
        <w:spacing w:after="60"/>
      </w:pPr>
      <w:r>
        <w:rPr>
          <w:color w:val="334155"/>
        </w:rPr>
        <w:t>Módulo de planejamento de segurança financeira e liberdade:</w:t>
      </w:r>
    </w:p>
    <w:p>
      <w:pPr>
        <w:pStyle w:val="ListBullet"/>
        <w:spacing w:after="50"/>
      </w:pPr>
      <w:r>
        <w:rPr>
          <w:b/>
          <w:color w:val="0F172A"/>
        </w:rPr>
        <w:t>Cálculo Dinâmico Baseado em Custos Fixos:</w:t>
      </w:r>
      <w:r>
        <w:rPr>
          <w:color w:val="334155"/>
        </w:rPr>
        <w:t>A meta total da reserva é calculada multiplicando os custos fixos reais cadastrados na Gestão de Contas pela meta de meses escolhida (ex: 6 ou 12 meses).</w:t>
      </w:r>
    </w:p>
    <w:p>
      <w:pPr>
        <w:pStyle w:val="ListBullet"/>
        <w:spacing w:after="50"/>
      </w:pPr>
      <w:r>
        <w:rPr>
          <w:b/>
          <w:color w:val="0F172A"/>
        </w:rPr>
        <w:t>Abatimento Automático do Saldo Guardado:</w:t>
      </w:r>
      <w:r>
        <w:rPr>
          <w:color w:val="334155"/>
        </w:rPr>
        <w:t>O montante acumulado em contas de investimento, metas e caixinhas é descontado dinamicamente do alvo da reserva.</w:t>
      </w:r>
    </w:p>
    <w:p>
      <w:pPr>
        <w:pStyle w:val="ListBullet"/>
        <w:spacing w:after="50"/>
      </w:pPr>
      <w:r>
        <w:rPr>
          <w:b/>
          <w:color w:val="0F172A"/>
        </w:rPr>
        <w:t>Simulador de Aportes Mensais:</w:t>
      </w:r>
      <w:r>
        <w:rPr>
          <w:color w:val="334155"/>
        </w:rPr>
        <w:t>O usuário informa quanto planeja depositar por mês (com atalhos de R$ 200, R$ 500, R$ 1.000, R$ 2.000) e o sistema calcula o prazo exato (ex: '1 ano e 3 meses') e a data prevista de conclusão (ex: 'Outubro de 2027').</w:t>
      </w:r>
    </w:p>
    <w:p>
      <w:pPr>
        <w:pStyle w:val="ListBullet"/>
        <w:spacing w:after="50"/>
      </w:pPr>
      <w:r>
        <w:rPr>
          <w:b/>
          <w:color w:val="0F172A"/>
        </w:rPr>
        <w:t>Reatividade em Tempo Real:</w:t>
      </w:r>
      <w:r>
        <w:rPr>
          <w:color w:val="334155"/>
        </w:rPr>
        <w:t>Se as despesas fixas subirem, a meta e o tempo de aporte se ajustam instantaneamente.</w:t>
      </w:r>
    </w:p>
    <w:p>
      <w:pPr>
        <w:keepNext/>
        <w:spacing w:before="260" w:after="80"/>
      </w:pPr>
      <w:r>
        <w:rPr>
          <w:rFonts w:ascii="Calibri" w:hAnsi="Calibri"/>
          <w:b/>
          <w:color w:val="0D9488"/>
          <w:sz w:val="26"/>
        </w:rPr>
        <w:t>3.6 Gestão Simplificada de Categorias &amp; Subcategorias</w:t>
      </w:r>
    </w:p>
    <w:p>
      <w:pPr>
        <w:spacing w:after="60"/>
      </w:pPr>
      <w:r>
        <w:rPr>
          <w:color w:val="334155"/>
        </w:rPr>
        <w:t>Estrutura livre e intuitiva para organização de receitas e despesas:</w:t>
      </w:r>
    </w:p>
    <w:p>
      <w:pPr>
        <w:pStyle w:val="ListBullet"/>
        <w:spacing w:after="50"/>
      </w:pPr>
      <w:r>
        <w:rPr>
          <w:b/>
          <w:color w:val="0F172A"/>
        </w:rPr>
        <w:t>Divisão Clara por Tipo:</w:t>
      </w:r>
      <w:r>
        <w:rPr>
          <w:color w:val="334155"/>
        </w:rPr>
        <w:t>Organização direta em Despesas e Receitas em ordem alfabética, sem travas ou classificações forçadas de grupos.</w:t>
      </w:r>
    </w:p>
    <w:p>
      <w:pPr>
        <w:pStyle w:val="ListBullet"/>
        <w:spacing w:after="50"/>
      </w:pPr>
      <w:r>
        <w:rPr>
          <w:b/>
          <w:color w:val="0F172A"/>
        </w:rPr>
        <w:t>Catálogo de Mais de 100 Ícones Temáticos:</w:t>
      </w:r>
      <w:r>
        <w:rPr>
          <w:color w:val="334155"/>
        </w:rPr>
        <w:t>Seleção de ícones categorizados por Financeiro, Moradia, Alimentação, Transporte, Saúde, Lazer, etc., com busca em português e navegação suave por setas e swipe.</w:t>
      </w:r>
    </w:p>
    <w:p>
      <w:pPr>
        <w:pStyle w:val="ListBullet"/>
        <w:spacing w:after="50"/>
      </w:pPr>
      <w:r>
        <w:rPr>
          <w:b/>
          <w:color w:val="0F172A"/>
        </w:rPr>
        <w:t>Paleta Executiva &amp; HEX Livre:</w:t>
      </w:r>
      <w:r>
        <w:rPr>
          <w:color w:val="334155"/>
        </w:rPr>
        <w:t>Seletor de 10 cores contrastantes de acesso rápido mais campo livre para qualquer código hexadecimal (#RRGGBB).</w:t>
      </w:r>
    </w:p>
    <w:p>
      <w:pPr>
        <w:pStyle w:val="ListBullet"/>
        <w:spacing w:after="50"/>
      </w:pPr>
      <w:r>
        <w:rPr>
          <w:b/>
          <w:color w:val="0F172A"/>
        </w:rPr>
        <w:t>Gestão de Subcategorias:</w:t>
      </w:r>
      <w:r>
        <w:rPr>
          <w:color w:val="334155"/>
        </w:rPr>
        <w:t>Criação ilimitada de subcategorias para detalhamento de compras (ex: Categoria 'Alimentação' -&gt; Subcategoria 'Supermercado', 'Restaurante').</w:t>
      </w:r>
    </w:p>
    <w:p>
      <w:pPr>
        <w:keepNext/>
        <w:spacing w:before="260" w:after="80"/>
      </w:pPr>
      <w:r>
        <w:rPr>
          <w:rFonts w:ascii="Calibri" w:hAnsi="Calibri"/>
          <w:b/>
          <w:color w:val="0D9488"/>
          <w:sz w:val="26"/>
        </w:rPr>
        <w:t>3.7 Relatórios Analíticos &amp; Comparativos</w:t>
      </w:r>
    </w:p>
    <w:p>
      <w:pPr>
        <w:pStyle w:val="ListBullet"/>
        <w:spacing w:after="50"/>
      </w:pPr>
      <w:r>
        <w:rPr>
          <w:b/>
          <w:color w:val="0F172A"/>
        </w:rPr>
        <w:t>Visão por Categoria &amp; Evolução Anual:</w:t>
      </w:r>
      <w:r>
        <w:rPr>
          <w:color w:val="334155"/>
        </w:rPr>
        <w:t>Gráficos de barras e rosca demonstrando a distribuição percentual das despesas.</w:t>
      </w:r>
    </w:p>
    <w:p>
      <w:pPr>
        <w:pStyle w:val="ListBullet"/>
        <w:spacing w:after="50"/>
      </w:pPr>
      <w:r>
        <w:rPr>
          <w:b/>
          <w:color w:val="0F172A"/>
        </w:rPr>
        <w:t>Projetado vs Realizado:</w:t>
      </w:r>
      <w:r>
        <w:rPr>
          <w:color w:val="334155"/>
        </w:rPr>
        <w:t>Comparativo entre os valores previstos no início do período e o montante efetivamente executado.</w:t>
      </w:r>
    </w:p>
    <w:p>
      <w:pPr>
        <w:pStyle w:val="ListBullet"/>
        <w:spacing w:after="50"/>
      </w:pPr>
      <w:r>
        <w:rPr>
          <w:b/>
          <w:color w:val="0F172A"/>
        </w:rPr>
        <w:t>Análise Semestral e Anual:</w:t>
      </w:r>
      <w:r>
        <w:rPr>
          <w:color w:val="334155"/>
        </w:rPr>
        <w:t>Consolidação de médias mensais de gastos para planejamento tributário e orçamentário.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4. Arquitetura de Banco de Dados &amp; Políticas de Segurança</w:t>
      </w:r>
    </w:p>
    <w:p>
      <w:pPr>
        <w:spacing w:after="60"/>
      </w:pPr>
      <w:r>
        <w:rPr>
          <w:color w:val="334155"/>
        </w:rPr>
        <w:t>O backend em Supabase PostgreSQL implementa isolamento rigoroso por Row Level Security (RLS) e triggers transacionais: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67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Finalidade no Esquema Relacional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users / profiles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Perfis de usuário, configurações de tema, visibilidade e flags de permissão.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accounts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Contas bancárias, carteiras físicas, caixinhas e contas de investimento com saldos em tempo real.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credit_cards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Cartões de crédito com dados de limite total, dia de fechamento e dia de vencimento.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categories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Categorias de primeiro nível com nome, tipo (income/expense), cor, ícone e limite orçamentário.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subcategories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Subcategorias vinculadas à categoria pai (foreign key com cascade).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transactions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Registro de lançamentos com valor, datas (vencimento e pagamento), status, tags, parcelamento e flags de transferência.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debts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Dívidas e acordos com controle de valor original, valor negociado e parcelas vinculadas.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push_subscriptions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Tokens de inscrição de navegadores para disparo de Web Push Notifications seguras via VAPID.</w:t>
            </w:r>
          </w:p>
        </w:tc>
      </w:tr>
    </w:tbl>
    <w:p>
      <w:pPr>
        <w:spacing w:after="40"/>
      </w:pPr>
    </w:p>
    <w:p>
      <w:pPr>
        <w:keepNext/>
        <w:spacing w:before="260" w:after="80"/>
      </w:pPr>
      <w:r>
        <w:rPr>
          <w:rFonts w:ascii="Calibri" w:hAnsi="Calibri"/>
          <w:b/>
          <w:color w:val="0D9488"/>
          <w:sz w:val="26"/>
        </w:rPr>
        <w:t>4.1 Triggers e Funções PL/pgSQL</w:t>
      </w:r>
    </w:p>
    <w:p>
      <w:pPr>
        <w:pStyle w:val="ListBullet"/>
        <w:spacing w:after="50"/>
      </w:pPr>
      <w:r>
        <w:rPr>
          <w:b/>
          <w:color w:val="0F172A"/>
        </w:rPr>
        <w:t>trigger_update_balance:</w:t>
      </w:r>
      <w:r>
        <w:rPr>
          <w:color w:val="334155"/>
        </w:rPr>
        <w:t>Calcula e atualiza o saldo bancário da conta correspondente automaticamente após INSERT, UPDATE ou DELETE de transações pagas.</w:t>
      </w:r>
    </w:p>
    <w:p>
      <w:pPr>
        <w:pStyle w:val="ListBullet"/>
        <w:spacing w:after="50"/>
      </w:pPr>
      <w:r>
        <w:rPr>
          <w:b/>
          <w:color w:val="0F172A"/>
        </w:rPr>
        <w:t>delete_user_account RPC:</w:t>
      </w:r>
      <w:r>
        <w:rPr>
          <w:color w:val="334155"/>
        </w:rPr>
        <w:t>Procedimento transacional com SECURITY DEFINER que realiza o expurgo completo dos dados do usuário respeitando a LGPD.</w:t>
      </w:r>
    </w:p>
    <w:p>
      <w:pPr>
        <w:pStyle w:val="ListBullet"/>
        <w:spacing w:after="50"/>
      </w:pPr>
      <w:r>
        <w:rPr>
          <w:b/>
          <w:color w:val="0F172A"/>
        </w:rPr>
        <w:t>Seed Automático de Categorias:</w:t>
      </w:r>
      <w:r>
        <w:rPr>
          <w:color w:val="334155"/>
        </w:rPr>
        <w:t>Gera a estrutura inicial de categorias para novos usuários no momento do cadastro (incluindo 'Abatimento no Cartão').</w:t>
      </w:r>
    </w:p>
    <w:p>
      <w:pPr>
        <w:keepNext/>
        <w:spacing w:before="260" w:after="80"/>
      </w:pPr>
      <w:r>
        <w:rPr>
          <w:rFonts w:ascii="Calibri" w:hAnsi="Calibri"/>
          <w:b/>
          <w:color w:val="0D9488"/>
          <w:sz w:val="26"/>
        </w:rPr>
        <w:t>4.2 Hardening e Defesa em Profundidade</w:t>
      </w:r>
    </w:p>
    <w:p>
      <w:pPr>
        <w:spacing w:after="60"/>
      </w:pPr>
      <w:r>
        <w:rPr>
          <w:color w:val="334155"/>
        </w:rPr>
        <w:t>Todas as permissões públicas anônimas em funções sensíveis foram revogadas (migrações 0044 a 0047), assegurando que apenas requisições autenticadas com tokens válidos (JWT) tenham acesso às rotas do sistema.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5. Histórico Completo de Versões e Evolução do App</w:t>
      </w:r>
    </w:p>
    <w:p>
      <w:pPr>
        <w:spacing w:after="60"/>
      </w:pPr>
      <w:r>
        <w:rPr>
          <w:color w:val="334155"/>
        </w:rPr>
        <w:t>Abaixo está consolidado o registro histórico das 44 entregas e refinamentos arquiteturais validados no projeto: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Marcos / Sprints</w:t>
            </w:r>
          </w:p>
        </w:tc>
        <w:tc>
          <w:tcPr>
            <w:tcW w:type="dxa" w:w="331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Título da Entrega</w:t>
            </w:r>
          </w:p>
        </w:tc>
        <w:tc>
          <w:tcPr>
            <w:tcW w:type="dxa" w:w="489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Resumo das Implementações e Melhorias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01 a 05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Fundação do Sistema &amp; Regime de Caixa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Estruturação inicial da SPA em React 18, configuração do Supabase, criação do modelo de dados e adoção do Regime de Caixa.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06 a 10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Gestão de Cartões &amp; Faturas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Implementação do controle de limites dinâmicos, fechamento de fatura, parcelamentos e pagamento de faturas.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11 a 15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Dashboard Executivo &amp; Métricas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Construção dos gráficos de evolução diária, composição de despesas por categoria e saldos consolidados.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16 a 20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Gestão de Contas a Pagar (Bills Manager)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Criação do gerenciador de contas com suporte a contas atrasadas, edição granular de séries e baixas parciais.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21 a 25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Acordos, Dívidas &amp; Renegociação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Módulo de controle de dívidas com priorização de proteção a serviços essenciais e acompanhamento de parcelas de acordo.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26 a 30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PWA &amp; Notificações Push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Configuração do Service Worker, instalação offline no Android/iOS e notificações Web Push via VAPID.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31 a 35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Segurança Hardening &amp; LGPD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Revogação de permissões anônimas no Supabase, isolamento RLS reforçado e fluxo de exclusão total de conta.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36 a 40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Design Apple Minimalist &amp; Anti-Mojibake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Remoção total de emojis na UI, substituição por Lucide React, criação do script check:encoding e layout responsivo.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41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Catálogo de Ícones &amp; Seletor de Cores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Mais de 100 ícones categorizados por tema, navegação por setas e swipe mobile, paleta de 10 cores e código HEX livre.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42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Restauração do Layout Web em Gestão de Contas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Recuperação do layout clássico com borda lateral colorida (border-l-4), botões por extenso e modal de edição completo.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43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Simulador de Aportes na Reserva de Emergência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Simulador com abatimento automático do saldo guardado, projeção de meses/anos restantes e data de conclusão prevista.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44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Simplificação da Gestão de Categorias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Remoção de agrupamentos forçados (Essenciais/Estilo de Vida), deixando o usuário livre para cadastrar despesas e receitas.</w:t>
            </w:r>
          </w:p>
        </w:tc>
      </w:tr>
    </w:tbl>
    <w:p>
      <w:pPr>
        <w:spacing w:after="4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6. Guia Operacional e Comandos de Manutenção</w:t>
      </w:r>
    </w:p>
    <w:p>
      <w:pPr>
        <w:spacing w:after="60"/>
      </w:pPr>
      <w:r>
        <w:rPr>
          <w:color w:val="334155"/>
        </w:rPr>
        <w:t>Comandos padrão para desenvolvimento, validação e publicação do projeto: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360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633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Finalidade Operacional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npm run dev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Inicia o servidor de desenvolvimento local do Vite.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npm run build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Executa a compilação de produção e gera o bundle otimizado com Service Worker na pasta /dist.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npm test -- --run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Executa a suíte completa de 313 testes automatizados via Vitest.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npm run check:encoding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Audita todos os arquivos de código-fonte contra caracteres mojibake e erros de UTF-8.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npx tsc --noEmit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Verifica a integridade estática de todos os tipos TypeScript do projeto sem emitir arquivos.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0B981"/>
                <w:sz w:val="21"/>
              </w:rPr>
              <w:t>■ CONCLUSÃO E DIRETRIZES FUTURAS</w:t>
              <w:br/>
            </w:r>
            <w:r>
              <w:rPr>
                <w:color w:val="334155"/>
                <w:sz w:val="20"/>
              </w:rPr>
              <w:t>O Fluxo Financeiro encontra-se em estado de alta maturidade técnica, com 100% de cobertura de regras de negócio, testes automatizados validados e arquitetura pronta para escalabilidade contínua. A simplicidade operacional e o foco em dados executivos garantem a máxima usabilidade para o usuário final.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152" w:bottom="1152" w:left="1152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