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400"/>
        <w:jc w:val="center"/>
      </w:pPr>
      <w:r>
        <w:drawing>
          <wp:inline xmlns:a="http://schemas.openxmlformats.org/drawingml/2006/main" xmlns:pic="http://schemas.openxmlformats.org/drawingml/2006/picture">
            <wp:extent cx="2286000" cy="12469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-logo-v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246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b/>
          <w:color w:val="0F172A"/>
          <w:sz w:val="52"/>
        </w:rPr>
        <w:t>DOCUMENTAÇÃO TÉCNICA E ARQUITETURAL</w:t>
      </w:r>
    </w:p>
    <w:p>
      <w:pPr>
        <w:spacing w:after="600"/>
        <w:jc w:val="center"/>
      </w:pPr>
      <w:r>
        <w:rPr>
          <w:rFonts w:ascii="Calibri" w:hAnsi="Calibri"/>
          <w:color w:val="0D9488"/>
          <w:sz w:val="28"/>
        </w:rPr>
        <w:t>SISTEMA FLUXO — GESTÃO FINANCEIRA INTELIGENTE</w:t>
        <w:br/>
        <w:t>Especificação Completa de Engenharia, Banco de Dados, Módulos e Guia de Implantação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Atributo do Documento</w:t>
            </w:r>
          </w:p>
        </w:tc>
        <w:tc>
          <w:tcPr>
            <w:tcW w:type="dxa" w:w="61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Detalhamento de Engenharia / Transferência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Nome do Produto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Fluxo Financeiro (Web &amp; Mobile PWA)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Versão do Sistema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1.0.0 (Homologado e Pronto para Produção)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Data de Emissão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11 de Agosto de 2026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Autor / Responsável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Analista de Sistemas &amp; Engenheiro de Software Lead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Finalidade do Documento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Dossiê Técnico Completo para Transferência de Propriedade Intelectual (Handoff de Venda Comercial)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Stack Principal</w:t>
            </w:r>
          </w:p>
        </w:tc>
        <w:tc>
          <w:tcPr>
            <w:tcW w:type="dxa" w:w="61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React 18, Vite 5, TypeScript 5, Supabase (PostgreSQL 15), Tailwind CSS, PWA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Status do Projeto</w:t>
            </w:r>
          </w:p>
        </w:tc>
        <w:tc>
          <w:tcPr>
            <w:tcW w:type="dxa" w:w="61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100% Funcional, Testes Automatizados Validados, RLS Ativado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1. Sumário Executivo e Visão Geral do Produto</w:t>
      </w:r>
    </w:p>
    <w:p>
      <w:pPr>
        <w:spacing w:after="80"/>
      </w:pPr>
      <w:r>
        <w:rPr>
          <w:b/>
          <w:color w:val="0F172A"/>
        </w:rPr>
        <w:t xml:space="preserve">O Sistema Fluxo Financeiro </w:t>
      </w:r>
      <w:r>
        <w:rPr>
          <w:color w:val="334155"/>
        </w:rPr>
        <w:t xml:space="preserve">O </w:t>
      </w:r>
      <w:r>
        <w:t>é uma plataforma completa de gestão financeira pessoal e empresarial desenvolvida para oferecer controle de caixa, inteligência de planejamento, gestão de passivos (dívidas) e projeções patrimoniais com alta performance e máxima fluidez de uso. O produto foi concebido sob princípios modernos de engenharia de software para operar como um aplicativo web e PWA (Progressive Web App) responsivo, multiplataforma e multi-tenant.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1.1. Propósito e Valor de Negócio</w:t>
      </w:r>
    </w:p>
    <w:p>
      <w:pPr>
        <w:spacing w:after="80"/>
      </w:pPr>
      <w:r>
        <w:rPr>
          <w:color w:val="334155"/>
        </w:rPr>
        <w:t>Diferente de planilhas tradicionais ou aplicativos financeiros excessivamente complexos, o Fluxo resolve a dor central do controle financeiro doméstico e de pequenas empresas: a desorganização de fluxo de caixa e o descontrole de faturas de cartão de crédito. Ele fornece uma visão executiva direta, permitindo saber exatamente o saldo consolidado atual, despesas previstas vs. efetivadas, capacidade de poupança e score de adimplência.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1.2. A Filosofia de Negócio: Regime de Caixa (Visão Extrato)</w:t>
      </w:r>
    </w:p>
    <w:p>
      <w:pPr>
        <w:spacing w:after="80"/>
      </w:pPr>
      <w:r>
        <w:rPr>
          <w:b/>
          <w:color w:val="0F172A"/>
        </w:rPr>
        <w:t xml:space="preserve">Regime de Caixa para Liquidação de Lançamentos: </w:t>
      </w:r>
      <w:r>
        <w:rPr>
          <w:color w:val="334155"/>
        </w:rPr>
        <w:t xml:space="preserve">Uma das decisões arquiteturais e de regras de negócio mais importantes do sistema é a aderência estrita ao </w:t>
      </w:r>
    </w:p>
    <w:p>
      <w:pPr>
        <w:pStyle w:val="ListBullet"/>
        <w:spacing w:after="60"/>
      </w:pPr>
      <w:r>
        <w:rPr>
          <w:b/>
          <w:color w:val="0F172A"/>
        </w:rPr>
        <w:t xml:space="preserve">Comportamento de Carteira/Extrato: </w:t>
      </w:r>
      <w:r>
        <w:rPr>
          <w:color w:val="334155"/>
        </w:rPr>
        <w:t>O aplicativo contabiliza e exibe despesas e receitas normais (não-cartão) com base estrita na sua Data de Baixa/Pagamento (payment_date). A data de vencimento/nominal serve como referência de agendamento, mas os saldos reais e extratos refletem exatamente quando o dinheiro entrou ou saiu da conta.</w:t>
      </w:r>
    </w:p>
    <w:p>
      <w:pPr>
        <w:pStyle w:val="ListBullet"/>
        <w:spacing w:after="60"/>
      </w:pPr>
      <w:r>
        <w:rPr>
          <w:b/>
          <w:color w:val="0F172A"/>
        </w:rPr>
        <w:t xml:space="preserve">Faturas de Cartão de Crédito: </w:t>
      </w:r>
      <w:r>
        <w:rPr>
          <w:color w:val="334155"/>
        </w:rPr>
        <w:t>O valor de faturas de cartão de crédito e suas parcelas é baixado e contabilizado no extrato bancário no momento em que a fatura do mês correspondente (invoiceMonthYear) é quitada pelo usuário.</w:t>
      </w:r>
    </w:p>
    <w:p>
      <w:pPr>
        <w:pStyle w:val="ListBullet"/>
        <w:spacing w:after="60"/>
      </w:pPr>
      <w:r>
        <w:rPr>
          <w:b/>
          <w:color w:val="0F172A"/>
        </w:rPr>
        <w:t xml:space="preserve">Transferências entre Contas: </w:t>
      </w:r>
      <w:r>
        <w:rPr>
          <w:color w:val="334155"/>
        </w:rPr>
        <w:t>Transferências não alteram a receita nem a despesa líquida do patrimônio global do usuário; elas movimentam o saldo entre contas de origem e destino usando um identificador de vínculo relacional (transfer_group_id).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1.3. Diretrizes de UX/UI e Design System</w:t>
      </w:r>
    </w:p>
    <w:p>
      <w:pPr>
        <w:spacing w:after="80"/>
      </w:pPr>
      <w:r>
        <w:rPr>
          <w:color w:val="334155"/>
        </w:rPr>
        <w:t>O aplicativo adota um padrão de design visual profissional e executivo (Apple Minimalist Standard) projetado para transmitir confiabilidade bancária:</w:t>
      </w:r>
    </w:p>
    <w:p>
      <w:pPr>
        <w:pStyle w:val="ListBullet"/>
        <w:spacing w:after="60"/>
      </w:pPr>
      <w:r>
        <w:rPr>
          <w:b/>
          <w:color w:val="0F172A"/>
        </w:rPr>
        <w:t xml:space="preserve">Leitura Executiva: </w:t>
      </w:r>
      <w:r>
        <w:rPr>
          <w:color w:val="334155"/>
        </w:rPr>
        <w:t>Prioridade para métricas numéricas comparativas, cards objetivos e status visuais em detrimento de textos onboarding expositivos longos.</w:t>
      </w:r>
    </w:p>
    <w:p>
      <w:pPr>
        <w:pStyle w:val="ListBullet"/>
        <w:spacing w:after="60"/>
      </w:pPr>
      <w:r>
        <w:rPr>
          <w:b/>
          <w:color w:val="0F172A"/>
        </w:rPr>
        <w:t xml:space="preserve">Proibição de Emojis em UI: </w:t>
      </w:r>
      <w:r>
        <w:rPr>
          <w:color w:val="334155"/>
        </w:rPr>
        <w:t>A interface utiliza exclusivamente iconografia SVG vetorial padronizada (Lucide React) para manter a máxima sobriedade visual e profissionalismo.</w:t>
      </w:r>
    </w:p>
    <w:p>
      <w:pPr>
        <w:pStyle w:val="ListBullet"/>
        <w:spacing w:after="60"/>
      </w:pPr>
      <w:r>
        <w:rPr>
          <w:b/>
          <w:color w:val="0F172A"/>
        </w:rPr>
        <w:t xml:space="preserve">Tema Escuro Premium &amp; Suporte a Acessibilidade: </w:t>
      </w:r>
      <w:r>
        <w:rPr>
          <w:color w:val="334155"/>
        </w:rPr>
        <w:t>Interface baseada em tokens CSS HSL com alto contraste, suporte a modo claro/escuro e personalização dinâmica da cor de destaque (Theme Accent Color) por usuário.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284C7"/>
                <w:sz w:val="22"/>
              </w:rPr>
              <w:t>📌 Princípio do Produto — Menos Explicação, Mais Ação</w:t>
              <w:br/>
            </w:r>
            <w:r>
              <w:rPr>
                <w:color w:val="334155"/>
                <w:sz w:val="20"/>
              </w:rPr>
              <w:t>Toda a complexidade de cálculos (projeção de juros, score aditivo, regras de conciliação) fica encapsulada no motor do backend e em hooks de domínio. A interface exibe apenas indicadores limpos e acionáveis com tooltips discretos quando necessário.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2. Arquitetura de Software e Pilha Tecnológica</w:t>
      </w:r>
    </w:p>
    <w:p>
      <w:pPr>
        <w:spacing w:after="80"/>
      </w:pPr>
      <w:r>
        <w:rPr>
          <w:b/>
          <w:color w:val="0F172A"/>
        </w:rPr>
        <w:t>BaaS (Backend-as-a-Service) desacoplada com Single Page Application (SPA) reativa e PWA.</w:t>
      </w:r>
      <w:r>
        <w:rPr>
          <w:color w:val="334155"/>
        </w:rPr>
        <w:t xml:space="preserve">O Fluxo foi projetado utilizando a arquitetura 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2.1. Análise de Paradigmas de Programação: Orientação a Objetos (POO) vs Programação Funcional (FP)</w:t>
      </w:r>
    </w:p>
    <w:p>
      <w:pPr>
        <w:spacing w:after="80"/>
      </w:pPr>
      <w:r>
        <w:rPr>
          <w:color w:val="334155"/>
        </w:rPr>
        <w:t>Ao analisar a base de código do Fluxo como Analista de Sistemas, observa-se uma abordagem híbrida altamente eficiente e arquiteturalmente limpa:</w:t>
      </w:r>
    </w:p>
    <w:p>
      <w:pPr>
        <w:pStyle w:val="ListBullet"/>
        <w:spacing w:after="60"/>
      </w:pPr>
      <w:r>
        <w:rPr>
          <w:b/>
          <w:color w:val="0F172A"/>
        </w:rPr>
        <w:t xml:space="preserve">Camada de Apresentação e Hooks (Programação Funcional): </w:t>
      </w:r>
      <w:r>
        <w:rPr>
          <w:color w:val="334155"/>
        </w:rPr>
        <w:t>O frontend em React 18 utiliza o paradigma Funcional puro. Componentes são funções puras com renderização declarativa, imutabilidade de estado gerenciada por hooks (useState, useMemo, useCallback) e gerenciamento de estado assíncrono via TanStack Query v5 e Zustand.</w:t>
      </w:r>
    </w:p>
    <w:p>
      <w:pPr>
        <w:pStyle w:val="ListBullet"/>
        <w:spacing w:after="60"/>
      </w:pPr>
      <w:r>
        <w:rPr>
          <w:b/>
          <w:color w:val="0F172A"/>
        </w:rPr>
        <w:t xml:space="preserve">Camada de Domínio, Serviços e Abstração de Dados (Orientação a Objetos): </w:t>
      </w:r>
      <w:r>
        <w:rPr>
          <w:color w:val="334155"/>
        </w:rPr>
        <w:t>O modelo de domínio do sistema implementa rigorosamente os princípios de POO:</w:t>
      </w:r>
    </w:p>
    <w:p>
      <w:pPr>
        <w:pStyle w:val="ListBullet"/>
        <w:spacing w:after="60"/>
      </w:pPr>
      <w:r>
        <w:rPr>
          <w:b/>
          <w:color w:val="0F172A"/>
        </w:rPr>
        <w:t xml:space="preserve">  • Encapsulamento &amp; Responsabilidade Única: </w:t>
      </w:r>
      <w:r>
        <w:rPr>
          <w:color w:val="334155"/>
        </w:rPr>
        <w:t>Serviços dedicados (ex: transactionService.ts) encapsulam a lógica de comunicação externa, transformação de payload e tratamento de exceções, isolando os componentes visuais dos detalhes do banco de dados.</w:t>
      </w:r>
    </w:p>
    <w:p>
      <w:pPr>
        <w:pStyle w:val="ListBullet"/>
        <w:spacing w:after="60"/>
      </w:pPr>
      <w:r>
        <w:rPr>
          <w:b/>
          <w:color w:val="0F172A"/>
        </w:rPr>
        <w:t xml:space="preserve">  • Contratos &amp; Interfaces Fortes: </w:t>
      </w:r>
      <w:r>
        <w:rPr>
          <w:color w:val="334155"/>
        </w:rPr>
        <w:t>O TypeScript é utilizado para definir contratos de dados estritos (Types e Interfaces em src/types/finance.ts), garantindo tipagem segura em tempo de compilação para entidades como Transaction, Account, CreditCard, Debt e Budget.</w:t>
      </w:r>
    </w:p>
    <w:p>
      <w:pPr>
        <w:pStyle w:val="ListBullet"/>
        <w:spacing w:after="60"/>
      </w:pPr>
      <w:r>
        <w:rPr>
          <w:b/>
          <w:color w:val="0F172A"/>
        </w:rPr>
        <w:t xml:space="preserve">  • Encapsulamento em Banco de Dados (Procedural &amp; Triggers OO): </w:t>
      </w:r>
      <w:r>
        <w:rPr>
          <w:color w:val="334155"/>
        </w:rPr>
        <w:t>O PostgreSQL no Supabase armazena regras de negócios críticas através de Triggers e Stored Procedures (RPCs como delete_user_data e update_account_balance_trigger), comportando-se como métodos de classe encapsulados na camada de dados.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2.2. Detalhamento da Stack Tecnológica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187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2304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Tecnologia / Bibliotecas</w:t>
            </w:r>
          </w:p>
        </w:tc>
        <w:tc>
          <w:tcPr>
            <w:tcW w:type="dxa" w:w="115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Versão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Função Arquitetural no Sistema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Core Frontend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React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18.3.1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Biblioteca UI declarativa baseada em componentes reativos.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Linguagem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TypeScript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5.8.3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Tipagem estática rigorosa para segurança e prevenção de erros.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Build Tool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Vite (com SWC)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5.4.19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Bundler ultra-rápido com compilação SWC e Hot Module Replacement.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Estilização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Tailwind CSS + PostCSS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3.4.17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Framework CSS utilitário com sistema de design tokens dinâmicos.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Componentes UI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Radix UI / shadcn/ui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1.x / 2.x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Primitivas de interface acessíveis (Dialogs, Popovers, Selects, Tabs).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Gerenciamento Estado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Zustand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5.0.11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Store global leve para preferências de usuário, temas e estados temporários.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Gerenciamento Servidor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TanStack Query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5.95.0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Cache inteligente, revalidação em background e mutações otimistas.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Formulários e Validação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React Hook Form + Zod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7.61 / 3.25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Gerenciamento de formulários de alta performance com schema validation.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Gráficos e Visualização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Recharts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2.15.4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Visualização de dados financeiros (gráficos de pizza, área e barras).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Iconografia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Lucide React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0.462.0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Conjunto de ícones vetoriais padronizados para UI.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Backend as a Service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Supabase (PostgreSQL)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2.95.1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Banco de dados relacional, autenticação JWT, RLS e Storage.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Edge Serverless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Supabase Edge Functions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Deno 2.x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Execução de rotinas serverless protegidas (ex: envio de Notificações Push).</w:t>
            </w:r>
          </w:p>
        </w:tc>
      </w:tr>
      <w:tr>
        <w:tc>
          <w:tcPr>
            <w:tcW w:type="dxa" w:w="187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Progressive Web App</w:t>
            </w:r>
          </w:p>
        </w:tc>
        <w:tc>
          <w:tcPr>
            <w:tcW w:type="dxa" w:w="2304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Vite PWA / Service Worker</w:t>
            </w:r>
          </w:p>
        </w:tc>
        <w:tc>
          <w:tcPr>
            <w:tcW w:type="dxa" w:w="115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1.2.0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Suporte a instalação mobile/desktop, offline-ready e notificações push.</w:t>
            </w:r>
          </w:p>
        </w:tc>
      </w:tr>
      <w:tr>
        <w:tc>
          <w:tcPr>
            <w:tcW w:type="dxa" w:w="187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Testes e Qualidade</w:t>
            </w:r>
          </w:p>
        </w:tc>
        <w:tc>
          <w:tcPr>
            <w:tcW w:type="dxa" w:w="2304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Vitest + React Testing Library</w:t>
            </w:r>
          </w:p>
        </w:tc>
        <w:tc>
          <w:tcPr>
            <w:tcW w:type="dxa" w:w="115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3.2.4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Suíte de testes automatizados unitários e de integração.</w:t>
            </w:r>
          </w:p>
        </w:tc>
      </w:tr>
    </w:tbl>
    <w:p>
      <w:pPr>
        <w:spacing w:after="12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3. Modelagem de Banco de Dados e Engenharia de Dados</w:t>
      </w:r>
    </w:p>
    <w:p>
      <w:pPr>
        <w:spacing w:after="80"/>
      </w:pPr>
      <w:r>
        <w:rPr>
          <w:b/>
          <w:color w:val="0F172A"/>
        </w:rPr>
        <w:t xml:space="preserve">PostgreSQL 15+ hospedado na infraestrutura Supabase, </w:t>
      </w:r>
      <w:r>
        <w:rPr>
          <w:color w:val="334155"/>
        </w:rPr>
        <w:t xml:space="preserve">O banco de dados do Fluxo é estruturado sobre o </w:t>
      </w:r>
      <w:r>
        <w:t>com arquitetura fortemente relacional, chaves estrangeiras com suporte a ON DELETE CASCADE/SET NULL, índices de escalabilidade e isolamento total multi-tenant garantido por Row Level Security (RLS).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3.1. Dicionário de Tabelas Principais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Tabela SQL</w:t>
            </w:r>
          </w:p>
        </w:tc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Campos Chave / Tipos</w:t>
            </w:r>
          </w:p>
        </w:tc>
        <w:tc>
          <w:tcPr>
            <w:tcW w:type="dxa" w:w="403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Descrição e Regras de Integridade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users_profile / profiles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PK, FK auth.users)</w:t>
              <w:br/>
              <w:t>currency (TEXT)</w:t>
              <w:br/>
              <w:t>theme_color (TEXT)</w:t>
              <w:br/>
              <w:t>plan_id (UUID, FK plans)</w:t>
              <w:br/>
              <w:t>created_at (TIMESTAMPTZ)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Armazena dados de perfil do usuário, moeda preferida, cor de destaque configurada no app e vínculo de plano de licença.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accounts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PK)</w:t>
              <w:br/>
              <w:t>user_id (UUID, FK)</w:t>
              <w:br/>
              <w:t>name (TEXT)</w:t>
              <w:br/>
              <w:t>type (TEXT)</w:t>
              <w:br/>
              <w:t>balance (NUMERIC(15,2))</w:t>
              <w:br/>
              <w:t>initial_balance (NUMERIC)</w:t>
              <w:br/>
              <w:t>overdraft_limit (NUMERIC)</w:t>
              <w:br/>
              <w:t>deleted_at (TIMESTAMPTZ)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Contas bancárias/carteiras do usuário. O campo balance é mantido automaticamente por triggers SQL. Suporta soft delete via deleted_at.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credit_cards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PK)</w:t>
              <w:br/>
              <w:t>user_id (UUID, FK)</w:t>
              <w:br/>
              <w:t>name (TEXT)</w:t>
              <w:br/>
              <w:t>limit_amount (NUMERIC)</w:t>
              <w:br/>
              <w:t>closing_day (INT)</w:t>
              <w:br/>
              <w:t>due_day (INT)</w:t>
              <w:br/>
              <w:t>color (TEXT)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Cartões de crédito do usuário. Armazena o limite concedido e as datas de corte (fechamento) e vencimento da fatura.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categories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PK)</w:t>
              <w:br/>
              <w:t>user_id (UUID, FK)</w:t>
              <w:br/>
              <w:t>name (TEXT)</w:t>
              <w:br/>
              <w:t>type (TEXT - expense/income)</w:t>
              <w:br/>
              <w:t>category_group_id (UUID, FK)</w:t>
              <w:br/>
              <w:t>budget_limit (NUMERIC)</w:t>
              <w:br/>
              <w:t>is_fixed (BOOLEAN)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Categorias e subcategorias financeiras. Permite definir se é despesa fixa, teto de orçamento mensal e pertencimento a agrupamentos.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transactions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PK)</w:t>
              <w:br/>
              <w:t>user_id (UUID, FK)</w:t>
              <w:br/>
              <w:t>description (TEXT)</w:t>
              <w:br/>
              <w:t>amount (NUMERIC(15,2))</w:t>
              <w:br/>
              <w:t>type (TEXT)</w:t>
              <w:br/>
              <w:t>category_id (UUID, FK)</w:t>
              <w:br/>
              <w:t>account_id (UUID, FK)</w:t>
              <w:br/>
              <w:t>card_id (UUID, FK)</w:t>
              <w:br/>
              <w:t>date (DATE)</w:t>
              <w:br/>
              <w:t>payment_date (DATE)</w:t>
              <w:br/>
              <w:t>is_paid (BOOLEAN)</w:t>
              <w:br/>
              <w:t>is_transfer (BOOLEAN)</w:t>
              <w:br/>
              <w:t>transfer_group_id (UUID)</w:t>
              <w:br/>
              <w:t>installment_number (INT)</w:t>
              <w:br/>
              <w:t>total_installments (INT)</w:t>
              <w:br/>
              <w:t>deleted_at (TIMESTAMPTZ)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Tabela central de lançamentos. Suporta movimentações em conta, despesas no cartão, parcelamentos, agendamentos e transferências casadas (transfer_group_id).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bills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PK)</w:t>
              <w:br/>
              <w:t>user_id (UUID, FK)</w:t>
              <w:br/>
              <w:t>description (TEXT)</w:t>
              <w:br/>
              <w:t>amount (NUMERIC)</w:t>
              <w:br/>
              <w:t>due_date (DATE)</w:t>
              <w:br/>
              <w:t>status (TEXT)</w:t>
              <w:br/>
              <w:t>card_id (UUID, FK)</w:t>
              <w:br/>
              <w:t>paid_at (TIMESTAMPTZ)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Contas a pagar/receber agrupadas e faturas registradas do cartão de crédito.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debts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PK)</w:t>
              <w:br/>
              <w:t>user_id (UUID, FK)</w:t>
              <w:br/>
              <w:t>creditor_name (TEXT)</w:t>
              <w:br/>
              <w:t>total_amount (NUMERIC)</w:t>
              <w:br/>
              <w:t>status (TEXT)</w:t>
              <w:br/>
              <w:t>interest_rate (NUMERIC)</w:t>
              <w:br/>
              <w:t>original_debt_id (UUID)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Registro de passivos (dívidas) e acordos de renegociação financeira com histórico de amortização.</w:t>
            </w:r>
          </w:p>
        </w:tc>
      </w:tr>
      <w:tr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goals / emergency_funds</w:t>
            </w:r>
          </w:p>
        </w:tc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PK)</w:t>
              <w:br/>
              <w:t>user_id (UUID, FK)</w:t>
              <w:br/>
              <w:t>target_amount (NUMERIC)</w:t>
              <w:br/>
              <w:t>current_amount (NUMERIC)</w:t>
              <w:br/>
              <w:t>monthly_yield_rate (NUMERIC)</w:t>
              <w:br/>
              <w:t>target_date (DATE)</w:t>
            </w:r>
          </w:p>
        </w:tc>
        <w:tc>
          <w:tcPr>
            <w:tcW w:type="dxa" w:w="403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Metas financeiras e configuração da reserva de emergência (custo de vida mensal, número de meses e taxa de rendimento mensal).</w:t>
            </w:r>
          </w:p>
        </w:tc>
      </w:tr>
      <w:tr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plans / global_flags / super_admins</w:t>
            </w:r>
          </w:p>
        </w:tc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id (UUID, PK)</w:t>
              <w:br/>
              <w:t>code (TEXT - basic/pro/premium)</w:t>
              <w:br/>
              <w:t>limits_json (JSONB)</w:t>
              <w:br/>
              <w:t>is_active (BOOLEAN)</w:t>
              <w:br/>
              <w:t>flag_name (TEXT)</w:t>
            </w:r>
          </w:p>
        </w:tc>
        <w:tc>
          <w:tcPr>
            <w:tcW w:type="dxa" w:w="403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Tabelas de governança do sistema para gestão de limites de plano, liberação de funcionalidades e controle do Painel Super Admin.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3.2. Triggers Automatizados e Regras de Banco de Dados</w:t>
      </w:r>
    </w:p>
    <w:p>
      <w:pPr>
        <w:spacing w:after="80"/>
      </w:pPr>
      <w:r>
        <w:rPr>
          <w:color w:val="334155"/>
        </w:rPr>
        <w:t>O sistema não confia apenas na lógica do cliente para manter a integridade dos dados. Ele utiliza triggers PostgreSQL resilientes:</w:t>
      </w:r>
    </w:p>
    <w:p>
      <w:pPr>
        <w:pStyle w:val="ListBullet"/>
        <w:spacing w:after="60"/>
      </w:pPr>
      <w:r>
        <w:rPr>
          <w:b/>
          <w:color w:val="0F172A"/>
        </w:rPr>
        <w:t xml:space="preserve">Trigger de Atualização de Saldo Bancário (update_account_balance_trigger): </w:t>
      </w:r>
      <w:r>
        <w:rPr>
          <w:color w:val="334155"/>
        </w:rPr>
        <w:t>Sempre que uma transação é inserida, alterada ou excluída (respeitando soft delete), este trigger recalcula automaticamente o saldo atual (balance) da conta correspondente somando movimentações efetivadas (is_paid = true).</w:t>
      </w:r>
    </w:p>
    <w:p>
      <w:pPr>
        <w:pStyle w:val="ListBullet"/>
        <w:spacing w:after="60"/>
      </w:pPr>
      <w:r>
        <w:rPr>
          <w:b/>
          <w:color w:val="0F172A"/>
        </w:rPr>
        <w:t xml:space="preserve">Trigger de Lançamentos Recorrentes (trigger_spawn_recurring): </w:t>
      </w:r>
      <w:r>
        <w:rPr>
          <w:color w:val="334155"/>
        </w:rPr>
        <w:t>Responsável por gerar automaticamente novos lançamentos futuros para despesas e receitas marcadas como recorrentes.</w:t>
      </w:r>
    </w:p>
    <w:p>
      <w:pPr>
        <w:pStyle w:val="ListBullet"/>
        <w:spacing w:after="60"/>
      </w:pPr>
      <w:r>
        <w:rPr>
          <w:b/>
          <w:color w:val="0F172A"/>
        </w:rPr>
        <w:t xml:space="preserve">RPC de Exclusão de Usuário e LGPD (delete_user_data): </w:t>
      </w:r>
      <w:r>
        <w:rPr>
          <w:color w:val="334155"/>
        </w:rPr>
        <w:t>Stored procedure segura executada com privilégios de SECURITY DEFINER que limpa em lote todos os dados de transações, contas, cartões, categorias e dívidas quando um usuário solicita o encerramento da conta, garantindo conformidade com a LGPD.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3.3. Políticas de Segurança (Row Level Security - RLS)</w:t>
      </w:r>
    </w:p>
    <w:p>
      <w:pPr>
        <w:spacing w:after="80"/>
      </w:pPr>
      <w:r>
        <w:rPr>
          <w:color w:val="334155"/>
        </w:rPr>
        <w:t>Todas as tabelas do banco de dados possuem políticas RLS ativas. O acesso é estritamente isolado pelo UUID do usuário autenticado no JWT: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CBD5E1"/>
              <w:left w:val="single" w:sz="12" w:color="0284C7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-- Exemplo de Política RLS aplicada na tabela de transações</w:t>
              <w:br/>
              <w:t>CREATE POLICY "Usuários acessam apenas suas próprias transações"</w:t>
              <w:br/>
              <w:t>ON public.transactions</w:t>
              <w:br/>
              <w:t>FOR ALL</w:t>
              <w:br/>
              <w:t>USING (auth.uid() = user_id)</w:t>
              <w:br/>
              <w:t>WITH CHECK (auth.uid() = user_id);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4. Especificação de Módulos e Regras de Negócio</w:t>
      </w:r>
    </w:p>
    <w:p>
      <w:pPr>
        <w:spacing w:after="80"/>
      </w:pPr>
      <w:r>
        <w:rPr>
          <w:b/>
          <w:color w:val="0F172A"/>
        </w:rPr>
        <w:t>o que cada recurso faz e como faz.</w:t>
      </w:r>
      <w:r>
        <w:rPr>
          <w:color w:val="334155"/>
        </w:rPr>
        <w:t xml:space="preserve">A seguir, detalha-se o funcionamento técnico e de negócio de cada módulo integrante do Fluxo Financeiro, explicando 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4.1. Módulo de Autenticação e Gestão de Acesso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Gerencia a entrada segura do usuário, redefinição de senha, autenticação via Magic Link e gestão de sessão.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Utiliza o Supabase Auth com persistência de token JWT em LocalStorage. Possui páginas dedicadas para fluxo de recuperação de senha com redirecionamento automático (AuthPage.tsx, EmailResetPasswordPage.tsx, ReauthenticationPage.tsx) e tratamento seguro contra race conditions de sessão.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4.2. Módulo de Dashboard &amp; Boot Inteligente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Exibe a visão geral consolidada da saúde financeira do usuário no mês selecionado.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Utiliza componentes minimalistas (Metric Cards estilo Apple). Ao abrir o aplicativo, o motor de Boot Inteligente bloqueia a exibição de dados zerados falsos enquanto executa o refresh real com o Supabase. Se houver falha de rede, um fallback gracioso carrega os últimos dados salvos.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4.3. Módulo de Gestão de Contas Bancárias &amp; Extrato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Permite cadastrar carteiras, contas correntes, poupanças e investimentos, ajustando saldos e registrando conciliações.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Integra o useAccountMutations.ts. Suporta configuração de limite de cheque especial (overdraft_limit) e marcação de contas inativas via soft delete (deleted_at). O extrato reflete a data de baixa efetiva.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4.4. Módulo de Cartões de Crédito &amp; Gestão de Faturas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Controla o limite de cartões de crédito, calcula o fechamento e vencimento de faturas, realiza parcelamento automático e permite abatimentos parciais ou totais.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Calcula dinamicamente a competência da fatura (invoiceMonthYear) com base no dia de fechamento. Ao pagar a fatura, o sistema solicita a conta de origem bancária para realizar o débito real ou permite registrar o abatimento sem afetar o caixa caso tenha sido pago por terceiros. Oferece suporte a Pix no Crédito / Transferência via Cartão.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4.5. Módulo de Lançamentos &amp; Transferências entre Contas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Permite incluir receitas, despesas (únicas, fixas ou parceladas) e realizar transferências entre contas.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Nas transferências, o sistema cria dois lançamentos vinculados por um transfer_group_id (uma saída na conta de origem e uma entrada na conta de destino), rotulados com a categoria nativa de Transferência, garantindo que o valor não infle as receitas ou despesas nos relatórios.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4.6. Módulo de Orçamentos &amp; Limites de Gastos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Define teto orçamentário por categoria ou agrupamento e acompanha o percentual de consumo em tempo real.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O hook useBudgetGroups.ts compara os lançamentos efetivados e previstos do mês com o campo budget_limit da categoria, exibindo barras comparativas e alertas visuais de estouro de orçamento.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4.7. Módulo de Dívidas &amp; Acordos de Renegociação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Gerencia débitos com credores, permitindo registrar acordos de quitação com valor de entrada e parcelamento do saldo remanescente.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O hook useDebtMutations.ts converte dívidas em acordos ativos, gerando os lançamentos de entrada no caixa e acompanhando a amortização gradual até a quitação total do passivo.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4.8. Módulo de Reserva de Emergência &amp; Simulação de Rendimentos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Calcula o tamanho ideal da reserva financeira com base no custo de vida mensal e simula a evolução com juros compostos.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O hook useEmergencyFund.ts multiplica a média de despesas mensais pelo número de meses desejado (ex: 6 meses). A simulação aplica a taxa mensal cadastrada (monthly_yield_rate) para calcular a projeção patrimonial.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4.9. Módulo "Fluxo Score" (Inteligência Financeira Algorítmica)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Avalia a saúde financeira do usuário fornecendo uma pontuação de 0 a 1000 acompanhada de diagnóstico executivo.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Algoritmo aditivo e puramente de leitura que analisa a pontualidade do pagamento de contas de consumo, a existência de dívidas atrasadas, a relação despesa/receita e concede bônus no primeiro dia útil do mês. A UI exibe um medidor gráfico circular (Gauge) animado.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4.10. Módulo de Relatórios Gerenciais &amp; Exportação em PDF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Fornece análises de consumo por banco, categoria e subcategoria, com emissão de relatório gerencial em PDF e layout de impressão de alta fidelidade.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ReportsDashboard.tsx processa cruzamentos de dados via Recharts e gera modal de impressão com CSS paged media (@media print) estilizado sem quebras de página inadequadas.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4.11. Módulo Super Admin &amp; Gestão de Licenciamento</w:t>
      </w:r>
    </w:p>
    <w:p>
      <w:pPr>
        <w:pStyle w:val="ListBullet"/>
        <w:spacing w:after="60"/>
      </w:pPr>
      <w:r>
        <w:rPr>
          <w:b/>
          <w:color w:val="0F172A"/>
        </w:rPr>
        <w:t xml:space="preserve">O que faz: </w:t>
      </w:r>
      <w:r>
        <w:rPr>
          <w:color w:val="334155"/>
        </w:rPr>
        <w:t>Permite ao administrador gerenciar usuários, alterar seus planos (Basic, Pro, Premium), definir limites quantitativos e ativar Feature Flags Globais (como o Modo Copa do Mundo).</w:t>
      </w:r>
    </w:p>
    <w:p>
      <w:pPr>
        <w:pStyle w:val="ListBullet"/>
        <w:spacing w:after="60"/>
      </w:pPr>
      <w:r>
        <w:rPr>
          <w:b/>
          <w:color w:val="0F172A"/>
        </w:rPr>
        <w:t xml:space="preserve">Como faz: </w:t>
      </w:r>
      <w:r>
        <w:rPr>
          <w:color w:val="334155"/>
        </w:rPr>
        <w:t>Painel SuperPage.tsx restrito via verificação de e-mail/função na tabela super_admins com integração ao useFeatureFlags.ts.</w:t>
      </w:r>
    </w:p>
    <w:p>
      <w:r>
        <w:br w:type="page"/>
      </w: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5. Guia Completo de Implantação e Manutenção</w:t>
      </w:r>
    </w:p>
    <w:p>
      <w:pPr>
        <w:spacing w:after="80"/>
      </w:pPr>
      <w:r>
        <w:rPr>
          <w:color w:val="334155"/>
        </w:rPr>
        <w:t>A implantação do sistema Fluxo Financeiro em um novo ambiente ou servidor segue um fluxo padronizado de 6 fases: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Fase 1: Preparação do Ambiente de Infraestrutura</w:t>
      </w:r>
    </w:p>
    <w:p>
      <w:pPr>
        <w:pStyle w:val="ListBullet"/>
        <w:spacing w:after="60"/>
      </w:pPr>
      <w:r>
        <w:rPr>
          <w:b/>
          <w:color w:val="0F172A"/>
        </w:rPr>
        <w:t xml:space="preserve">Servidor Node.js: </w:t>
      </w:r>
      <w:r>
        <w:rPr>
          <w:color w:val="334155"/>
        </w:rPr>
        <w:t>Requerido Node.js v18.0.0+ ou Bun v1.x instalado no servidor de CI/CD.</w:t>
      </w:r>
    </w:p>
    <w:p>
      <w:pPr>
        <w:pStyle w:val="ListBullet"/>
        <w:spacing w:after="60"/>
      </w:pPr>
      <w:r>
        <w:rPr>
          <w:b/>
          <w:color w:val="0F172A"/>
        </w:rPr>
        <w:t xml:space="preserve">Instância Supabase: </w:t>
      </w:r>
      <w:r>
        <w:rPr>
          <w:color w:val="334155"/>
        </w:rPr>
        <w:t>Criar um projeto na Supabase Cloud (ou instalar Supabase Self-Hosted via Docker). Anotar a SUPABASE_URL e a SUPABASE_ANON_KEY.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Fase 2: Instalação e Configuração do Código Fonte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CBD5E1"/>
              <w:left w:val="single" w:sz="12" w:color="0284C7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# 1. Clonar o repositório</w:t>
              <w:br/>
              <w:t>git clone &lt;URL_DO_REPOSITORIO&gt;</w:t>
              <w:br/>
              <w:t>cd fluxo-financeiro</w:t>
              <w:br/>
              <w:br/>
              <w:t># 2. Instalar dependências</w:t>
              <w:br/>
              <w:t>npm install</w:t>
              <w:br/>
              <w:br/>
              <w:t># 3. Criar o arquivo de variáveis de ambiente .env</w:t>
              <w:br/>
              <w:t>VITE_SUPABASE_URL=https://seu-projeto.supabase.co</w:t>
              <w:br/>
              <w:t>VITE_SUPABASE_ANON_KEY=sua-chave-anonima-aqui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Fase 3: Implantação do Banco de Dados e Migrações SQL</w:t>
      </w:r>
    </w:p>
    <w:p>
      <w:pPr>
        <w:spacing w:after="80"/>
      </w:pPr>
      <w:r>
        <w:rPr>
          <w:b/>
          <w:color w:val="0F172A"/>
        </w:rPr>
        <w:t xml:space="preserve">supabase/migrations/. </w:t>
      </w:r>
      <w:r>
        <w:rPr>
          <w:color w:val="334155"/>
        </w:rPr>
        <w:t xml:space="preserve">As migrações do banco de dados estão localizadas na pasta </w:t>
      </w:r>
      <w:r>
        <w:t>Elas devem ser executadas em ordem numérica utilizando a Supabase CLI ou a interface SQL Editor do Supabase: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CBD5E1"/>
              <w:left w:val="single" w:sz="12" w:color="0284C7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# Executar migrações via Supabase CLI</w:t>
              <w:br/>
              <w:t>npx supabase db push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Fase 4: Deploy da Aplicação Frontend (Vercel / Cloudflare Pages / Nginx)</w:t>
      </w:r>
    </w:p>
    <w:p>
      <w:pPr>
        <w:spacing w:after="80"/>
      </w:pPr>
      <w:r>
        <w:rPr>
          <w:color w:val="334155"/>
        </w:rPr>
        <w:t>O projeto já possui configuração nativa no arquivo vercel.json para hospedagem na Vercel com roteamento SPA (Single Page Application):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CBD5E1"/>
              <w:left w:val="single" w:sz="12" w:color="0284C7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# Build de Produção</w:t>
              <w:br/>
              <w:t>npm run build</w:t>
              <w:br/>
              <w:br/>
              <w:t># O resultado compilado será gerado na pasta ./dist ready for deployment.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Fase 5: Implantação de Notificações PWA e Edge Functions</w:t>
      </w:r>
    </w:p>
    <w:p>
      <w:pPr>
        <w:spacing w:after="80"/>
      </w:pPr>
      <w:r>
        <w:rPr>
          <w:color w:val="334155"/>
        </w:rPr>
        <w:t>Para ativar as notificações push do PWA:</w:t>
      </w:r>
    </w:p>
    <w:p>
      <w:pPr>
        <w:pStyle w:val="ListBullet"/>
        <w:spacing w:after="60"/>
      </w:pPr>
      <w:r>
        <w:rPr>
          <w:b/>
          <w:color w:val="0F172A"/>
        </w:rPr>
        <w:t xml:space="preserve">1. </w:t>
      </w:r>
      <w:r>
        <w:rPr>
          <w:color w:val="334155"/>
        </w:rPr>
        <w:t>Gerar o par de chaves VAPID usando npx web-push generate-vapid-keys.</w:t>
      </w:r>
    </w:p>
    <w:p>
      <w:pPr>
        <w:pStyle w:val="ListBullet"/>
        <w:spacing w:after="60"/>
      </w:pPr>
      <w:r>
        <w:rPr>
          <w:b/>
          <w:color w:val="0F172A"/>
        </w:rPr>
        <w:t xml:space="preserve">2. </w:t>
      </w:r>
      <w:r>
        <w:rPr>
          <w:color w:val="334155"/>
        </w:rPr>
        <w:t>Fazer deploy da Edge Function send-push localizada em supabase/functions/send-push/.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Fase 6: Validação de Qualidade e Suíte de Testes</w:t>
      </w:r>
    </w:p>
    <w:p>
      <w:pPr>
        <w:spacing w:after="80"/>
      </w:pPr>
      <w:r>
        <w:rPr>
          <w:color w:val="334155"/>
        </w:rPr>
        <w:t>Antes de liberar o sistema para uso comercial, execute os comandos de verificação automatizada: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CBD5E1"/>
              <w:left w:val="single" w:sz="12" w:color="0284C7"/>
              <w:bottom w:val="single" w:sz="4" w:color="CBD5E1"/>
              <w:right w:val="single" w:sz="4" w:color="CBD5E1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0F172A"/>
                <w:sz w:val="19"/>
              </w:rPr>
              <w:t># Rodar validação completa (Encoding UTF-8 + Linter + Testes Unitários + Build)</w:t>
              <w:br/>
              <w:t>npm run validate</w:t>
            </w:r>
          </w:p>
        </w:tc>
      </w:tr>
    </w:tbl>
    <w:p>
      <w:pPr>
        <w:spacing w:after="80"/>
      </w:pPr>
    </w:p>
    <w:p>
      <w:pPr>
        <w:keepNext/>
        <w:spacing w:before="360" w:after="120"/>
      </w:pPr>
      <w:r>
        <w:rPr>
          <w:rFonts w:ascii="Calibri" w:hAnsi="Calibri"/>
          <w:b/>
          <w:color w:val="0F172A"/>
          <w:sz w:val="36"/>
        </w:rPr>
        <w:t>6. Guia de Transferência de Propriedade Intelectual (Handoff)</w:t>
      </w:r>
    </w:p>
    <w:p>
      <w:pPr>
        <w:spacing w:after="80"/>
      </w:pPr>
      <w:r>
        <w:rPr>
          <w:color w:val="334155"/>
        </w:rPr>
        <w:t>Caso o aplicativo seja negociado ou vendido para um novo proprietário/cliente, este capítulo estabelece o protocolo de transferência segura de ativos:</w:t>
      </w: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6.1. Checklist de Ativos a Serem Entregues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2592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Ativo de TI</w:t>
            </w:r>
          </w:p>
        </w:tc>
        <w:tc>
          <w:tcPr>
            <w:tcW w:type="dxa" w:w="288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Localização / Repositório</w:t>
            </w:r>
          </w:p>
        </w:tc>
        <w:tc>
          <w:tcPr>
            <w:tcW w:type="dxa" w:w="388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Ação de Transferência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Código Fonte Completo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Repositório Git (GitHub / GitLab)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Transferência de propriedade do repositório ou exportação de zip contendo histórico de commits.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Projeto Supabase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Supabase Cloud Dashboard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Transferência de ownership da organização Supabase para o e-mail do comprador.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Hospedagem Frontend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Vercel / Cloudflare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Migração do projeto de hospedagem e reconfiguração de domínio personalizado (DNS).</w:t>
            </w:r>
          </w:p>
        </w:tc>
      </w:tr>
      <w:tr>
        <w:tc>
          <w:tcPr>
            <w:tcW w:type="dxa" w:w="2592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Credenciais Super Admin</w:t>
            </w:r>
          </w:p>
        </w:tc>
        <w:tc>
          <w:tcPr>
            <w:tcW w:type="dxa" w:w="288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Tabela super_admins</w:t>
            </w:r>
          </w:p>
        </w:tc>
        <w:tc>
          <w:tcPr>
            <w:tcW w:type="dxa" w:w="388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Cadastro do e-mail do comprador na tabela de administradores master.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Documentação &amp; Manuais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Arquivos .docx e .md no repositório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Entrega da documentação técnica e manual de cálculo do Score.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0D9488"/>
          <w:sz w:val="28"/>
        </w:rPr>
        <w:t>6.2. Matriz de Planos Sugerida para Comercialização SaaS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6" w:space="0" w:color="CBD5E1"/>
          <w:right w:val="none"/>
          <w:insideH w:val="single" w:sz="4" w:space="0" w:color="CBD5E1"/>
          <w:insideV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3168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Recurso / Módulo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Plano Basic</w:t>
            </w:r>
          </w:p>
        </w:tc>
        <w:tc>
          <w:tcPr>
            <w:tcW w:type="dxa" w:w="2016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Plano Pro</w:t>
            </w:r>
          </w:p>
        </w:tc>
        <w:tc>
          <w:tcPr>
            <w:tcW w:type="dxa" w:w="2160"/>
            <w:shd w:fill="0F172A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b/>
                <w:color w:val="FFFFFF"/>
                <w:sz w:val="20"/>
              </w:rPr>
              <w:t>Plano Premium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Limite de Contas Bancárias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Até 3 contas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Até 10 contas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Ilimitado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Limite de Cartões de Crédito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Até 2 cartões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Até 5 cartões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Ilimitado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Relatórios Gerenciais PDF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Básico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Completo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Completo + Insights IA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Módulo de Dívidas &amp; Acordos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Não incluído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Incluído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Incluído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Fluxo Score Algorítmico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Não incluído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Incluído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Incluído</w:t>
            </w:r>
          </w:p>
        </w:tc>
      </w:tr>
      <w:tr>
        <w:tc>
          <w:tcPr>
            <w:tcW w:type="dxa" w:w="3168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Notificações Push PWA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Não incluído</w:t>
            </w:r>
          </w:p>
        </w:tc>
        <w:tc>
          <w:tcPr>
            <w:tcW w:type="dxa" w:w="2016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Incluído</w:t>
            </w:r>
          </w:p>
        </w:tc>
        <w:tc>
          <w:tcPr>
            <w:tcW w:type="dxa" w:w="2160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Incluído</w:t>
            </w:r>
          </w:p>
        </w:tc>
      </w:tr>
      <w:tr>
        <w:tc>
          <w:tcPr>
            <w:tcW w:type="dxa" w:w="3168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Suporte Multi-Moeda / Temas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Não incluído</w:t>
            </w:r>
          </w:p>
        </w:tc>
        <w:tc>
          <w:tcPr>
            <w:tcW w:type="dxa" w:w="2016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Não incluído</w:t>
            </w:r>
          </w:p>
        </w:tc>
        <w:tc>
          <w:tcPr>
            <w:tcW w:type="dxa" w:w="2160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after="0"/>
              <w:jc w:val="left"/>
            </w:pPr>
            <w:r>
              <w:rPr>
                <w:color w:val="334155"/>
                <w:sz w:val="19"/>
              </w:rPr>
              <w:t>Incluído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9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0284C7"/>
              <w:bottom w:val="none"/>
              <w:right w:val="none"/>
            </w:tcBorders>
          </w:tcPr>
          <w:p>
            <w:pPr>
              <w:spacing w:after="40"/>
            </w:pPr>
            <w:r>
              <w:rPr>
                <w:b/>
                <w:color w:val="0284C7"/>
                <w:sz w:val="22"/>
              </w:rPr>
              <w:t>📌 Conclusão do Analista de Sistemas</w:t>
              <w:br/>
            </w:r>
            <w:r>
              <w:rPr>
                <w:color w:val="334155"/>
                <w:sz w:val="20"/>
              </w:rPr>
              <w:t>O Fluxo Financeiro representa uma solução pronta, robusta, altamente escalável e de fácil manutenção. Suas escolhas arquiteturais (React + TypeScript + Supabase BaaS + Tailwind CSS + PWA) garantem baixíssimo custo de infraestrutura operacional e máxima velocidade para futuras expansões comerciais.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Fluxo Financeiro © 2026 — Documento de Handoff Técnico | Confidencial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7"/>
      </w:rPr>
      <w:t>FLUXO FINANCEIRO — DOCUMENTAÇÃO TÉCNICA DE SISTEMAS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