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4CA3"/>
          <w:sz w:val="48"/>
        </w:rPr>
        <w:t>SaaS Debt Collection System</w:t>
      </w:r>
    </w:p>
    <w:p>
      <w:pPr>
        <w:jc w:val="center"/>
      </w:pPr>
      <w:r>
        <w:rPr>
          <w:b/>
          <w:color w:val="1F2937"/>
          <w:sz w:val="32"/>
        </w:rPr>
        <w:t>Technical Blueprint</w:t>
      </w:r>
    </w:p>
    <w:p>
      <w:pPr>
        <w:jc w:val="center"/>
      </w:pPr>
      <w:r>
        <w:rPr>
          <w:i/>
          <w:color w:val="5A687A"/>
          <w:sz w:val="22"/>
        </w:rPr>
        <w:t>Architecture visuals, API contracts, database schema, and workflow intelligence</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972"/>
      </w:tblGrid>
      <w:tr>
        <w:tc>
          <w:tcPr>
            <w:tcW w:type="dxa" w:w="9972"/>
            <w:shd w:fill="EEF4FF"/>
            <w:tcMar>
              <w:top w:w="140" w:type="dxa"/>
              <w:start w:w="160" w:type="dxa"/>
              <w:bottom w:w="140" w:type="dxa"/>
              <w:end w:w="160" w:type="dxa"/>
            </w:tcMar>
          </w:tcPr>
          <w:p>
            <w:pPr>
              <w:spacing w:before="0" w:after="0" w:line="288" w:lineRule="auto"/>
              <w:jc w:val="left"/>
            </w:pPr>
            <w:r>
              <w:rPr>
                <w:color w:val="1F2937"/>
                <w:sz w:val="21"/>
              </w:rPr>
              <w:t>Purpose: define the SaaS operating model for a multi-tenant debt collection platform that can serve banks, MFIs, fintechs, and collection agencies without devolving into one-off custom deployments.</w:t>
            </w:r>
          </w:p>
        </w:tc>
      </w:tr>
    </w:tbl>
    <w:p>
      <w:pPr>
        <w:spacing w:before="80" w:after="40" w:line="288" w:lineRule="auto"/>
        <w:jc w:val="left"/>
      </w:pPr>
      <w:r>
        <w:t>Audience: founders, product managers, solution architects, engineering leads, and implementation teams.</w:t>
      </w:r>
    </w:p>
    <w:p>
      <w:pPr>
        <w:spacing w:before="80" w:after="40" w:line="288" w:lineRule="auto"/>
        <w:jc w:val="left"/>
      </w:pPr>
      <w:r>
        <w:t>Design principles: multi-tenancy first, event-driven automation, strict auditability, configurable strategies, and integration-ready services.</w:t>
      </w:r>
    </w:p>
    <w:p>
      <w:pPr>
        <w:pStyle w:val="Heading1"/>
      </w:pPr>
      <w:r>
        <w:t>Document Map</w:t>
      </w:r>
    </w:p>
    <w:p>
      <w:pPr>
        <w:pStyle w:val="ListBullet"/>
        <w:spacing w:before="0" w:after="0" w:line="264" w:lineRule="auto"/>
      </w:pPr>
      <w:r>
        <w:t>1. System diagrams and architecture views</w:t>
      </w:r>
    </w:p>
    <w:p>
      <w:pPr>
        <w:pStyle w:val="ListBullet"/>
        <w:spacing w:before="0" w:after="0" w:line="264" w:lineRule="auto"/>
      </w:pPr>
      <w:r>
        <w:t>2. Detailed API structure and canonical endpoints</w:t>
      </w:r>
    </w:p>
    <w:p>
      <w:pPr>
        <w:pStyle w:val="ListBullet"/>
        <w:spacing w:before="0" w:after="0" w:line="264" w:lineRule="auto"/>
      </w:pPr>
      <w:r>
        <w:t>3. Database schema and data model</w:t>
      </w:r>
    </w:p>
    <w:p>
      <w:pPr>
        <w:pStyle w:val="ListBullet"/>
        <w:spacing w:before="0" w:after="0" w:line="264" w:lineRule="auto"/>
      </w:pPr>
      <w:r>
        <w:t>4. Workflow engine logic and decisioning model</w:t>
      </w:r>
    </w:p>
    <w:p>
      <w:pPr>
        <w:pStyle w:val="ListBullet"/>
        <w:spacing w:before="0" w:after="0" w:line="264" w:lineRule="auto"/>
      </w:pPr>
      <w:r>
        <w:t>5. Operating assumptions and implementation notes</w:t>
      </w:r>
    </w:p>
    <w:p>
      <w:r>
        <w:br w:type="page"/>
      </w:r>
    </w:p>
    <w:p>
      <w:pPr>
        <w:pStyle w:val="Heading1"/>
        <w:spacing w:before="120" w:after="40" w:line="276" w:lineRule="auto"/>
      </w:pPr>
      <w:r>
        <w:t>1. System Diagrams and Architecture Views</w:t>
      </w:r>
    </w:p>
    <w:p>
      <w:pPr>
        <w:spacing w:before="0" w:after="80" w:line="288" w:lineRule="auto"/>
      </w:pPr>
      <w:r>
        <w:t>This platform is designed as a cloud SaaS product, not a bespoke deployment. The architecture therefore prioritizes tenant isolation, configuration-driven behavior, asynchronous processing, and clean boundaries between operational services and decisioning services.</w:t>
      </w:r>
    </w:p>
    <w:p>
      <w:pPr>
        <w:pStyle w:val="Heading2"/>
        <w:spacing w:before="60" w:after="40" w:line="276" w:lineRule="auto"/>
      </w:pPr>
      <w:r>
        <w:t>1.1 Context Diagram</w:t>
      </w:r>
    </w:p>
    <w:tbl>
      <w:tblPr>
        <w:tblW w:type="auto" w:w="0"/>
        <w:jc w:val="center"/>
        <w:tblLook w:firstColumn="1" w:firstRow="1" w:lastColumn="0" w:lastRow="0" w:noHBand="0" w:noVBand="1" w:val="04A0"/>
        <w:tblBorders>
          <w:top w:val="single" w:sz="6" w:space="0" w:color="D7DFEA"/>
          <w:left w:val="single" w:sz="6" w:space="0" w:color="D7DFEA"/>
          <w:bottom w:val="single" w:sz="6" w:space="0" w:color="D7DFEA"/>
          <w:right w:val="single" w:sz="6" w:space="0" w:color="D7DFEA"/>
          <w:insideH w:val="single" w:sz="6" w:space="0" w:color="D7DFEA"/>
          <w:insideV w:val="single" w:sz="6" w:space="0" w:color="D7DFEA"/>
        </w:tblBorders>
      </w:tblPr>
      <w:tblGrid>
        <w:gridCol w:w="9972"/>
      </w:tblGrid>
      <w:tr>
        <w:tc>
          <w:tcPr>
            <w:tcW w:type="dxa" w:w="9972"/>
            <w:shd w:fill="F8FAFC"/>
            <w:tcMar>
              <w:top w:w="120" w:type="dxa"/>
              <w:start w:w="120" w:type="dxa"/>
              <w:bottom w:w="120" w:type="dxa"/>
              <w:end w:w="120" w:type="dxa"/>
            </w:tcMar>
          </w:tcPr>
          <w:p>
            <w:pPr>
              <w:spacing w:before="0" w:after="0" w:line="252" w:lineRule="auto"/>
            </w:pPr>
            <w:r>
              <w:rPr>
                <w:rFonts w:ascii="Courier New" w:hAnsi="Courier New"/>
                <w:sz w:val="17"/>
              </w:rPr>
              <w:t>+--------------------------- Client Tenant ---------------------------+</w:t>
              <w:br/>
            </w:r>
            <w:r>
              <w:rPr>
                <w:rFonts w:ascii="Courier New" w:hAnsi="Courier New"/>
                <w:sz w:val="17"/>
              </w:rPr>
              <w:t>| Agent UI | Manager UI | Admin Console | Self-Service Debtor Portal |</w:t>
              <w:br/>
            </w:r>
            <w:r>
              <w:rPr>
                <w:rFonts w:ascii="Courier New" w:hAnsi="Courier New"/>
                <w:sz w:val="17"/>
              </w:rPr>
              <w:t>+-------------------------------+-------------------------------------+</w:t>
              <w:br/>
            </w:r>
            <w:r>
              <w:rPr>
                <w:rFonts w:ascii="Courier New" w:hAnsi="Courier New"/>
                <w:sz w:val="17"/>
              </w:rPr>
              <w:t xml:space="preserve">                                | HTTPS / API</w:t>
              <w:br/>
            </w:r>
            <w:r>
              <w:rPr>
                <w:rFonts w:ascii="Courier New" w:hAnsi="Courier New"/>
                <w:sz w:val="17"/>
              </w:rPr>
              <w:t xml:space="preserve">                                v</w:t>
              <w:br/>
            </w:r>
            <w:r>
              <w:rPr>
                <w:rFonts w:ascii="Courier New" w:hAnsi="Courier New"/>
                <w:sz w:val="17"/>
              </w:rPr>
              <w:t xml:space="preserve">                        +---------------+</w:t>
              <w:br/>
            </w:r>
            <w:r>
              <w:rPr>
                <w:rFonts w:ascii="Courier New" w:hAnsi="Courier New"/>
                <w:sz w:val="17"/>
              </w:rPr>
              <w:t xml:space="preserve">                        |  API Gateway  |</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                         |                          |</w:t>
              <w:br/>
            </w:r>
            <w:r>
              <w:rPr>
                <w:rFonts w:ascii="Courier New" w:hAnsi="Courier New"/>
                <w:sz w:val="17"/>
              </w:rPr>
              <w:t xml:space="preserve">      v                         v                          v</w:t>
              <w:br/>
            </w:r>
            <w:r>
              <w:rPr>
                <w:rFonts w:ascii="Courier New" w:hAnsi="Courier New"/>
                <w:sz w:val="17"/>
              </w:rPr>
              <w:t>+-----------+          +----------------+          +---------------+</w:t>
              <w:br/>
            </w:r>
            <w:r>
              <w:rPr>
                <w:rFonts w:ascii="Courier New" w:hAnsi="Courier New"/>
                <w:sz w:val="17"/>
              </w:rPr>
              <w:t>| Identity  |          | Core Platform  |          | Decisioning   |</w:t>
              <w:br/>
            </w:r>
            <w:r>
              <w:rPr>
                <w:rFonts w:ascii="Courier New" w:hAnsi="Courier New"/>
                <w:sz w:val="17"/>
              </w:rPr>
              <w:t>| &amp; Access  |          | Services       |          | Services      |</w:t>
              <w:br/>
            </w:r>
            <w:r>
              <w:rPr>
                <w:rFonts w:ascii="Courier New" w:hAnsi="Courier New"/>
                <w:sz w:val="17"/>
              </w:rPr>
              <w:t>+-----------+          +----------------+          +---------------+</w:t>
              <w:br/>
            </w:r>
            <w:r>
              <w:rPr>
                <w:rFonts w:ascii="Courier New" w:hAnsi="Courier New"/>
                <w:sz w:val="17"/>
              </w:rPr>
              <w:t xml:space="preserve">      |                Debtors, Accounts,            Risk scoring,</w:t>
              <w:br/>
            </w:r>
            <w:r>
              <w:rPr>
                <w:rFonts w:ascii="Courier New" w:hAnsi="Courier New"/>
                <w:sz w:val="17"/>
              </w:rPr>
              <w:t xml:space="preserve">      |                Payments, Cases,              next-best action,</w:t>
              <w:br/>
            </w:r>
            <w:r>
              <w:rPr>
                <w:rFonts w:ascii="Courier New" w:hAnsi="Courier New"/>
                <w:sz w:val="17"/>
              </w:rPr>
              <w:t xml:space="preserve">      |                Communications,               segmentation</w:t>
              <w:br/>
            </w:r>
            <w:r>
              <w:rPr>
                <w:rFonts w:ascii="Courier New" w:hAnsi="Courier New"/>
                <w:sz w:val="17"/>
              </w:rPr>
              <w:t xml:space="preserve">      |                Reporting, Audit</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v</w:t>
              <w:br/>
            </w:r>
            <w:r>
              <w:rPr>
                <w:rFonts w:ascii="Courier New" w:hAnsi="Courier New"/>
                <w:sz w:val="17"/>
              </w:rPr>
              <w:t xml:space="preserve">          +---------------------------------------------------+</w:t>
              <w:br/>
            </w:r>
            <w:r>
              <w:rPr>
                <w:rFonts w:ascii="Courier New" w:hAnsi="Courier New"/>
                <w:sz w:val="17"/>
              </w:rPr>
              <w:t xml:space="preserve">          | Integrations: Core banking, payment gateways,     |</w:t>
              <w:br/>
            </w:r>
            <w:r>
              <w:rPr>
                <w:rFonts w:ascii="Courier New" w:hAnsi="Courier New"/>
                <w:sz w:val="17"/>
              </w:rPr>
              <w:t xml:space="preserve">          | SMS/WhatsApp/email providers, bureaus, data lakes |</w:t>
              <w:br/>
            </w:r>
            <w:r>
              <w:rPr>
                <w:rFonts w:ascii="Courier New" w:hAnsi="Courier New"/>
                <w:sz w:val="17"/>
              </w:rPr>
              <w:t xml:space="preserve">          +---------------------------------------------------+</w:t>
            </w:r>
          </w:p>
        </w:tc>
      </w:tr>
    </w:tbl>
    <w:p/>
    <w:p>
      <w:pPr>
        <w:pStyle w:val="Heading2"/>
        <w:spacing w:before="60" w:after="40" w:line="276" w:lineRule="auto"/>
      </w:pPr>
      <w:r>
        <w:t>1.2 Logical Service Architecture</w:t>
      </w:r>
    </w:p>
    <w:tbl>
      <w:tblPr>
        <w:tblW w:type="auto" w:w="0"/>
        <w:jc w:val="center"/>
        <w:tblLook w:firstColumn="1" w:firstRow="1" w:lastColumn="0" w:lastRow="0" w:noHBand="0" w:noVBand="1" w:val="04A0"/>
        <w:tblBorders>
          <w:top w:val="single" w:sz="6" w:space="0" w:color="D7DFEA"/>
          <w:left w:val="single" w:sz="6" w:space="0" w:color="D7DFEA"/>
          <w:bottom w:val="single" w:sz="6" w:space="0" w:color="D7DFEA"/>
          <w:right w:val="single" w:sz="6" w:space="0" w:color="D7DFEA"/>
          <w:insideH w:val="single" w:sz="6" w:space="0" w:color="D7DFEA"/>
          <w:insideV w:val="single" w:sz="6" w:space="0" w:color="D7DFEA"/>
        </w:tblBorders>
      </w:tblPr>
      <w:tblGrid>
        <w:gridCol w:w="9972"/>
      </w:tblGrid>
      <w:tr>
        <w:tc>
          <w:tcPr>
            <w:tcW w:type="dxa" w:w="9972"/>
            <w:shd w:fill="F8FAFC"/>
            <w:tcMar>
              <w:top w:w="120" w:type="dxa"/>
              <w:start w:w="120" w:type="dxa"/>
              <w:bottom w:w="120" w:type="dxa"/>
              <w:end w:w="120" w:type="dxa"/>
            </w:tcMar>
          </w:tcPr>
          <w:p>
            <w:pPr>
              <w:spacing w:before="0" w:after="0" w:line="252" w:lineRule="auto"/>
            </w:pPr>
            <w:r>
              <w:rPr>
                <w:rFonts w:ascii="Courier New" w:hAnsi="Courier New"/>
                <w:sz w:val="17"/>
              </w:rPr>
              <w:t>[ Web App ] -&gt; [ API Gateway ] -&gt; [ Auth / Tenant / Feature Flag ]</w:t>
              <w:br/>
            </w:r>
            <w:r>
              <w:rPr>
                <w:rFonts w:ascii="Courier New" w:hAnsi="Courier New"/>
                <w:sz w:val="17"/>
              </w:rPr>
              <w:t xml:space="preserve">                                  |</w:t>
              <w:br/>
            </w:r>
            <w:r>
              <w:rPr>
                <w:rFonts w:ascii="Courier New" w:hAnsi="Courier New"/>
                <w:sz w:val="17"/>
              </w:rPr>
              <w:t xml:space="preserve">                                  +--&gt; [ Debtor Service ]</w:t>
              <w:br/>
            </w:r>
            <w:r>
              <w:rPr>
                <w:rFonts w:ascii="Courier New" w:hAnsi="Courier New"/>
                <w:sz w:val="17"/>
              </w:rPr>
              <w:t xml:space="preserve">                                  +--&gt; [ Account &amp; Case Service ]</w:t>
              <w:br/>
            </w:r>
            <w:r>
              <w:rPr>
                <w:rFonts w:ascii="Courier New" w:hAnsi="Courier New"/>
                <w:sz w:val="17"/>
              </w:rPr>
              <w:t xml:space="preserve">                                  +--&gt; [ Payment Service ]</w:t>
              <w:br/>
            </w:r>
            <w:r>
              <w:rPr>
                <w:rFonts w:ascii="Courier New" w:hAnsi="Courier New"/>
                <w:sz w:val="17"/>
              </w:rPr>
              <w:t xml:space="preserve">                                  +--&gt; [ Communication Service ]</w:t>
              <w:br/>
            </w:r>
            <w:r>
              <w:rPr>
                <w:rFonts w:ascii="Courier New" w:hAnsi="Courier New"/>
                <w:sz w:val="17"/>
              </w:rPr>
              <w:t xml:space="preserve">                                  +--&gt; [ Workflow Engine ]</w:t>
              <w:br/>
            </w:r>
            <w:r>
              <w:rPr>
                <w:rFonts w:ascii="Courier New" w:hAnsi="Courier New"/>
                <w:sz w:val="17"/>
              </w:rPr>
              <w:t xml:space="preserve">                                  +--&gt; [ Reporting &amp; Audit ]</w:t>
              <w:br/>
            </w:r>
            <w:r>
              <w:rPr>
                <w:rFonts w:ascii="Courier New" w:hAnsi="Courier New"/>
                <w:sz w:val="17"/>
              </w:rPr>
              <w:t xml:space="preserve">                                  +--&gt; [ Integration Orchestrator ]</w:t>
              <w:br/>
            </w:r>
            <w:r>
              <w:rPr>
                <w:rFonts w:ascii="Courier New" w:hAnsi="Courier New"/>
                <w:sz w:val="17"/>
              </w:rPr>
              <w:t xml:space="preserve">                                  +--&gt; [ AI / Decision Engine ]</w:t>
              <w:br/>
            </w:r>
            <w:r>
              <w:rPr>
                <w:rFonts w:ascii="Courier New" w:hAnsi="Courier New"/>
                <w:sz w:val="17"/>
              </w:rPr>
              <w:br/>
            </w:r>
            <w:r>
              <w:rPr>
                <w:rFonts w:ascii="Courier New" w:hAnsi="Courier New"/>
                <w:sz w:val="17"/>
              </w:rPr>
              <w:t>Async backbone:</w:t>
              <w:br/>
            </w:r>
            <w:r>
              <w:rPr>
                <w:rFonts w:ascii="Courier New" w:hAnsi="Courier New"/>
                <w:sz w:val="17"/>
              </w:rPr>
              <w:t>[ Event Bus / Queue ] &lt;-&gt; services publish domain events and consume tasks</w:t>
              <w:br/>
            </w:r>
            <w:r>
              <w:rPr>
                <w:rFonts w:ascii="Courier New" w:hAnsi="Courier New"/>
                <w:sz w:val="17"/>
              </w:rPr>
              <w:t>[ Redis / Queue ] for retries, delayed jobs, scheduled campaigns, SLA timers</w:t>
            </w:r>
          </w:p>
        </w:tc>
      </w:tr>
    </w:tbl>
    <w:p/>
    <w:p>
      <w:pPr>
        <w:pStyle w:val="Heading2"/>
        <w:spacing w:before="60" w:after="40" w:line="276" w:lineRule="auto"/>
      </w:pPr>
      <w:r>
        <w:t>1.3 Deployment View</w:t>
      </w:r>
    </w:p>
    <w:tbl>
      <w:tblPr>
        <w:tblStyle w:val="TableGrid"/>
        <w:tblW w:type="auto" w:w="0"/>
        <w:jc w:val="center"/>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324"/>
        <w:gridCol w:w="3324"/>
        <w:gridCol w:w="3324"/>
      </w:tblGrid>
      <w:tr>
        <w:tc>
          <w:tcPr>
            <w:tcW w:type="dxa" w:w="1440"/>
            <w:vAlign w:val="center"/>
            <w:shd w:fill="1F4E79"/>
            <w:tcMar>
              <w:top w:w="90" w:type="dxa"/>
              <w:start w:w="90" w:type="dxa"/>
              <w:bottom w:w="90" w:type="dxa"/>
              <w:end w:w="90" w:type="dxa"/>
            </w:tcMar>
          </w:tcPr>
          <w:p>
            <w:pPr>
              <w:jc w:val="center"/>
            </w:pPr>
            <w:r>
              <w:rPr>
                <w:b/>
                <w:color w:val="FFFFFF"/>
                <w:sz w:val="19"/>
              </w:rPr>
              <w:t>Layer</w:t>
            </w:r>
          </w:p>
        </w:tc>
        <w:tc>
          <w:tcPr>
            <w:tcW w:type="dxa" w:w="3600"/>
            <w:vAlign w:val="center"/>
            <w:shd w:fill="1F4E79"/>
            <w:tcMar>
              <w:top w:w="90" w:type="dxa"/>
              <w:start w:w="90" w:type="dxa"/>
              <w:bottom w:w="90" w:type="dxa"/>
              <w:end w:w="90" w:type="dxa"/>
            </w:tcMar>
          </w:tcPr>
          <w:p>
            <w:pPr>
              <w:jc w:val="center"/>
            </w:pPr>
            <w:r>
              <w:rPr>
                <w:b/>
                <w:color w:val="FFFFFF"/>
                <w:sz w:val="19"/>
              </w:rPr>
              <w:t>Primary Components</w:t>
            </w:r>
          </w:p>
        </w:tc>
        <w:tc>
          <w:tcPr>
            <w:tcW w:type="dxa" w:w="4608"/>
            <w:vAlign w:val="center"/>
            <w:shd w:fill="1F4E79"/>
            <w:tcMar>
              <w:top w:w="90" w:type="dxa"/>
              <w:start w:w="90" w:type="dxa"/>
              <w:bottom w:w="90" w:type="dxa"/>
              <w:end w:w="90" w:type="dxa"/>
            </w:tcMar>
          </w:tcPr>
          <w:p>
            <w:pPr>
              <w:jc w:val="center"/>
            </w:pPr>
            <w:r>
              <w:rPr>
                <w:b/>
                <w:color w:val="FFFFFF"/>
                <w:sz w:val="19"/>
              </w:rPr>
              <w:t>Why it exists</w:t>
            </w:r>
          </w:p>
        </w:tc>
      </w:tr>
      <w:tr>
        <w:tc>
          <w:tcPr>
            <w:tcW w:type="dxa" w:w="1440"/>
            <w:vAlign w:val="center"/>
            <w:tcMar>
              <w:top w:w="90" w:type="dxa"/>
              <w:start w:w="90" w:type="dxa"/>
              <w:bottom w:w="90" w:type="dxa"/>
              <w:end w:w="90" w:type="dxa"/>
            </w:tcMar>
          </w:tcPr>
          <w:p>
            <w:pPr>
              <w:spacing w:before="0" w:after="0" w:line="276" w:lineRule="auto"/>
              <w:jc w:val="center"/>
            </w:pPr>
            <w:r>
              <w:rPr>
                <w:color w:val="1F2937"/>
                <w:sz w:val="18"/>
              </w:rPr>
              <w:t>Edge</w:t>
            </w:r>
          </w:p>
        </w:tc>
        <w:tc>
          <w:tcPr>
            <w:tcW w:type="dxa" w:w="3600"/>
            <w:vAlign w:val="center"/>
            <w:tcMar>
              <w:top w:w="90" w:type="dxa"/>
              <w:start w:w="90" w:type="dxa"/>
              <w:bottom w:w="90" w:type="dxa"/>
              <w:end w:w="90" w:type="dxa"/>
            </w:tcMar>
          </w:tcPr>
          <w:p>
            <w:pPr>
              <w:spacing w:before="0" w:after="0" w:line="276" w:lineRule="auto"/>
              <w:jc w:val="left"/>
            </w:pPr>
            <w:r>
              <w:rPr>
                <w:color w:val="1F2937"/>
                <w:sz w:val="18"/>
              </w:rPr>
              <w:t>CDN, WAF, load balancer, TLS termination</w:t>
            </w:r>
          </w:p>
        </w:tc>
        <w:tc>
          <w:tcPr>
            <w:tcW w:type="dxa" w:w="4608"/>
            <w:vAlign w:val="center"/>
            <w:tcMar>
              <w:top w:w="90" w:type="dxa"/>
              <w:start w:w="90" w:type="dxa"/>
              <w:bottom w:w="90" w:type="dxa"/>
              <w:end w:w="90" w:type="dxa"/>
            </w:tcMar>
          </w:tcPr>
          <w:p>
            <w:pPr>
              <w:spacing w:before="0" w:after="0" w:line="276" w:lineRule="auto"/>
              <w:jc w:val="left"/>
            </w:pPr>
            <w:r>
              <w:rPr>
                <w:color w:val="1F2937"/>
                <w:sz w:val="18"/>
              </w:rPr>
              <w:t>Protects public traffic and reduces latency for the tenant web app and debtor portal.</w:t>
            </w:r>
          </w:p>
        </w:tc>
      </w:tr>
      <w:tr>
        <w:tc>
          <w:tcPr>
            <w:tcW w:type="dxa" w:w="1440"/>
            <w:vAlign w:val="center"/>
            <w:tcMar>
              <w:top w:w="90" w:type="dxa"/>
              <w:start w:w="90" w:type="dxa"/>
              <w:bottom w:w="90" w:type="dxa"/>
              <w:end w:w="90" w:type="dxa"/>
            </w:tcMar>
          </w:tcPr>
          <w:p>
            <w:pPr>
              <w:spacing w:before="0" w:after="0" w:line="276" w:lineRule="auto"/>
              <w:jc w:val="center"/>
            </w:pPr>
            <w:r>
              <w:rPr>
                <w:color w:val="1F2937"/>
                <w:sz w:val="18"/>
              </w:rPr>
              <w:t>Application</w:t>
            </w:r>
          </w:p>
        </w:tc>
        <w:tc>
          <w:tcPr>
            <w:tcW w:type="dxa" w:w="3600"/>
            <w:vAlign w:val="center"/>
            <w:tcMar>
              <w:top w:w="90" w:type="dxa"/>
              <w:start w:w="90" w:type="dxa"/>
              <w:bottom w:w="90" w:type="dxa"/>
              <w:end w:w="90" w:type="dxa"/>
            </w:tcMar>
          </w:tcPr>
          <w:p>
            <w:pPr>
              <w:spacing w:before="0" w:after="0" w:line="276" w:lineRule="auto"/>
              <w:jc w:val="left"/>
            </w:pPr>
            <w:r>
              <w:rPr>
                <w:color w:val="1F2937"/>
                <w:sz w:val="18"/>
              </w:rPr>
              <w:t>Containerized services on Kubernetes or managed container platform</w:t>
            </w:r>
          </w:p>
        </w:tc>
        <w:tc>
          <w:tcPr>
            <w:tcW w:type="dxa" w:w="4608"/>
            <w:vAlign w:val="center"/>
            <w:tcMar>
              <w:top w:w="90" w:type="dxa"/>
              <w:start w:w="90" w:type="dxa"/>
              <w:bottom w:w="90" w:type="dxa"/>
              <w:end w:w="90" w:type="dxa"/>
            </w:tcMar>
          </w:tcPr>
          <w:p>
            <w:pPr>
              <w:spacing w:before="0" w:after="0" w:line="276" w:lineRule="auto"/>
              <w:jc w:val="left"/>
            </w:pPr>
            <w:r>
              <w:rPr>
                <w:color w:val="1F2937"/>
                <w:sz w:val="18"/>
              </w:rPr>
              <w:t>Enables horizontal scaling by queue depth, HTTP load, or tenant growth.</w:t>
            </w:r>
          </w:p>
        </w:tc>
      </w:tr>
      <w:tr>
        <w:tc>
          <w:tcPr>
            <w:tcW w:type="dxa" w:w="1440"/>
            <w:vAlign w:val="center"/>
            <w:tcMar>
              <w:top w:w="90" w:type="dxa"/>
              <w:start w:w="90" w:type="dxa"/>
              <w:bottom w:w="90" w:type="dxa"/>
              <w:end w:w="90" w:type="dxa"/>
            </w:tcMar>
          </w:tcPr>
          <w:p>
            <w:pPr>
              <w:spacing w:before="0" w:after="0" w:line="276" w:lineRule="auto"/>
              <w:jc w:val="center"/>
            </w:pPr>
            <w:r>
              <w:rPr>
                <w:color w:val="1F2937"/>
                <w:sz w:val="18"/>
              </w:rPr>
              <w:t>Data</w:t>
            </w:r>
          </w:p>
        </w:tc>
        <w:tc>
          <w:tcPr>
            <w:tcW w:type="dxa" w:w="3600"/>
            <w:vAlign w:val="center"/>
            <w:tcMar>
              <w:top w:w="90" w:type="dxa"/>
              <w:start w:w="90" w:type="dxa"/>
              <w:bottom w:w="90" w:type="dxa"/>
              <w:end w:w="90" w:type="dxa"/>
            </w:tcMar>
          </w:tcPr>
          <w:p>
            <w:pPr>
              <w:spacing w:before="0" w:after="0" w:line="276" w:lineRule="auto"/>
              <w:jc w:val="left"/>
            </w:pPr>
            <w:r>
              <w:rPr>
                <w:color w:val="1F2937"/>
                <w:sz w:val="18"/>
              </w:rPr>
              <w:t>PostgreSQL, Redis, object storage, analytics warehouse</w:t>
            </w:r>
          </w:p>
        </w:tc>
        <w:tc>
          <w:tcPr>
            <w:tcW w:type="dxa" w:w="4608"/>
            <w:vAlign w:val="center"/>
            <w:tcMar>
              <w:top w:w="90" w:type="dxa"/>
              <w:start w:w="90" w:type="dxa"/>
              <w:bottom w:w="90" w:type="dxa"/>
              <w:end w:w="90" w:type="dxa"/>
            </w:tcMar>
          </w:tcPr>
          <w:p>
            <w:pPr>
              <w:spacing w:before="0" w:after="0" w:line="276" w:lineRule="auto"/>
              <w:jc w:val="left"/>
            </w:pPr>
            <w:r>
              <w:rPr>
                <w:color w:val="1F2937"/>
                <w:sz w:val="18"/>
              </w:rPr>
              <w:t>Separates transactional persistence from fast cache and long-horizon reporting.</w:t>
            </w:r>
          </w:p>
        </w:tc>
      </w:tr>
      <w:tr>
        <w:tc>
          <w:tcPr>
            <w:tcW w:type="dxa" w:w="1440"/>
            <w:vAlign w:val="center"/>
            <w:tcMar>
              <w:top w:w="90" w:type="dxa"/>
              <w:start w:w="90" w:type="dxa"/>
              <w:bottom w:w="90" w:type="dxa"/>
              <w:end w:w="90" w:type="dxa"/>
            </w:tcMar>
          </w:tcPr>
          <w:p>
            <w:pPr>
              <w:spacing w:before="0" w:after="0" w:line="276" w:lineRule="auto"/>
              <w:jc w:val="center"/>
            </w:pPr>
            <w:r>
              <w:rPr>
                <w:color w:val="1F2937"/>
                <w:sz w:val="18"/>
              </w:rPr>
              <w:t>Messaging</w:t>
            </w:r>
          </w:p>
        </w:tc>
        <w:tc>
          <w:tcPr>
            <w:tcW w:type="dxa" w:w="3600"/>
            <w:vAlign w:val="center"/>
            <w:tcMar>
              <w:top w:w="90" w:type="dxa"/>
              <w:start w:w="90" w:type="dxa"/>
              <w:bottom w:w="90" w:type="dxa"/>
              <w:end w:w="90" w:type="dxa"/>
            </w:tcMar>
          </w:tcPr>
          <w:p>
            <w:pPr>
              <w:spacing w:before="0" w:after="0" w:line="276" w:lineRule="auto"/>
              <w:jc w:val="left"/>
            </w:pPr>
            <w:r>
              <w:rPr>
                <w:color w:val="1F2937"/>
                <w:sz w:val="18"/>
              </w:rPr>
              <w:t>BullMQ / Redis streams initially; Kafka or managed event bus later</w:t>
            </w:r>
          </w:p>
        </w:tc>
        <w:tc>
          <w:tcPr>
            <w:tcW w:type="dxa" w:w="4608"/>
            <w:vAlign w:val="center"/>
            <w:tcMar>
              <w:top w:w="90" w:type="dxa"/>
              <w:start w:w="90" w:type="dxa"/>
              <w:bottom w:w="90" w:type="dxa"/>
              <w:end w:w="90" w:type="dxa"/>
            </w:tcMar>
          </w:tcPr>
          <w:p>
            <w:pPr>
              <w:spacing w:before="0" w:after="0" w:line="276" w:lineRule="auto"/>
              <w:jc w:val="left"/>
            </w:pPr>
            <w:r>
              <w:rPr>
                <w:color w:val="1F2937"/>
                <w:sz w:val="18"/>
              </w:rPr>
              <w:t>Supports delayed actions, retries, and event-driven workflows.</w:t>
            </w:r>
          </w:p>
        </w:tc>
      </w:tr>
      <w:tr>
        <w:tc>
          <w:tcPr>
            <w:tcW w:type="dxa" w:w="1440"/>
            <w:vAlign w:val="center"/>
            <w:tcMar>
              <w:top w:w="90" w:type="dxa"/>
              <w:start w:w="90" w:type="dxa"/>
              <w:bottom w:w="90" w:type="dxa"/>
              <w:end w:w="90" w:type="dxa"/>
            </w:tcMar>
          </w:tcPr>
          <w:p>
            <w:pPr>
              <w:spacing w:before="0" w:after="0" w:line="276" w:lineRule="auto"/>
              <w:jc w:val="center"/>
            </w:pPr>
            <w:r>
              <w:rPr>
                <w:color w:val="1F2937"/>
                <w:sz w:val="18"/>
              </w:rPr>
              <w:t>Observability</w:t>
            </w:r>
          </w:p>
        </w:tc>
        <w:tc>
          <w:tcPr>
            <w:tcW w:type="dxa" w:w="3600"/>
            <w:vAlign w:val="center"/>
            <w:tcMar>
              <w:top w:w="90" w:type="dxa"/>
              <w:start w:w="90" w:type="dxa"/>
              <w:bottom w:w="90" w:type="dxa"/>
              <w:end w:w="90" w:type="dxa"/>
            </w:tcMar>
          </w:tcPr>
          <w:p>
            <w:pPr>
              <w:spacing w:before="0" w:after="0" w:line="276" w:lineRule="auto"/>
              <w:jc w:val="left"/>
            </w:pPr>
            <w:r>
              <w:rPr>
                <w:color w:val="1F2937"/>
                <w:sz w:val="18"/>
              </w:rPr>
              <w:t>Metrics, logs, traces, audit storage</w:t>
            </w:r>
          </w:p>
        </w:tc>
        <w:tc>
          <w:tcPr>
            <w:tcW w:type="dxa" w:w="4608"/>
            <w:vAlign w:val="center"/>
            <w:tcMar>
              <w:top w:w="90" w:type="dxa"/>
              <w:start w:w="90" w:type="dxa"/>
              <w:bottom w:w="90" w:type="dxa"/>
              <w:end w:w="90" w:type="dxa"/>
            </w:tcMar>
          </w:tcPr>
          <w:p>
            <w:pPr>
              <w:spacing w:before="0" w:after="0" w:line="276" w:lineRule="auto"/>
              <w:jc w:val="left"/>
            </w:pPr>
            <w:r>
              <w:rPr>
                <w:color w:val="1F2937"/>
                <w:sz w:val="18"/>
              </w:rPr>
              <w:t>Critical for regulated operations and enterprise onboarding.</w:t>
            </w:r>
          </w:p>
        </w:tc>
      </w:tr>
    </w:tbl>
    <w:p/>
    <w:p>
      <w:pPr>
        <w:pStyle w:val="Heading2"/>
        <w:spacing w:before="60" w:after="40" w:line="276" w:lineRule="auto"/>
      </w:pPr>
      <w:r>
        <w:t>1.4 Canonical Processing Flow</w:t>
      </w:r>
    </w:p>
    <w:tbl>
      <w:tblPr>
        <w:tblW w:type="auto" w:w="0"/>
        <w:jc w:val="center"/>
        <w:tblLook w:firstColumn="1" w:firstRow="1" w:lastColumn="0" w:lastRow="0" w:noHBand="0" w:noVBand="1" w:val="04A0"/>
        <w:tblBorders>
          <w:top w:val="single" w:sz="6" w:space="0" w:color="D7DFEA"/>
          <w:left w:val="single" w:sz="6" w:space="0" w:color="D7DFEA"/>
          <w:bottom w:val="single" w:sz="6" w:space="0" w:color="D7DFEA"/>
          <w:right w:val="single" w:sz="6" w:space="0" w:color="D7DFEA"/>
          <w:insideH w:val="single" w:sz="6" w:space="0" w:color="D7DFEA"/>
          <w:insideV w:val="single" w:sz="6" w:space="0" w:color="D7DFEA"/>
        </w:tblBorders>
      </w:tblPr>
      <w:tblGrid>
        <w:gridCol w:w="9972"/>
      </w:tblGrid>
      <w:tr>
        <w:tc>
          <w:tcPr>
            <w:tcW w:type="dxa" w:w="9972"/>
            <w:shd w:fill="F8FAFC"/>
            <w:tcMar>
              <w:top w:w="120" w:type="dxa"/>
              <w:start w:w="120" w:type="dxa"/>
              <w:bottom w:w="120" w:type="dxa"/>
              <w:end w:w="120" w:type="dxa"/>
            </w:tcMar>
          </w:tcPr>
          <w:p>
            <w:pPr>
              <w:spacing w:before="0" w:after="0" w:line="252" w:lineRule="auto"/>
            </w:pPr>
            <w:r>
              <w:rPr>
                <w:rFonts w:ascii="Courier New" w:hAnsi="Courier New"/>
                <w:sz w:val="17"/>
              </w:rPr>
              <w:t>1. Debt import or API ingestion creates / updates debtor and account records</w:t>
              <w:br/>
            </w:r>
            <w:r>
              <w:rPr>
                <w:rFonts w:ascii="Courier New" w:hAnsi="Courier New"/>
                <w:sz w:val="17"/>
              </w:rPr>
              <w:t>2. Account event is emitted: account.created, due_date.changed, payment.missed</w:t>
              <w:br/>
            </w:r>
            <w:r>
              <w:rPr>
                <w:rFonts w:ascii="Courier New" w:hAnsi="Courier New"/>
                <w:sz w:val="17"/>
              </w:rPr>
              <w:t>3. Decision engine calculates segment, risk band, and next-best action</w:t>
              <w:br/>
            </w:r>
            <w:r>
              <w:rPr>
                <w:rFonts w:ascii="Courier New" w:hAnsi="Courier New"/>
                <w:sz w:val="17"/>
              </w:rPr>
              <w:t>4. Workflow engine materializes actions: SMS, email, task, dialer queue, escalation</w:t>
              <w:br/>
            </w:r>
            <w:r>
              <w:rPr>
                <w:rFonts w:ascii="Courier New" w:hAnsi="Courier New"/>
                <w:sz w:val="17"/>
              </w:rPr>
              <w:t>5. Communication outcomes and payments feed back into the event stream</w:t>
              <w:br/>
            </w:r>
            <w:r>
              <w:rPr>
                <w:rFonts w:ascii="Courier New" w:hAnsi="Courier New"/>
                <w:sz w:val="17"/>
              </w:rPr>
              <w:t>6. Cases are re-scored and strategies adjust automatically by rules and policy</w:t>
              <w:br/>
            </w:r>
            <w:r>
              <w:rPr>
                <w:rFonts w:ascii="Courier New" w:hAnsi="Courier New"/>
                <w:sz w:val="17"/>
              </w:rPr>
              <w:t>7. Reporting aggregates operational metrics and compliance evidence in near real time</w:t>
            </w:r>
          </w:p>
        </w:tc>
      </w:tr>
    </w:tbl>
    <w:p/>
    <w:p>
      <w:pPr>
        <w:pStyle w:val="Heading1"/>
        <w:spacing w:before="120" w:after="40" w:line="276" w:lineRule="auto"/>
      </w:pPr>
      <w:r>
        <w:t>2. Detailed API Structure</w:t>
      </w:r>
    </w:p>
    <w:p>
      <w:pPr>
        <w:spacing w:before="0" w:after="80" w:line="288" w:lineRule="auto"/>
      </w:pPr>
      <w:r>
        <w:t>All APIs are tenant-aware and authenticated. The gateway resolves tenant context from the authenticated user and, for external integrations, from signed credentials or dedicated service accounts. Every write endpoint should emit an audit event and a domain event where applicable.</w:t>
      </w:r>
    </w:p>
    <w:p>
      <w:pPr>
        <w:pStyle w:val="Heading2"/>
        <w:spacing w:before="60" w:after="40" w:line="276" w:lineRule="auto"/>
      </w:pPr>
      <w:r>
        <w:t>2.1 API Design Standards</w:t>
      </w:r>
    </w:p>
    <w:p>
      <w:pPr>
        <w:pStyle w:val="ListBullet"/>
        <w:spacing w:before="0" w:after="0" w:line="264" w:lineRule="auto"/>
      </w:pPr>
      <w:r>
        <w:t>Base path: /api/v1</w:t>
      </w:r>
    </w:p>
    <w:p>
      <w:pPr>
        <w:pStyle w:val="ListBullet"/>
        <w:spacing w:before="0" w:after="0" w:line="264" w:lineRule="auto"/>
      </w:pPr>
      <w:r>
        <w:t>Authentication: JWT/OIDC for users; signed API keys or OAuth client credentials for integrations</w:t>
      </w:r>
    </w:p>
    <w:p>
      <w:pPr>
        <w:pStyle w:val="ListBullet"/>
        <w:spacing w:before="0" w:after="0" w:line="264" w:lineRule="auto"/>
      </w:pPr>
      <w:r>
        <w:t>Idempotency: required on import, payment, and outbound communication creation endpoints</w:t>
      </w:r>
    </w:p>
    <w:p>
      <w:pPr>
        <w:pStyle w:val="ListBullet"/>
        <w:spacing w:before="0" w:after="0" w:line="264" w:lineRule="auto"/>
      </w:pPr>
      <w:r>
        <w:t>Pagination: cursor-based for large collections; deterministic sort by created_at plus id</w:t>
      </w:r>
    </w:p>
    <w:p>
      <w:pPr>
        <w:pStyle w:val="ListBullet"/>
        <w:spacing w:before="0" w:after="0" w:line="264" w:lineRule="auto"/>
      </w:pPr>
      <w:r>
        <w:t>Filtering: status, queue, owner, strategy, date ranges, channel, and tenant-defined tags</w:t>
      </w:r>
    </w:p>
    <w:p>
      <w:pPr>
        <w:pStyle w:val="ListBullet"/>
        <w:spacing w:before="0" w:after="0" w:line="264" w:lineRule="auto"/>
      </w:pPr>
      <w:r>
        <w:t>Auditability: x-request-id propagated end to end; user_id and tenant_id attached to write actions</w:t>
      </w:r>
    </w:p>
    <w:p/>
    <w:p>
      <w:pPr>
        <w:pStyle w:val="Heading2"/>
        <w:spacing w:before="60" w:after="40" w:line="276" w:lineRule="auto"/>
      </w:pPr>
      <w:r>
        <w:t>2.2 Core Resource Map</w:t>
      </w:r>
    </w:p>
    <w:tbl>
      <w:tblPr>
        <w:tblStyle w:val="TableGrid"/>
        <w:tblW w:type="auto" w:w="0"/>
        <w:jc w:val="center"/>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324"/>
        <w:gridCol w:w="3324"/>
        <w:gridCol w:w="3324"/>
      </w:tblGrid>
      <w:tr>
        <w:tc>
          <w:tcPr>
            <w:tcW w:type="dxa" w:w="1512"/>
            <w:vAlign w:val="center"/>
            <w:shd w:fill="1F4E79"/>
            <w:tcMar>
              <w:top w:w="90" w:type="dxa"/>
              <w:start w:w="90" w:type="dxa"/>
              <w:bottom w:w="90" w:type="dxa"/>
              <w:end w:w="90" w:type="dxa"/>
            </w:tcMar>
          </w:tcPr>
          <w:p>
            <w:pPr>
              <w:jc w:val="center"/>
            </w:pPr>
            <w:r>
              <w:rPr>
                <w:b/>
                <w:color w:val="FFFFFF"/>
                <w:sz w:val="18"/>
              </w:rPr>
              <w:t>Domain</w:t>
            </w:r>
          </w:p>
        </w:tc>
        <w:tc>
          <w:tcPr>
            <w:tcW w:type="dxa" w:w="4032"/>
            <w:vAlign w:val="center"/>
            <w:shd w:fill="1F4E79"/>
            <w:tcMar>
              <w:top w:w="90" w:type="dxa"/>
              <w:start w:w="90" w:type="dxa"/>
              <w:bottom w:w="90" w:type="dxa"/>
              <w:end w:w="90" w:type="dxa"/>
            </w:tcMar>
          </w:tcPr>
          <w:p>
            <w:pPr>
              <w:jc w:val="center"/>
            </w:pPr>
            <w:r>
              <w:rPr>
                <w:b/>
                <w:color w:val="FFFFFF"/>
                <w:sz w:val="18"/>
              </w:rPr>
              <w:t>Representative Endpoints</w:t>
            </w:r>
          </w:p>
        </w:tc>
        <w:tc>
          <w:tcPr>
            <w:tcW w:type="dxa" w:w="4104"/>
            <w:vAlign w:val="center"/>
            <w:shd w:fill="1F4E79"/>
            <w:tcMar>
              <w:top w:w="90" w:type="dxa"/>
              <w:start w:w="90" w:type="dxa"/>
              <w:bottom w:w="90" w:type="dxa"/>
              <w:end w:w="90" w:type="dxa"/>
            </w:tcMar>
          </w:tcPr>
          <w:p>
            <w:pPr>
              <w:jc w:val="center"/>
            </w:pPr>
            <w:r>
              <w:rPr>
                <w:b/>
                <w:color w:val="FFFFFF"/>
                <w:sz w:val="18"/>
              </w:rPr>
              <w:t>Purpose</w:t>
            </w:r>
          </w:p>
        </w:tc>
      </w:tr>
      <w:tr>
        <w:tc>
          <w:tcPr>
            <w:tcW w:type="dxa" w:w="1512"/>
            <w:vAlign w:val="center"/>
            <w:tcMar>
              <w:top w:w="90" w:type="dxa"/>
              <w:start w:w="90" w:type="dxa"/>
              <w:bottom w:w="90" w:type="dxa"/>
              <w:end w:w="90" w:type="dxa"/>
            </w:tcMar>
          </w:tcPr>
          <w:p>
            <w:pPr>
              <w:spacing w:before="0" w:after="0" w:line="276" w:lineRule="auto"/>
              <w:jc w:val="center"/>
            </w:pPr>
            <w:r>
              <w:rPr>
                <w:color w:val="1F2937"/>
                <w:sz w:val="17"/>
              </w:rPr>
              <w:t>Auth</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POST /auth/login</w:t>
              <w:br/>
            </w:r>
            <w:r>
              <w:rPr>
                <w:color w:val="1F2937"/>
                <w:sz w:val="17"/>
              </w:rPr>
              <w:t>POST /auth/refresh</w:t>
              <w:br/>
            </w:r>
            <w:r>
              <w:rPr>
                <w:color w:val="1F2937"/>
                <w:sz w:val="17"/>
              </w:rPr>
              <w:t>POST /auth/logout</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Session lifecycle, token refresh, session invalidation.</w:t>
            </w:r>
          </w:p>
        </w:tc>
      </w:tr>
      <w:tr>
        <w:tc>
          <w:tcPr>
            <w:tcW w:type="dxa" w:w="1512"/>
            <w:vAlign w:val="center"/>
            <w:tcMar>
              <w:top w:w="90" w:type="dxa"/>
              <w:start w:w="90" w:type="dxa"/>
              <w:bottom w:w="90" w:type="dxa"/>
              <w:end w:w="90" w:type="dxa"/>
            </w:tcMar>
          </w:tcPr>
          <w:p>
            <w:pPr>
              <w:spacing w:before="0" w:after="0" w:line="276" w:lineRule="auto"/>
              <w:jc w:val="center"/>
            </w:pPr>
            <w:r>
              <w:rPr>
                <w:color w:val="1F2937"/>
                <w:sz w:val="17"/>
              </w:rPr>
              <w:t>Tenants</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GET /tenants/me</w:t>
              <w:br/>
            </w:r>
            <w:r>
              <w:rPr>
                <w:color w:val="1F2937"/>
                <w:sz w:val="17"/>
              </w:rPr>
              <w:t>PATCH /tenants/me</w:t>
              <w:br/>
            </w:r>
            <w:r>
              <w:rPr>
                <w:color w:val="1F2937"/>
                <w:sz w:val="17"/>
              </w:rPr>
              <w:t>GET /tenants/me/features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Tenant metadata, configuration, licensed modules, branding.</w:t>
            </w:r>
          </w:p>
        </w:tc>
      </w:tr>
      <w:tr>
        <w:tc>
          <w:tcPr>
            <w:tcW w:type="dxa" w:w="1512"/>
            <w:vAlign w:val="center"/>
            <w:tcMar>
              <w:top w:w="90" w:type="dxa"/>
              <w:start w:w="90" w:type="dxa"/>
              <w:bottom w:w="90" w:type="dxa"/>
              <w:end w:w="90" w:type="dxa"/>
            </w:tcMar>
          </w:tcPr>
          <w:p>
            <w:pPr>
              <w:spacing w:before="0" w:after="0" w:line="276" w:lineRule="auto"/>
              <w:jc w:val="center"/>
            </w:pPr>
            <w:r>
              <w:rPr>
                <w:color w:val="1F2937"/>
                <w:sz w:val="17"/>
              </w:rPr>
              <w:t>Users &amp; Roles</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GET /users</w:t>
              <w:br/>
            </w:r>
            <w:r>
              <w:rPr>
                <w:color w:val="1F2937"/>
                <w:sz w:val="17"/>
              </w:rPr>
              <w:t>POST /users</w:t>
              <w:br/>
            </w:r>
            <w:r>
              <w:rPr>
                <w:color w:val="1F2937"/>
                <w:sz w:val="17"/>
              </w:rPr>
              <w:t>PATCH /users/{id}</w:t>
              <w:br/>
            </w:r>
            <w:r>
              <w:rPr>
                <w:color w:val="1F2937"/>
                <w:sz w:val="17"/>
              </w:rPr>
              <w:t>GET /roles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RBAC, team structure, supervisors, permissions.</w:t>
            </w:r>
          </w:p>
        </w:tc>
      </w:tr>
      <w:tr>
        <w:tc>
          <w:tcPr>
            <w:tcW w:type="dxa" w:w="1512"/>
            <w:vAlign w:val="center"/>
            <w:tcMar>
              <w:top w:w="90" w:type="dxa"/>
              <w:start w:w="90" w:type="dxa"/>
              <w:bottom w:w="90" w:type="dxa"/>
              <w:end w:w="90" w:type="dxa"/>
            </w:tcMar>
          </w:tcPr>
          <w:p>
            <w:pPr>
              <w:spacing w:before="0" w:after="0" w:line="276" w:lineRule="auto"/>
              <w:jc w:val="center"/>
            </w:pPr>
            <w:r>
              <w:rPr>
                <w:color w:val="1F2937"/>
                <w:sz w:val="17"/>
              </w:rPr>
              <w:t>Debtors</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GET /debtors</w:t>
              <w:br/>
            </w:r>
            <w:r>
              <w:rPr>
                <w:color w:val="1F2937"/>
                <w:sz w:val="17"/>
              </w:rPr>
              <w:t>POST /debtors</w:t>
              <w:br/>
            </w:r>
            <w:r>
              <w:rPr>
                <w:color w:val="1F2937"/>
                <w:sz w:val="17"/>
              </w:rPr>
              <w:t>GET /debtors/{id}</w:t>
              <w:br/>
            </w:r>
            <w:r>
              <w:rPr>
                <w:color w:val="1F2937"/>
                <w:sz w:val="17"/>
              </w:rPr>
              <w:t>PATCH /debtors/{id}</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Identity, demographic data, contact preferences, consent state.</w:t>
            </w:r>
          </w:p>
        </w:tc>
      </w:tr>
      <w:tr>
        <w:tc>
          <w:tcPr>
            <w:tcW w:type="dxa" w:w="1512"/>
            <w:vAlign w:val="center"/>
            <w:tcMar>
              <w:top w:w="90" w:type="dxa"/>
              <w:start w:w="90" w:type="dxa"/>
              <w:bottom w:w="90" w:type="dxa"/>
              <w:end w:w="90" w:type="dxa"/>
            </w:tcMar>
          </w:tcPr>
          <w:p>
            <w:pPr>
              <w:spacing w:before="0" w:after="0" w:line="276" w:lineRule="auto"/>
              <w:jc w:val="center"/>
            </w:pPr>
            <w:r>
              <w:rPr>
                <w:color w:val="1F2937"/>
                <w:sz w:val="17"/>
              </w:rPr>
              <w:t>Accounts</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GET /accounts</w:t>
              <w:br/>
            </w:r>
            <w:r>
              <w:rPr>
                <w:color w:val="1F2937"/>
                <w:sz w:val="17"/>
              </w:rPr>
              <w:t>POST /accounts</w:t>
              <w:br/>
            </w:r>
            <w:r>
              <w:rPr>
                <w:color w:val="1F2937"/>
                <w:sz w:val="17"/>
              </w:rPr>
              <w:t>GET /accounts/{id}</w:t>
              <w:br/>
            </w:r>
            <w:r>
              <w:rPr>
                <w:color w:val="1F2937"/>
                <w:sz w:val="17"/>
              </w:rPr>
              <w:t>PATCH /accounts/{id}</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Debt instrument, aging, balance, delinquency stage, ownership.</w:t>
            </w:r>
          </w:p>
        </w:tc>
      </w:tr>
      <w:tr>
        <w:tc>
          <w:tcPr>
            <w:tcW w:type="dxa" w:w="1512"/>
            <w:vAlign w:val="center"/>
            <w:tcMar>
              <w:top w:w="90" w:type="dxa"/>
              <w:start w:w="90" w:type="dxa"/>
              <w:bottom w:w="90" w:type="dxa"/>
              <w:end w:w="90" w:type="dxa"/>
            </w:tcMar>
          </w:tcPr>
          <w:p>
            <w:pPr>
              <w:spacing w:before="0" w:after="0" w:line="276" w:lineRule="auto"/>
              <w:jc w:val="center"/>
            </w:pPr>
            <w:r>
              <w:rPr>
                <w:color w:val="1F2937"/>
                <w:sz w:val="17"/>
              </w:rPr>
              <w:t>Cases</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GET /cases</w:t>
              <w:br/>
            </w:r>
            <w:r>
              <w:rPr>
                <w:color w:val="1F2937"/>
                <w:sz w:val="17"/>
              </w:rPr>
              <w:t>POST /cases</w:t>
              <w:br/>
            </w:r>
            <w:r>
              <w:rPr>
                <w:color w:val="1F2937"/>
                <w:sz w:val="17"/>
              </w:rPr>
              <w:t>PATCH /cases/{id}</w:t>
              <w:br/>
            </w:r>
            <w:r>
              <w:rPr>
                <w:color w:val="1F2937"/>
                <w:sz w:val="17"/>
              </w:rPr>
              <w:t>POST /cases/{id}/assign</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Work objects for agents, escalations, queueing, and manual intervention.</w:t>
            </w:r>
          </w:p>
        </w:tc>
      </w:tr>
      <w:tr>
        <w:tc>
          <w:tcPr>
            <w:tcW w:type="dxa" w:w="1512"/>
            <w:vAlign w:val="center"/>
            <w:tcMar>
              <w:top w:w="90" w:type="dxa"/>
              <w:start w:w="90" w:type="dxa"/>
              <w:bottom w:w="90" w:type="dxa"/>
              <w:end w:w="90" w:type="dxa"/>
            </w:tcMar>
          </w:tcPr>
          <w:p>
            <w:pPr>
              <w:spacing w:before="0" w:after="0" w:line="276" w:lineRule="auto"/>
              <w:jc w:val="center"/>
            </w:pPr>
            <w:r>
              <w:rPr>
                <w:color w:val="1F2937"/>
                <w:sz w:val="17"/>
              </w:rPr>
              <w:t>Payments</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POST /payments</w:t>
              <w:br/>
            </w:r>
            <w:r>
              <w:rPr>
                <w:color w:val="1F2937"/>
                <w:sz w:val="17"/>
              </w:rPr>
              <w:t>GET /payments</w:t>
              <w:br/>
            </w:r>
            <w:r>
              <w:rPr>
                <w:color w:val="1F2937"/>
                <w:sz w:val="17"/>
              </w:rPr>
              <w:t>GET /payments/{id}</w:t>
              <w:br/>
            </w:r>
            <w:r>
              <w:rPr>
                <w:color w:val="1F2937"/>
                <w:sz w:val="17"/>
              </w:rPr>
              <w:t>POST /payments/reconcile</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Capture, reconciliation, settlement, allocation.</w:t>
            </w:r>
          </w:p>
        </w:tc>
      </w:tr>
      <w:tr>
        <w:tc>
          <w:tcPr>
            <w:tcW w:type="dxa" w:w="1512"/>
            <w:vAlign w:val="center"/>
            <w:tcMar>
              <w:top w:w="90" w:type="dxa"/>
              <w:start w:w="90" w:type="dxa"/>
              <w:bottom w:w="90" w:type="dxa"/>
              <w:end w:w="90" w:type="dxa"/>
            </w:tcMar>
          </w:tcPr>
          <w:p>
            <w:pPr>
              <w:spacing w:before="0" w:after="0" w:line="276" w:lineRule="auto"/>
              <w:jc w:val="center"/>
            </w:pPr>
            <w:r>
              <w:rPr>
                <w:color w:val="1F2937"/>
                <w:sz w:val="17"/>
              </w:rPr>
              <w:t>Promises</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POST /promises</w:t>
              <w:br/>
            </w:r>
            <w:r>
              <w:rPr>
                <w:color w:val="1F2937"/>
                <w:sz w:val="17"/>
              </w:rPr>
              <w:t>GET /promises</w:t>
              <w:br/>
            </w:r>
            <w:r>
              <w:rPr>
                <w:color w:val="1F2937"/>
                <w:sz w:val="17"/>
              </w:rPr>
              <w:t>PATCH /promises/{id}</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Promise-to-pay lifecycle and breach detection.</w:t>
            </w:r>
          </w:p>
        </w:tc>
      </w:tr>
      <w:tr>
        <w:tc>
          <w:tcPr>
            <w:tcW w:type="dxa" w:w="1512"/>
            <w:vAlign w:val="center"/>
            <w:tcMar>
              <w:top w:w="90" w:type="dxa"/>
              <w:start w:w="90" w:type="dxa"/>
              <w:bottom w:w="90" w:type="dxa"/>
              <w:end w:w="90" w:type="dxa"/>
            </w:tcMar>
          </w:tcPr>
          <w:p>
            <w:pPr>
              <w:spacing w:before="0" w:after="0" w:line="276" w:lineRule="auto"/>
              <w:jc w:val="center"/>
            </w:pPr>
            <w:r>
              <w:rPr>
                <w:color w:val="1F2937"/>
                <w:sz w:val="17"/>
              </w:rPr>
              <w:t>Communications</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POST /communications/send</w:t>
              <w:br/>
            </w:r>
            <w:r>
              <w:rPr>
                <w:color w:val="1F2937"/>
                <w:sz w:val="17"/>
              </w:rPr>
              <w:t>GET /communications</w:t>
              <w:br/>
            </w:r>
            <w:r>
              <w:rPr>
                <w:color w:val="1F2937"/>
                <w:sz w:val="17"/>
              </w:rPr>
              <w:t>GET /communications/{id}</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Outbound messaging and message history.</w:t>
            </w:r>
          </w:p>
        </w:tc>
      </w:tr>
      <w:tr>
        <w:tc>
          <w:tcPr>
            <w:tcW w:type="dxa" w:w="1512"/>
            <w:vAlign w:val="center"/>
            <w:tcMar>
              <w:top w:w="90" w:type="dxa"/>
              <w:start w:w="90" w:type="dxa"/>
              <w:bottom w:w="90" w:type="dxa"/>
              <w:end w:w="90" w:type="dxa"/>
            </w:tcMar>
          </w:tcPr>
          <w:p>
            <w:pPr>
              <w:spacing w:before="0" w:after="0" w:line="276" w:lineRule="auto"/>
              <w:jc w:val="center"/>
            </w:pPr>
            <w:r>
              <w:rPr>
                <w:color w:val="1F2937"/>
                <w:sz w:val="17"/>
              </w:rPr>
              <w:t>Workflows</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GET /workflows</w:t>
              <w:br/>
            </w:r>
            <w:r>
              <w:rPr>
                <w:color w:val="1F2937"/>
                <w:sz w:val="17"/>
              </w:rPr>
              <w:t>POST /workflows</w:t>
              <w:br/>
            </w:r>
            <w:r>
              <w:rPr>
                <w:color w:val="1F2937"/>
                <w:sz w:val="17"/>
              </w:rPr>
              <w:t>PATCH /workflows/{id}</w:t>
              <w:br/>
            </w:r>
            <w:r>
              <w:rPr>
                <w:color w:val="1F2937"/>
                <w:sz w:val="17"/>
              </w:rPr>
              <w:t>POST /workflows/{id}/publish</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Strategy definitions, versioning, rollout.</w:t>
            </w:r>
          </w:p>
        </w:tc>
      </w:tr>
      <w:tr>
        <w:tc>
          <w:tcPr>
            <w:tcW w:type="dxa" w:w="1512"/>
            <w:vAlign w:val="center"/>
            <w:tcMar>
              <w:top w:w="90" w:type="dxa"/>
              <w:start w:w="90" w:type="dxa"/>
              <w:bottom w:w="90" w:type="dxa"/>
              <w:end w:w="90" w:type="dxa"/>
            </w:tcMar>
          </w:tcPr>
          <w:p>
            <w:pPr>
              <w:spacing w:before="0" w:after="0" w:line="276" w:lineRule="auto"/>
              <w:jc w:val="center"/>
            </w:pPr>
            <w:r>
              <w:rPr>
                <w:color w:val="1F2937"/>
                <w:sz w:val="17"/>
              </w:rPr>
              <w:t>Events</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GET /events</w:t>
              <w:br/>
            </w:r>
            <w:r>
              <w:rPr>
                <w:color w:val="1F2937"/>
                <w:sz w:val="17"/>
              </w:rPr>
              <w:t>POST /events/ingest</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Operational events and external event ingestion.</w:t>
            </w:r>
          </w:p>
        </w:tc>
      </w:tr>
      <w:tr>
        <w:tc>
          <w:tcPr>
            <w:tcW w:type="dxa" w:w="1512"/>
            <w:vAlign w:val="center"/>
            <w:tcMar>
              <w:top w:w="90" w:type="dxa"/>
              <w:start w:w="90" w:type="dxa"/>
              <w:bottom w:w="90" w:type="dxa"/>
              <w:end w:w="90" w:type="dxa"/>
            </w:tcMar>
          </w:tcPr>
          <w:p>
            <w:pPr>
              <w:spacing w:before="0" w:after="0" w:line="276" w:lineRule="auto"/>
              <w:jc w:val="center"/>
            </w:pPr>
            <w:r>
              <w:rPr>
                <w:color w:val="1F2937"/>
                <w:sz w:val="17"/>
              </w:rPr>
              <w:t>Reports</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GET /reports/recovery</w:t>
              <w:br/>
            </w:r>
            <w:r>
              <w:rPr>
                <w:color w:val="1F2937"/>
                <w:sz w:val="17"/>
              </w:rPr>
              <w:t>GET /reports/agents</w:t>
              <w:br/>
            </w:r>
            <w:r>
              <w:rPr>
                <w:color w:val="1F2937"/>
                <w:sz w:val="17"/>
              </w:rPr>
              <w:t>GET /reports/strategy</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Operational and management dashboards.</w:t>
            </w:r>
          </w:p>
        </w:tc>
      </w:tr>
    </w:tbl>
    <w:p/>
    <w:p>
      <w:pPr>
        <w:pStyle w:val="Heading2"/>
        <w:spacing w:before="60" w:after="40" w:line="276" w:lineRule="auto"/>
      </w:pPr>
      <w:r>
        <w:t>2.3 Detailed Endpoint Contracts</w:t>
      </w:r>
    </w:p>
    <w:tbl>
      <w:tblPr>
        <w:tblStyle w:val="TableGrid"/>
        <w:tblW w:type="auto" w:w="0"/>
        <w:jc w:val="center"/>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2493"/>
        <w:gridCol w:w="2493"/>
        <w:gridCol w:w="2493"/>
        <w:gridCol w:w="2493"/>
      </w:tblGrid>
      <w:tr>
        <w:tc>
          <w:tcPr>
            <w:tcW w:type="dxa" w:w="2088"/>
            <w:vAlign w:val="center"/>
            <w:shd w:fill="1F4E79"/>
            <w:tcMar>
              <w:top w:w="90" w:type="dxa"/>
              <w:start w:w="90" w:type="dxa"/>
              <w:bottom w:w="90" w:type="dxa"/>
              <w:end w:w="90" w:type="dxa"/>
            </w:tcMar>
          </w:tcPr>
          <w:p>
            <w:pPr>
              <w:jc w:val="center"/>
            </w:pPr>
            <w:r>
              <w:rPr>
                <w:b/>
                <w:color w:val="FFFFFF"/>
                <w:sz w:val="18"/>
              </w:rPr>
              <w:t>Endpoint</w:t>
            </w:r>
          </w:p>
        </w:tc>
        <w:tc>
          <w:tcPr>
            <w:tcW w:type="dxa" w:w="2592"/>
            <w:vAlign w:val="center"/>
            <w:shd w:fill="1F4E79"/>
            <w:tcMar>
              <w:top w:w="90" w:type="dxa"/>
              <w:start w:w="90" w:type="dxa"/>
              <w:bottom w:w="90" w:type="dxa"/>
              <w:end w:w="90" w:type="dxa"/>
            </w:tcMar>
          </w:tcPr>
          <w:p>
            <w:pPr>
              <w:jc w:val="center"/>
            </w:pPr>
            <w:r>
              <w:rPr>
                <w:b/>
                <w:color w:val="FFFFFF"/>
                <w:sz w:val="18"/>
              </w:rPr>
              <w:t>Intent</w:t>
            </w:r>
          </w:p>
        </w:tc>
        <w:tc>
          <w:tcPr>
            <w:tcW w:type="dxa" w:w="3888"/>
            <w:vAlign w:val="center"/>
            <w:shd w:fill="1F4E79"/>
            <w:tcMar>
              <w:top w:w="90" w:type="dxa"/>
              <w:start w:w="90" w:type="dxa"/>
              <w:bottom w:w="90" w:type="dxa"/>
              <w:end w:w="90" w:type="dxa"/>
            </w:tcMar>
          </w:tcPr>
          <w:p>
            <w:pPr>
              <w:jc w:val="center"/>
            </w:pPr>
            <w:r>
              <w:rPr>
                <w:b/>
                <w:color w:val="FFFFFF"/>
                <w:sz w:val="18"/>
              </w:rPr>
              <w:t>Required Payload</w:t>
            </w:r>
          </w:p>
        </w:tc>
        <w:tc>
          <w:tcPr>
            <w:tcW w:type="dxa" w:w="2088"/>
            <w:vAlign w:val="center"/>
            <w:shd w:fill="1F4E79"/>
            <w:tcMar>
              <w:top w:w="90" w:type="dxa"/>
              <w:start w:w="90" w:type="dxa"/>
              <w:bottom w:w="90" w:type="dxa"/>
              <w:end w:w="90" w:type="dxa"/>
            </w:tcMar>
          </w:tcPr>
          <w:p>
            <w:pPr>
              <w:jc w:val="center"/>
            </w:pPr>
            <w:r>
              <w:rPr>
                <w:b/>
                <w:color w:val="FFFFFF"/>
                <w:sz w:val="18"/>
              </w:rPr>
              <w:t>Response</w:t>
            </w:r>
          </w:p>
        </w:tc>
      </w:tr>
      <w:tr>
        <w:tc>
          <w:tcPr>
            <w:tcW w:type="dxa" w:w="2088"/>
            <w:vAlign w:val="center"/>
            <w:tcMar>
              <w:top w:w="90" w:type="dxa"/>
              <w:start w:w="90" w:type="dxa"/>
              <w:bottom w:w="90" w:type="dxa"/>
              <w:end w:w="90" w:type="dxa"/>
            </w:tcMar>
          </w:tcPr>
          <w:p>
            <w:pPr>
              <w:spacing w:before="0" w:after="0" w:line="276" w:lineRule="auto"/>
              <w:jc w:val="center"/>
            </w:pPr>
            <w:r>
              <w:rPr>
                <w:color w:val="1F2937"/>
                <w:sz w:val="17"/>
              </w:rPr>
              <w:t>POST /accounts</w:t>
            </w:r>
          </w:p>
        </w:tc>
        <w:tc>
          <w:tcPr>
            <w:tcW w:type="dxa" w:w="2592"/>
            <w:vAlign w:val="center"/>
            <w:tcMar>
              <w:top w:w="90" w:type="dxa"/>
              <w:start w:w="90" w:type="dxa"/>
              <w:bottom w:w="90" w:type="dxa"/>
              <w:end w:w="90" w:type="dxa"/>
            </w:tcMar>
          </w:tcPr>
          <w:p>
            <w:pPr>
              <w:spacing w:before="0" w:after="0" w:line="276" w:lineRule="auto"/>
              <w:jc w:val="left"/>
            </w:pPr>
            <w:r>
              <w:rPr>
                <w:color w:val="1F2937"/>
                <w:sz w:val="17"/>
              </w:rPr>
              <w:t>Create or upsert an account record</w:t>
            </w:r>
          </w:p>
        </w:tc>
        <w:tc>
          <w:tcPr>
            <w:tcW w:type="dxa" w:w="3888"/>
            <w:vAlign w:val="center"/>
            <w:tcMar>
              <w:top w:w="90" w:type="dxa"/>
              <w:start w:w="90" w:type="dxa"/>
              <w:bottom w:w="90" w:type="dxa"/>
              <w:end w:w="90" w:type="dxa"/>
            </w:tcMar>
          </w:tcPr>
          <w:p>
            <w:pPr>
              <w:spacing w:before="0" w:after="0" w:line="276" w:lineRule="auto"/>
              <w:jc w:val="left"/>
            </w:pPr>
            <w:r>
              <w:rPr>
                <w:color w:val="1F2937"/>
                <w:sz w:val="17"/>
              </w:rPr>
              <w:t>debtor_id, external_ref, product_type, principal_balance, due_date, status</w:t>
            </w:r>
          </w:p>
        </w:tc>
        <w:tc>
          <w:tcPr>
            <w:tcW w:type="dxa" w:w="2088"/>
            <w:vAlign w:val="center"/>
            <w:tcMar>
              <w:top w:w="90" w:type="dxa"/>
              <w:start w:w="90" w:type="dxa"/>
              <w:bottom w:w="90" w:type="dxa"/>
              <w:end w:w="90" w:type="dxa"/>
            </w:tcMar>
          </w:tcPr>
          <w:p>
            <w:pPr>
              <w:spacing w:before="0" w:after="0" w:line="276" w:lineRule="auto"/>
              <w:jc w:val="left"/>
            </w:pPr>
            <w:r>
              <w:rPr>
                <w:color w:val="1F2937"/>
                <w:sz w:val="17"/>
              </w:rPr>
              <w:t>201 Created with canonical account id and version</w:t>
            </w:r>
          </w:p>
        </w:tc>
      </w:tr>
      <w:tr>
        <w:tc>
          <w:tcPr>
            <w:tcW w:type="dxa" w:w="2088"/>
            <w:vAlign w:val="center"/>
            <w:tcMar>
              <w:top w:w="90" w:type="dxa"/>
              <w:start w:w="90" w:type="dxa"/>
              <w:bottom w:w="90" w:type="dxa"/>
              <w:end w:w="90" w:type="dxa"/>
            </w:tcMar>
          </w:tcPr>
          <w:p>
            <w:pPr>
              <w:spacing w:before="0" w:after="0" w:line="276" w:lineRule="auto"/>
              <w:jc w:val="left"/>
            </w:pPr>
            <w:r>
              <w:rPr>
                <w:color w:val="1F2937"/>
                <w:sz w:val="17"/>
              </w:rPr>
              <w:t>POST /events/ingest</w:t>
            </w:r>
          </w:p>
        </w:tc>
        <w:tc>
          <w:tcPr>
            <w:tcW w:type="dxa" w:w="2592"/>
            <w:vAlign w:val="center"/>
            <w:tcMar>
              <w:top w:w="90" w:type="dxa"/>
              <w:start w:w="90" w:type="dxa"/>
              <w:bottom w:w="90" w:type="dxa"/>
              <w:end w:w="90" w:type="dxa"/>
            </w:tcMar>
          </w:tcPr>
          <w:p>
            <w:pPr>
              <w:spacing w:before="0" w:after="0" w:line="276" w:lineRule="auto"/>
              <w:jc w:val="left"/>
            </w:pPr>
            <w:r>
              <w:rPr>
                <w:color w:val="1F2937"/>
                <w:sz w:val="17"/>
              </w:rPr>
              <w:t>Push external delinquency or payment events</w:t>
            </w:r>
          </w:p>
        </w:tc>
        <w:tc>
          <w:tcPr>
            <w:tcW w:type="dxa" w:w="3888"/>
            <w:vAlign w:val="center"/>
            <w:tcMar>
              <w:top w:w="90" w:type="dxa"/>
              <w:start w:w="90" w:type="dxa"/>
              <w:bottom w:w="90" w:type="dxa"/>
              <w:end w:w="90" w:type="dxa"/>
            </w:tcMar>
          </w:tcPr>
          <w:p>
            <w:pPr>
              <w:spacing w:before="0" w:after="0" w:line="276" w:lineRule="auto"/>
              <w:jc w:val="left"/>
            </w:pPr>
            <w:r>
              <w:rPr>
                <w:color w:val="1F2937"/>
                <w:sz w:val="17"/>
              </w:rPr>
              <w:t>event_type, account_ref, event_time, payload, idempotency_key</w:t>
            </w:r>
          </w:p>
        </w:tc>
        <w:tc>
          <w:tcPr>
            <w:tcW w:type="dxa" w:w="2088"/>
            <w:vAlign w:val="center"/>
            <w:tcMar>
              <w:top w:w="90" w:type="dxa"/>
              <w:start w:w="90" w:type="dxa"/>
              <w:bottom w:w="90" w:type="dxa"/>
              <w:end w:w="90" w:type="dxa"/>
            </w:tcMar>
          </w:tcPr>
          <w:p>
            <w:pPr>
              <w:spacing w:before="0" w:after="0" w:line="276" w:lineRule="auto"/>
              <w:jc w:val="left"/>
            </w:pPr>
            <w:r>
              <w:rPr>
                <w:color w:val="1F2937"/>
                <w:sz w:val="17"/>
              </w:rPr>
              <w:t>202 Accepted with processing status</w:t>
            </w:r>
          </w:p>
        </w:tc>
      </w:tr>
      <w:tr>
        <w:tc>
          <w:tcPr>
            <w:tcW w:type="dxa" w:w="2088"/>
            <w:vAlign w:val="center"/>
            <w:tcMar>
              <w:top w:w="90" w:type="dxa"/>
              <w:start w:w="90" w:type="dxa"/>
              <w:bottom w:w="90" w:type="dxa"/>
              <w:end w:w="90" w:type="dxa"/>
            </w:tcMar>
          </w:tcPr>
          <w:p>
            <w:pPr>
              <w:spacing w:before="0" w:after="0" w:line="276" w:lineRule="auto"/>
              <w:jc w:val="left"/>
            </w:pPr>
            <w:r>
              <w:rPr>
                <w:color w:val="1F2937"/>
                <w:sz w:val="17"/>
              </w:rPr>
              <w:t>POST /communications/send</w:t>
            </w:r>
          </w:p>
        </w:tc>
        <w:tc>
          <w:tcPr>
            <w:tcW w:type="dxa" w:w="2592"/>
            <w:vAlign w:val="center"/>
            <w:tcMar>
              <w:top w:w="90" w:type="dxa"/>
              <w:start w:w="90" w:type="dxa"/>
              <w:bottom w:w="90" w:type="dxa"/>
              <w:end w:w="90" w:type="dxa"/>
            </w:tcMar>
          </w:tcPr>
          <w:p>
            <w:pPr>
              <w:spacing w:before="0" w:after="0" w:line="276" w:lineRule="auto"/>
              <w:jc w:val="left"/>
            </w:pPr>
            <w:r>
              <w:rPr>
                <w:color w:val="1F2937"/>
                <w:sz w:val="17"/>
              </w:rPr>
              <w:t>Queue a message or dialer action</w:t>
            </w:r>
          </w:p>
        </w:tc>
        <w:tc>
          <w:tcPr>
            <w:tcW w:type="dxa" w:w="3888"/>
            <w:vAlign w:val="center"/>
            <w:tcMar>
              <w:top w:w="90" w:type="dxa"/>
              <w:start w:w="90" w:type="dxa"/>
              <w:bottom w:w="90" w:type="dxa"/>
              <w:end w:w="90" w:type="dxa"/>
            </w:tcMar>
          </w:tcPr>
          <w:p>
            <w:pPr>
              <w:spacing w:before="0" w:after="0" w:line="276" w:lineRule="auto"/>
              <w:jc w:val="left"/>
            </w:pPr>
            <w:r>
              <w:rPr>
                <w:color w:val="1F2937"/>
                <w:sz w:val="17"/>
              </w:rPr>
              <w:t>case_id or account_id, channel, template_id or message_body, scheduled_at</w:t>
            </w:r>
          </w:p>
        </w:tc>
        <w:tc>
          <w:tcPr>
            <w:tcW w:type="dxa" w:w="2088"/>
            <w:vAlign w:val="center"/>
            <w:tcMar>
              <w:top w:w="90" w:type="dxa"/>
              <w:start w:w="90" w:type="dxa"/>
              <w:bottom w:w="90" w:type="dxa"/>
              <w:end w:w="90" w:type="dxa"/>
            </w:tcMar>
          </w:tcPr>
          <w:p>
            <w:pPr>
              <w:spacing w:before="0" w:after="0" w:line="276" w:lineRule="auto"/>
              <w:jc w:val="left"/>
            </w:pPr>
            <w:r>
              <w:rPr>
                <w:color w:val="1F2937"/>
                <w:sz w:val="17"/>
              </w:rPr>
              <w:t>202 Accepted with communication job id</w:t>
            </w:r>
          </w:p>
        </w:tc>
      </w:tr>
      <w:tr>
        <w:tc>
          <w:tcPr>
            <w:tcW w:type="dxa" w:w="2088"/>
            <w:vAlign w:val="center"/>
            <w:tcMar>
              <w:top w:w="90" w:type="dxa"/>
              <w:start w:w="90" w:type="dxa"/>
              <w:bottom w:w="90" w:type="dxa"/>
              <w:end w:w="90" w:type="dxa"/>
            </w:tcMar>
          </w:tcPr>
          <w:p>
            <w:pPr>
              <w:spacing w:before="0" w:after="0" w:line="276" w:lineRule="auto"/>
              <w:jc w:val="center"/>
            </w:pPr>
            <w:r>
              <w:rPr>
                <w:color w:val="1F2937"/>
                <w:sz w:val="17"/>
              </w:rPr>
              <w:t>POST /payments</w:t>
            </w:r>
          </w:p>
        </w:tc>
        <w:tc>
          <w:tcPr>
            <w:tcW w:type="dxa" w:w="2592"/>
            <w:vAlign w:val="center"/>
            <w:tcMar>
              <w:top w:w="90" w:type="dxa"/>
              <w:start w:w="90" w:type="dxa"/>
              <w:bottom w:w="90" w:type="dxa"/>
              <w:end w:w="90" w:type="dxa"/>
            </w:tcMar>
          </w:tcPr>
          <w:p>
            <w:pPr>
              <w:spacing w:before="0" w:after="0" w:line="276" w:lineRule="auto"/>
              <w:jc w:val="left"/>
            </w:pPr>
            <w:r>
              <w:rPr>
                <w:color w:val="1F2937"/>
                <w:sz w:val="17"/>
              </w:rPr>
              <w:t>Record payment capture</w:t>
            </w:r>
          </w:p>
        </w:tc>
        <w:tc>
          <w:tcPr>
            <w:tcW w:type="dxa" w:w="3888"/>
            <w:vAlign w:val="center"/>
            <w:tcMar>
              <w:top w:w="90" w:type="dxa"/>
              <w:start w:w="90" w:type="dxa"/>
              <w:bottom w:w="90" w:type="dxa"/>
              <w:end w:w="90" w:type="dxa"/>
            </w:tcMar>
          </w:tcPr>
          <w:p>
            <w:pPr>
              <w:spacing w:before="0" w:after="0" w:line="276" w:lineRule="auto"/>
              <w:jc w:val="left"/>
            </w:pPr>
            <w:r>
              <w:rPr>
                <w:color w:val="1F2937"/>
                <w:sz w:val="17"/>
              </w:rPr>
              <w:t>account_id, amount, currency, payment_time, source, transaction_ref</w:t>
            </w:r>
          </w:p>
        </w:tc>
        <w:tc>
          <w:tcPr>
            <w:tcW w:type="dxa" w:w="2088"/>
            <w:vAlign w:val="center"/>
            <w:tcMar>
              <w:top w:w="90" w:type="dxa"/>
              <w:start w:w="90" w:type="dxa"/>
              <w:bottom w:w="90" w:type="dxa"/>
              <w:end w:w="90" w:type="dxa"/>
            </w:tcMar>
          </w:tcPr>
          <w:p>
            <w:pPr>
              <w:spacing w:before="0" w:after="0" w:line="276" w:lineRule="auto"/>
              <w:jc w:val="left"/>
            </w:pPr>
            <w:r>
              <w:rPr>
                <w:color w:val="1F2937"/>
                <w:sz w:val="17"/>
              </w:rPr>
              <w:t>201 Created with allocation summary</w:t>
            </w:r>
          </w:p>
        </w:tc>
      </w:tr>
      <w:tr>
        <w:tc>
          <w:tcPr>
            <w:tcW w:type="dxa" w:w="2088"/>
            <w:vAlign w:val="center"/>
            <w:tcMar>
              <w:top w:w="90" w:type="dxa"/>
              <w:start w:w="90" w:type="dxa"/>
              <w:bottom w:w="90" w:type="dxa"/>
              <w:end w:w="90" w:type="dxa"/>
            </w:tcMar>
          </w:tcPr>
          <w:p>
            <w:pPr>
              <w:spacing w:before="0" w:after="0" w:line="276" w:lineRule="auto"/>
              <w:jc w:val="center"/>
            </w:pPr>
            <w:r>
              <w:rPr>
                <w:color w:val="1F2937"/>
                <w:sz w:val="17"/>
              </w:rPr>
              <w:t>POST /promises</w:t>
            </w:r>
          </w:p>
        </w:tc>
        <w:tc>
          <w:tcPr>
            <w:tcW w:type="dxa" w:w="2592"/>
            <w:vAlign w:val="center"/>
            <w:tcMar>
              <w:top w:w="90" w:type="dxa"/>
              <w:start w:w="90" w:type="dxa"/>
              <w:bottom w:w="90" w:type="dxa"/>
              <w:end w:w="90" w:type="dxa"/>
            </w:tcMar>
          </w:tcPr>
          <w:p>
            <w:pPr>
              <w:spacing w:before="0" w:after="0" w:line="276" w:lineRule="auto"/>
              <w:jc w:val="left"/>
            </w:pPr>
            <w:r>
              <w:rPr>
                <w:color w:val="1F2937"/>
                <w:sz w:val="17"/>
              </w:rPr>
              <w:t>Record promise to pay</w:t>
            </w:r>
          </w:p>
        </w:tc>
        <w:tc>
          <w:tcPr>
            <w:tcW w:type="dxa" w:w="3888"/>
            <w:vAlign w:val="center"/>
            <w:tcMar>
              <w:top w:w="90" w:type="dxa"/>
              <w:start w:w="90" w:type="dxa"/>
              <w:bottom w:w="90" w:type="dxa"/>
              <w:end w:w="90" w:type="dxa"/>
            </w:tcMar>
          </w:tcPr>
          <w:p>
            <w:pPr>
              <w:spacing w:before="0" w:after="0" w:line="276" w:lineRule="auto"/>
              <w:jc w:val="left"/>
            </w:pPr>
            <w:r>
              <w:rPr>
                <w:color w:val="1F2937"/>
                <w:sz w:val="17"/>
              </w:rPr>
              <w:t>account_id, promised_amount, promised_date, channel, recorder</w:t>
            </w:r>
          </w:p>
        </w:tc>
        <w:tc>
          <w:tcPr>
            <w:tcW w:type="dxa" w:w="2088"/>
            <w:vAlign w:val="center"/>
            <w:tcMar>
              <w:top w:w="90" w:type="dxa"/>
              <w:start w:w="90" w:type="dxa"/>
              <w:bottom w:w="90" w:type="dxa"/>
              <w:end w:w="90" w:type="dxa"/>
            </w:tcMar>
          </w:tcPr>
          <w:p>
            <w:pPr>
              <w:spacing w:before="0" w:after="0" w:line="276" w:lineRule="auto"/>
              <w:jc w:val="left"/>
            </w:pPr>
            <w:r>
              <w:rPr>
                <w:color w:val="1F2937"/>
                <w:sz w:val="17"/>
              </w:rPr>
              <w:t>201 Created with monitoring schedule</w:t>
            </w:r>
          </w:p>
        </w:tc>
      </w:tr>
      <w:tr>
        <w:tc>
          <w:tcPr>
            <w:tcW w:type="dxa" w:w="2088"/>
            <w:vAlign w:val="center"/>
            <w:tcMar>
              <w:top w:w="90" w:type="dxa"/>
              <w:start w:w="90" w:type="dxa"/>
              <w:bottom w:w="90" w:type="dxa"/>
              <w:end w:w="90" w:type="dxa"/>
            </w:tcMar>
          </w:tcPr>
          <w:p>
            <w:pPr>
              <w:spacing w:before="0" w:after="0" w:line="276" w:lineRule="auto"/>
              <w:jc w:val="left"/>
            </w:pPr>
            <w:r>
              <w:rPr>
                <w:color w:val="1F2937"/>
                <w:sz w:val="17"/>
              </w:rPr>
              <w:t>POST /workflows/{id}/publish</w:t>
            </w:r>
          </w:p>
        </w:tc>
        <w:tc>
          <w:tcPr>
            <w:tcW w:type="dxa" w:w="2592"/>
            <w:vAlign w:val="center"/>
            <w:tcMar>
              <w:top w:w="90" w:type="dxa"/>
              <w:start w:w="90" w:type="dxa"/>
              <w:bottom w:w="90" w:type="dxa"/>
              <w:end w:w="90" w:type="dxa"/>
            </w:tcMar>
          </w:tcPr>
          <w:p>
            <w:pPr>
              <w:spacing w:before="0" w:after="0" w:line="276" w:lineRule="auto"/>
              <w:jc w:val="left"/>
            </w:pPr>
            <w:r>
              <w:rPr>
                <w:color w:val="1F2937"/>
                <w:sz w:val="17"/>
              </w:rPr>
              <w:t>Promote draft workflow version</w:t>
            </w:r>
          </w:p>
        </w:tc>
        <w:tc>
          <w:tcPr>
            <w:tcW w:type="dxa" w:w="3888"/>
            <w:vAlign w:val="center"/>
            <w:tcMar>
              <w:top w:w="90" w:type="dxa"/>
              <w:start w:w="90" w:type="dxa"/>
              <w:bottom w:w="90" w:type="dxa"/>
              <w:end w:w="90" w:type="dxa"/>
            </w:tcMar>
          </w:tcPr>
          <w:p>
            <w:pPr>
              <w:spacing w:before="0" w:after="0" w:line="276" w:lineRule="auto"/>
              <w:jc w:val="left"/>
            </w:pPr>
            <w:r>
              <w:rPr>
                <w:color w:val="1F2937"/>
                <w:sz w:val="17"/>
              </w:rPr>
              <w:t>effective_from, approval_ref, notes</w:t>
            </w:r>
          </w:p>
        </w:tc>
        <w:tc>
          <w:tcPr>
            <w:tcW w:type="dxa" w:w="2088"/>
            <w:vAlign w:val="center"/>
            <w:tcMar>
              <w:top w:w="90" w:type="dxa"/>
              <w:start w:w="90" w:type="dxa"/>
              <w:bottom w:w="90" w:type="dxa"/>
              <w:end w:w="90" w:type="dxa"/>
            </w:tcMar>
          </w:tcPr>
          <w:p>
            <w:pPr>
              <w:spacing w:before="0" w:after="0" w:line="276" w:lineRule="auto"/>
              <w:jc w:val="left"/>
            </w:pPr>
            <w:r>
              <w:rPr>
                <w:color w:val="1F2937"/>
                <w:sz w:val="17"/>
              </w:rPr>
              <w:t>200 OK with active version metadata</w:t>
            </w:r>
          </w:p>
        </w:tc>
      </w:tr>
    </w:tbl>
    <w:p/>
    <w:p>
      <w:pPr>
        <w:pStyle w:val="Heading2"/>
        <w:spacing w:before="60" w:after="40" w:line="276" w:lineRule="auto"/>
      </w:pPr>
      <w:r>
        <w:t>2.4 Example API Payloads</w:t>
      </w:r>
    </w:p>
    <w:p>
      <w:pPr>
        <w:spacing w:before="0" w:after="80" w:line="288" w:lineRule="auto"/>
      </w:pPr>
      <w:r>
        <w:t>Example: create debt account</w:t>
      </w:r>
    </w:p>
    <w:tbl>
      <w:tblPr>
        <w:tblW w:type="auto" w:w="0"/>
        <w:jc w:val="center"/>
        <w:tblLook w:firstColumn="1" w:firstRow="1" w:lastColumn="0" w:lastRow="0" w:noHBand="0" w:noVBand="1" w:val="04A0"/>
        <w:tblBorders>
          <w:top w:val="single" w:sz="6" w:space="0" w:color="D7DFEA"/>
          <w:left w:val="single" w:sz="6" w:space="0" w:color="D7DFEA"/>
          <w:bottom w:val="single" w:sz="6" w:space="0" w:color="D7DFEA"/>
          <w:right w:val="single" w:sz="6" w:space="0" w:color="D7DFEA"/>
          <w:insideH w:val="single" w:sz="6" w:space="0" w:color="D7DFEA"/>
          <w:insideV w:val="single" w:sz="6" w:space="0" w:color="D7DFEA"/>
        </w:tblBorders>
      </w:tblPr>
      <w:tblGrid>
        <w:gridCol w:w="9972"/>
      </w:tblGrid>
      <w:tr>
        <w:tc>
          <w:tcPr>
            <w:tcW w:type="dxa" w:w="9972"/>
            <w:shd w:fill="F8FAFC"/>
            <w:tcMar>
              <w:top w:w="120" w:type="dxa"/>
              <w:start w:w="120" w:type="dxa"/>
              <w:bottom w:w="120" w:type="dxa"/>
              <w:end w:w="120" w:type="dxa"/>
            </w:tcMar>
          </w:tcPr>
          <w:p>
            <w:pPr>
              <w:spacing w:before="0" w:after="0" w:line="252" w:lineRule="auto"/>
            </w:pPr>
            <w:r>
              <w:rPr>
                <w:rFonts w:ascii="Courier New" w:hAnsi="Courier New"/>
                <w:sz w:val="17"/>
              </w:rPr>
              <w:t>POST /api/v1/accounts</w:t>
              <w:br/>
            </w:r>
            <w:r>
              <w:rPr>
                <w:rFonts w:ascii="Courier New" w:hAnsi="Courier New"/>
                <w:sz w:val="17"/>
              </w:rPr>
              <w:t>{</w:t>
              <w:br/>
            </w:r>
            <w:r>
              <w:rPr>
                <w:rFonts w:ascii="Courier New" w:hAnsi="Courier New"/>
                <w:sz w:val="17"/>
              </w:rPr>
              <w:t xml:space="preserve">  "debtor_id": "deb_01H...",</w:t>
              <w:br/>
            </w:r>
            <w:r>
              <w:rPr>
                <w:rFonts w:ascii="Courier New" w:hAnsi="Courier New"/>
                <w:sz w:val="17"/>
              </w:rPr>
              <w:t xml:space="preserve">  "external_ref": "LN-458820",</w:t>
              <w:br/>
            </w:r>
            <w:r>
              <w:rPr>
                <w:rFonts w:ascii="Courier New" w:hAnsi="Courier New"/>
                <w:sz w:val="17"/>
              </w:rPr>
              <w:t xml:space="preserve">  "product_type": "personal_loan",</w:t>
              <w:br/>
            </w:r>
            <w:r>
              <w:rPr>
                <w:rFonts w:ascii="Courier New" w:hAnsi="Courier New"/>
                <w:sz w:val="17"/>
              </w:rPr>
              <w:t xml:space="preserve">  "principal_balance": 1250.00,</w:t>
              <w:br/>
            </w:r>
            <w:r>
              <w:rPr>
                <w:rFonts w:ascii="Courier New" w:hAnsi="Courier New"/>
                <w:sz w:val="17"/>
              </w:rPr>
              <w:t xml:space="preserve">  "fees_balance": 35.00,</w:t>
              <w:br/>
            </w:r>
            <w:r>
              <w:rPr>
                <w:rFonts w:ascii="Courier New" w:hAnsi="Courier New"/>
                <w:sz w:val="17"/>
              </w:rPr>
              <w:t xml:space="preserve">  "currency": "USD",</w:t>
              <w:br/>
            </w:r>
            <w:r>
              <w:rPr>
                <w:rFonts w:ascii="Courier New" w:hAnsi="Courier New"/>
                <w:sz w:val="17"/>
              </w:rPr>
              <w:t xml:space="preserve">  "days_past_due": 12,</w:t>
              <w:br/>
            </w:r>
            <w:r>
              <w:rPr>
                <w:rFonts w:ascii="Courier New" w:hAnsi="Courier New"/>
                <w:sz w:val="17"/>
              </w:rPr>
              <w:t xml:space="preserve">  "due_date": "2026-03-05",</w:t>
              <w:br/>
            </w:r>
            <w:r>
              <w:rPr>
                <w:rFonts w:ascii="Courier New" w:hAnsi="Courier New"/>
                <w:sz w:val="17"/>
              </w:rPr>
              <w:t xml:space="preserve">  "status": "delinquent",</w:t>
              <w:br/>
            </w:r>
            <w:r>
              <w:rPr>
                <w:rFonts w:ascii="Courier New" w:hAnsi="Courier New"/>
                <w:sz w:val="17"/>
              </w:rPr>
              <w:t xml:space="preserve">  "portfolio_code": "retail_unsecured"</w:t>
              <w:br/>
            </w:r>
            <w:r>
              <w:rPr>
                <w:rFonts w:ascii="Courier New" w:hAnsi="Courier New"/>
                <w:sz w:val="17"/>
              </w:rPr>
              <w:t>}</w:t>
            </w:r>
          </w:p>
        </w:tc>
      </w:tr>
    </w:tbl>
    <w:p/>
    <w:p>
      <w:pPr>
        <w:spacing w:before="0" w:after="80" w:line="288" w:lineRule="auto"/>
      </w:pPr>
      <w:r>
        <w:t>Example: communication dispatch request</w:t>
      </w:r>
    </w:p>
    <w:tbl>
      <w:tblPr>
        <w:tblW w:type="auto" w:w="0"/>
        <w:jc w:val="center"/>
        <w:tblLook w:firstColumn="1" w:firstRow="1" w:lastColumn="0" w:lastRow="0" w:noHBand="0" w:noVBand="1" w:val="04A0"/>
        <w:tblBorders>
          <w:top w:val="single" w:sz="6" w:space="0" w:color="D7DFEA"/>
          <w:left w:val="single" w:sz="6" w:space="0" w:color="D7DFEA"/>
          <w:bottom w:val="single" w:sz="6" w:space="0" w:color="D7DFEA"/>
          <w:right w:val="single" w:sz="6" w:space="0" w:color="D7DFEA"/>
          <w:insideH w:val="single" w:sz="6" w:space="0" w:color="D7DFEA"/>
          <w:insideV w:val="single" w:sz="6" w:space="0" w:color="D7DFEA"/>
        </w:tblBorders>
      </w:tblPr>
      <w:tblGrid>
        <w:gridCol w:w="9972"/>
      </w:tblGrid>
      <w:tr>
        <w:tc>
          <w:tcPr>
            <w:tcW w:type="dxa" w:w="9972"/>
            <w:shd w:fill="F8FAFC"/>
            <w:tcMar>
              <w:top w:w="120" w:type="dxa"/>
              <w:start w:w="120" w:type="dxa"/>
              <w:bottom w:w="120" w:type="dxa"/>
              <w:end w:w="120" w:type="dxa"/>
            </w:tcMar>
          </w:tcPr>
          <w:p>
            <w:pPr>
              <w:spacing w:before="0" w:after="0" w:line="252" w:lineRule="auto"/>
            </w:pPr>
            <w:r>
              <w:rPr>
                <w:rFonts w:ascii="Courier New" w:hAnsi="Courier New"/>
                <w:sz w:val="17"/>
              </w:rPr>
              <w:t>POST /api/v1/communications/send</w:t>
              <w:br/>
            </w:r>
            <w:r>
              <w:rPr>
                <w:rFonts w:ascii="Courier New" w:hAnsi="Courier New"/>
                <w:sz w:val="17"/>
              </w:rPr>
              <w:t>{</w:t>
              <w:br/>
            </w:r>
            <w:r>
              <w:rPr>
                <w:rFonts w:ascii="Courier New" w:hAnsi="Courier New"/>
                <w:sz w:val="17"/>
              </w:rPr>
              <w:t xml:space="preserve">  "account_id": "acc_01H...",</w:t>
              <w:br/>
            </w:r>
            <w:r>
              <w:rPr>
                <w:rFonts w:ascii="Courier New" w:hAnsi="Courier New"/>
                <w:sz w:val="17"/>
              </w:rPr>
              <w:t xml:space="preserve">  "channel": "sms",</w:t>
              <w:br/>
            </w:r>
            <w:r>
              <w:rPr>
                <w:rFonts w:ascii="Courier New" w:hAnsi="Courier New"/>
                <w:sz w:val="17"/>
              </w:rPr>
              <w:t xml:space="preserve">  "template_id": "tpl_due_notice_v3",</w:t>
              <w:br/>
            </w:r>
            <w:r>
              <w:rPr>
                <w:rFonts w:ascii="Courier New" w:hAnsi="Courier New"/>
                <w:sz w:val="17"/>
              </w:rPr>
              <w:t xml:space="preserve">  "scheduled_at": "2026-03-19T09:30:00Z",</w:t>
              <w:br/>
            </w:r>
            <w:r>
              <w:rPr>
                <w:rFonts w:ascii="Courier New" w:hAnsi="Courier New"/>
                <w:sz w:val="17"/>
              </w:rPr>
              <w:t xml:space="preserve">  "metadata": {</w:t>
              <w:br/>
            </w:r>
            <w:r>
              <w:rPr>
                <w:rFonts w:ascii="Courier New" w:hAnsi="Courier New"/>
                <w:sz w:val="17"/>
              </w:rPr>
              <w:t xml:space="preserve">    "strategy_id": "stg_early_bucket",</w:t>
              <w:br/>
            </w:r>
            <w:r>
              <w:rPr>
                <w:rFonts w:ascii="Courier New" w:hAnsi="Courier New"/>
                <w:sz w:val="17"/>
              </w:rPr>
              <w:t xml:space="preserve">    "rule_id": "r_sms_day_3"</w:t>
              <w:br/>
            </w:r>
            <w:r>
              <w:rPr>
                <w:rFonts w:ascii="Courier New" w:hAnsi="Courier New"/>
                <w:sz w:val="17"/>
              </w:rPr>
              <w:t xml:space="preserve">  }</w:t>
              <w:br/>
            </w:r>
            <w:r>
              <w:rPr>
                <w:rFonts w:ascii="Courier New" w:hAnsi="Courier New"/>
                <w:sz w:val="17"/>
              </w:rPr>
              <w:t>}</w:t>
            </w:r>
          </w:p>
        </w:tc>
      </w:tr>
    </w:tbl>
    <w:p/>
    <w:p>
      <w:pPr>
        <w:spacing w:before="0" w:after="80" w:line="288" w:lineRule="auto"/>
      </w:pPr>
      <w:r>
        <w:t>Example: workflow publish response</w:t>
      </w:r>
    </w:p>
    <w:tbl>
      <w:tblPr>
        <w:tblW w:type="auto" w:w="0"/>
        <w:jc w:val="center"/>
        <w:tblLook w:firstColumn="1" w:firstRow="1" w:lastColumn="0" w:lastRow="0" w:noHBand="0" w:noVBand="1" w:val="04A0"/>
        <w:tblBorders>
          <w:top w:val="single" w:sz="6" w:space="0" w:color="D7DFEA"/>
          <w:left w:val="single" w:sz="6" w:space="0" w:color="D7DFEA"/>
          <w:bottom w:val="single" w:sz="6" w:space="0" w:color="D7DFEA"/>
          <w:right w:val="single" w:sz="6" w:space="0" w:color="D7DFEA"/>
          <w:insideH w:val="single" w:sz="6" w:space="0" w:color="D7DFEA"/>
          <w:insideV w:val="single" w:sz="6" w:space="0" w:color="D7DFEA"/>
        </w:tblBorders>
      </w:tblPr>
      <w:tblGrid>
        <w:gridCol w:w="9972"/>
      </w:tblGrid>
      <w:tr>
        <w:tc>
          <w:tcPr>
            <w:tcW w:type="dxa" w:w="9972"/>
            <w:shd w:fill="F8FAFC"/>
            <w:tcMar>
              <w:top w:w="120" w:type="dxa"/>
              <w:start w:w="120" w:type="dxa"/>
              <w:bottom w:w="120" w:type="dxa"/>
              <w:end w:w="120" w:type="dxa"/>
            </w:tcMar>
          </w:tcPr>
          <w:p>
            <w:pPr>
              <w:spacing w:before="0" w:after="0" w:line="252" w:lineRule="auto"/>
            </w:pPr>
            <w:r>
              <w:rPr>
                <w:rFonts w:ascii="Courier New" w:hAnsi="Courier New"/>
                <w:sz w:val="17"/>
              </w:rPr>
              <w:t>{</w:t>
              <w:br/>
            </w:r>
            <w:r>
              <w:rPr>
                <w:rFonts w:ascii="Courier New" w:hAnsi="Courier New"/>
                <w:sz w:val="17"/>
              </w:rPr>
              <w:t xml:space="preserve">  "workflow_id": "wf_01H...",</w:t>
              <w:br/>
            </w:r>
            <w:r>
              <w:rPr>
                <w:rFonts w:ascii="Courier New" w:hAnsi="Courier New"/>
                <w:sz w:val="17"/>
              </w:rPr>
              <w:t xml:space="preserve">  "version": 7,</w:t>
              <w:br/>
            </w:r>
            <w:r>
              <w:rPr>
                <w:rFonts w:ascii="Courier New" w:hAnsi="Courier New"/>
                <w:sz w:val="17"/>
              </w:rPr>
              <w:t xml:space="preserve">  "status": "active",</w:t>
              <w:br/>
            </w:r>
            <w:r>
              <w:rPr>
                <w:rFonts w:ascii="Courier New" w:hAnsi="Courier New"/>
                <w:sz w:val="17"/>
              </w:rPr>
              <w:t xml:space="preserve">  "effective_from": "2026-03-20T00:00:00Z",</w:t>
              <w:br/>
            </w:r>
            <w:r>
              <w:rPr>
                <w:rFonts w:ascii="Courier New" w:hAnsi="Courier New"/>
                <w:sz w:val="17"/>
              </w:rPr>
              <w:t xml:space="preserve">  "approved_by": "usr_mgr_102",</w:t>
              <w:br/>
            </w:r>
            <w:r>
              <w:rPr>
                <w:rFonts w:ascii="Courier New" w:hAnsi="Courier New"/>
                <w:sz w:val="17"/>
              </w:rPr>
              <w:t xml:space="preserve">  "checksum": "sha256:8fcb..."</w:t>
              <w:br/>
            </w:r>
            <w:r>
              <w:rPr>
                <w:rFonts w:ascii="Courier New" w:hAnsi="Courier New"/>
                <w:sz w:val="17"/>
              </w:rPr>
              <w:t>}</w:t>
            </w:r>
          </w:p>
        </w:tc>
      </w:tr>
    </w:tbl>
    <w:p/>
    <w:p>
      <w:pPr>
        <w:pStyle w:val="Heading1"/>
        <w:spacing w:before="120" w:after="40" w:line="276" w:lineRule="auto"/>
      </w:pPr>
      <w:r>
        <w:t>3. Database Schema and Data Model</w:t>
      </w:r>
    </w:p>
    <w:p>
      <w:pPr>
        <w:spacing w:before="0" w:after="80" w:line="288" w:lineRule="auto"/>
      </w:pPr>
      <w:r>
        <w:t>The transactional data model is normalized enough to protect integrity, but pragmatic enough to support high-volume collections operations. PostgreSQL remains the source of truth for live operations; denormalized marts or a warehouse can support heavy analytics later.</w:t>
      </w:r>
    </w:p>
    <w:p>
      <w:pPr>
        <w:pStyle w:val="Heading2"/>
        <w:spacing w:before="60" w:after="40" w:line="276" w:lineRule="auto"/>
      </w:pPr>
      <w:r>
        <w:t>3.1 Multi-Tenant Model</w:t>
      </w:r>
    </w:p>
    <w:tbl>
      <w:tblPr>
        <w:tblStyle w:val="TableGrid"/>
        <w:tblW w:type="auto" w:w="0"/>
        <w:jc w:val="center"/>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324"/>
        <w:gridCol w:w="3324"/>
        <w:gridCol w:w="3324"/>
      </w:tblGrid>
      <w:tr>
        <w:tc>
          <w:tcPr>
            <w:tcW w:type="dxa" w:w="2880"/>
            <w:vAlign w:val="center"/>
            <w:shd w:fill="1F4E79"/>
            <w:tcMar>
              <w:top w:w="90" w:type="dxa"/>
              <w:start w:w="90" w:type="dxa"/>
              <w:bottom w:w="90" w:type="dxa"/>
              <w:end w:w="90" w:type="dxa"/>
            </w:tcMar>
          </w:tcPr>
          <w:p>
            <w:pPr>
              <w:jc w:val="center"/>
            </w:pPr>
            <w:r>
              <w:rPr>
                <w:b/>
                <w:color w:val="FFFFFF"/>
                <w:sz w:val="19"/>
              </w:rPr>
              <w:t>Pattern</w:t>
            </w:r>
          </w:p>
        </w:tc>
        <w:tc>
          <w:tcPr>
            <w:tcW w:type="dxa" w:w="3888"/>
            <w:vAlign w:val="center"/>
            <w:shd w:fill="1F4E79"/>
            <w:tcMar>
              <w:top w:w="90" w:type="dxa"/>
              <w:start w:w="90" w:type="dxa"/>
              <w:bottom w:w="90" w:type="dxa"/>
              <w:end w:w="90" w:type="dxa"/>
            </w:tcMar>
          </w:tcPr>
          <w:p>
            <w:pPr>
              <w:jc w:val="center"/>
            </w:pPr>
            <w:r>
              <w:rPr>
                <w:b/>
                <w:color w:val="FFFFFF"/>
                <w:sz w:val="19"/>
              </w:rPr>
              <w:t>Why use it</w:t>
            </w:r>
          </w:p>
        </w:tc>
        <w:tc>
          <w:tcPr>
            <w:tcW w:type="dxa" w:w="2880"/>
            <w:vAlign w:val="center"/>
            <w:shd w:fill="1F4E79"/>
            <w:tcMar>
              <w:top w:w="90" w:type="dxa"/>
              <w:start w:w="90" w:type="dxa"/>
              <w:bottom w:w="90" w:type="dxa"/>
              <w:end w:w="90" w:type="dxa"/>
            </w:tcMar>
          </w:tcPr>
          <w:p>
            <w:pPr>
              <w:jc w:val="center"/>
            </w:pPr>
            <w:r>
              <w:rPr>
                <w:b/>
                <w:color w:val="FFFFFF"/>
                <w:sz w:val="19"/>
              </w:rPr>
              <w:t>Trade-off</w:t>
            </w:r>
          </w:p>
        </w:tc>
      </w:tr>
      <w:tr>
        <w:tc>
          <w:tcPr>
            <w:tcW w:type="dxa" w:w="2880"/>
            <w:vAlign w:val="center"/>
            <w:tcMar>
              <w:top w:w="90" w:type="dxa"/>
              <w:start w:w="90" w:type="dxa"/>
              <w:bottom w:w="90" w:type="dxa"/>
              <w:end w:w="90" w:type="dxa"/>
            </w:tcMar>
          </w:tcPr>
          <w:p>
            <w:pPr>
              <w:spacing w:before="0" w:after="0" w:line="276" w:lineRule="auto"/>
              <w:jc w:val="left"/>
            </w:pPr>
            <w:r>
              <w:rPr>
                <w:color w:val="1F2937"/>
                <w:sz w:val="18"/>
              </w:rPr>
              <w:t>Shared schema, tenant_id on all business tables</w:t>
            </w:r>
          </w:p>
        </w:tc>
        <w:tc>
          <w:tcPr>
            <w:tcW w:type="dxa" w:w="3888"/>
            <w:vAlign w:val="center"/>
            <w:tcMar>
              <w:top w:w="90" w:type="dxa"/>
              <w:start w:w="90" w:type="dxa"/>
              <w:bottom w:w="90" w:type="dxa"/>
              <w:end w:w="90" w:type="dxa"/>
            </w:tcMar>
          </w:tcPr>
          <w:p>
            <w:pPr>
              <w:spacing w:before="0" w:after="0" w:line="276" w:lineRule="auto"/>
              <w:jc w:val="left"/>
            </w:pPr>
            <w:r>
              <w:rPr>
                <w:color w:val="1F2937"/>
                <w:sz w:val="18"/>
              </w:rPr>
              <w:t>Lowest operational cost, simplest SaaS deployment, easiest to scale early.</w:t>
            </w:r>
          </w:p>
        </w:tc>
        <w:tc>
          <w:tcPr>
            <w:tcW w:type="dxa" w:w="2880"/>
            <w:vAlign w:val="center"/>
            <w:tcMar>
              <w:top w:w="90" w:type="dxa"/>
              <w:start w:w="90" w:type="dxa"/>
              <w:bottom w:w="90" w:type="dxa"/>
              <w:end w:w="90" w:type="dxa"/>
            </w:tcMar>
          </w:tcPr>
          <w:p>
            <w:pPr>
              <w:spacing w:before="0" w:after="0" w:line="276" w:lineRule="auto"/>
              <w:jc w:val="left"/>
            </w:pPr>
            <w:r>
              <w:rPr>
                <w:color w:val="1F2937"/>
                <w:sz w:val="18"/>
              </w:rPr>
              <w:t>Requires disciplined row-level enforcement and indexing.</w:t>
            </w:r>
          </w:p>
        </w:tc>
      </w:tr>
      <w:tr>
        <w:tc>
          <w:tcPr>
            <w:tcW w:type="dxa" w:w="2880"/>
            <w:vAlign w:val="center"/>
            <w:tcMar>
              <w:top w:w="90" w:type="dxa"/>
              <w:start w:w="90" w:type="dxa"/>
              <w:bottom w:w="90" w:type="dxa"/>
              <w:end w:w="90" w:type="dxa"/>
            </w:tcMar>
          </w:tcPr>
          <w:p>
            <w:pPr>
              <w:spacing w:before="0" w:after="0" w:line="276" w:lineRule="auto"/>
              <w:jc w:val="left"/>
            </w:pPr>
            <w:r>
              <w:rPr>
                <w:color w:val="1F2937"/>
                <w:sz w:val="18"/>
              </w:rPr>
              <w:t>Premium isolated database per tenant (optional tier)</w:t>
            </w:r>
          </w:p>
        </w:tc>
        <w:tc>
          <w:tcPr>
            <w:tcW w:type="dxa" w:w="3888"/>
            <w:vAlign w:val="center"/>
            <w:tcMar>
              <w:top w:w="90" w:type="dxa"/>
              <w:start w:w="90" w:type="dxa"/>
              <w:bottom w:w="90" w:type="dxa"/>
              <w:end w:w="90" w:type="dxa"/>
            </w:tcMar>
          </w:tcPr>
          <w:p>
            <w:pPr>
              <w:spacing w:before="0" w:after="0" w:line="276" w:lineRule="auto"/>
              <w:jc w:val="left"/>
            </w:pPr>
            <w:r>
              <w:rPr>
                <w:color w:val="1F2937"/>
                <w:sz w:val="18"/>
              </w:rPr>
              <w:t>Useful for top-tier regulated clients with custom security demands.</w:t>
            </w:r>
          </w:p>
        </w:tc>
        <w:tc>
          <w:tcPr>
            <w:tcW w:type="dxa" w:w="2880"/>
            <w:vAlign w:val="center"/>
            <w:tcMar>
              <w:top w:w="90" w:type="dxa"/>
              <w:start w:w="90" w:type="dxa"/>
              <w:bottom w:w="90" w:type="dxa"/>
              <w:end w:w="90" w:type="dxa"/>
            </w:tcMar>
          </w:tcPr>
          <w:p>
            <w:pPr>
              <w:spacing w:before="0" w:after="0" w:line="276" w:lineRule="auto"/>
              <w:jc w:val="left"/>
            </w:pPr>
            <w:r>
              <w:rPr>
                <w:color w:val="1F2937"/>
                <w:sz w:val="18"/>
              </w:rPr>
              <w:t>Should be productized as an enterprise option, not the default architecture.</w:t>
            </w:r>
          </w:p>
        </w:tc>
      </w:tr>
    </w:tbl>
    <w:p/>
    <w:p>
      <w:pPr>
        <w:pStyle w:val="Heading2"/>
        <w:spacing w:before="60" w:after="40" w:line="276" w:lineRule="auto"/>
      </w:pPr>
      <w:r>
        <w:t>3.2 Core Tables</w:t>
      </w:r>
    </w:p>
    <w:tbl>
      <w:tblPr>
        <w:tblStyle w:val="TableGrid"/>
        <w:tblW w:type="auto" w:w="0"/>
        <w:jc w:val="center"/>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324"/>
        <w:gridCol w:w="3324"/>
        <w:gridCol w:w="3324"/>
      </w:tblGrid>
      <w:tr>
        <w:tc>
          <w:tcPr>
            <w:tcW w:type="dxa" w:w="2232"/>
            <w:vAlign w:val="center"/>
            <w:shd w:fill="1F4E79"/>
            <w:tcMar>
              <w:top w:w="90" w:type="dxa"/>
              <w:start w:w="90" w:type="dxa"/>
              <w:bottom w:w="90" w:type="dxa"/>
              <w:end w:w="90" w:type="dxa"/>
            </w:tcMar>
          </w:tcPr>
          <w:p>
            <w:pPr>
              <w:jc w:val="center"/>
            </w:pPr>
            <w:r>
              <w:rPr>
                <w:b/>
                <w:color w:val="FFFFFF"/>
                <w:sz w:val="18"/>
              </w:rPr>
              <w:t>Table</w:t>
            </w:r>
          </w:p>
        </w:tc>
        <w:tc>
          <w:tcPr>
            <w:tcW w:type="dxa" w:w="4104"/>
            <w:vAlign w:val="center"/>
            <w:shd w:fill="1F4E79"/>
            <w:tcMar>
              <w:top w:w="90" w:type="dxa"/>
              <w:start w:w="90" w:type="dxa"/>
              <w:bottom w:w="90" w:type="dxa"/>
              <w:end w:w="90" w:type="dxa"/>
            </w:tcMar>
          </w:tcPr>
          <w:p>
            <w:pPr>
              <w:jc w:val="center"/>
            </w:pPr>
            <w:r>
              <w:rPr>
                <w:b/>
                <w:color w:val="FFFFFF"/>
                <w:sz w:val="18"/>
              </w:rPr>
              <w:t>Key columns</w:t>
            </w:r>
          </w:p>
        </w:tc>
        <w:tc>
          <w:tcPr>
            <w:tcW w:type="dxa" w:w="3024"/>
            <w:vAlign w:val="center"/>
            <w:shd w:fill="1F4E79"/>
            <w:tcMar>
              <w:top w:w="90" w:type="dxa"/>
              <w:start w:w="90" w:type="dxa"/>
              <w:bottom w:w="90" w:type="dxa"/>
              <w:end w:w="90" w:type="dxa"/>
            </w:tcMar>
          </w:tcPr>
          <w:p>
            <w:pPr>
              <w:jc w:val="center"/>
            </w:pPr>
            <w:r>
              <w:rPr>
                <w:b/>
                <w:color w:val="FFFFFF"/>
                <w:sz w:val="18"/>
              </w:rPr>
              <w:t>Purpose</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tenants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code, name, status, timezone, config_json, created_at</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Root SaaS entity; controls branding, policy, integrations, and feature flags.</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users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tenant_id, email, display_name, role_id, status, last_login_at</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Application users; agent, manager, admin, integration operator.</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roles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tenant_id, name, permissions_json</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RBAC model scoped by tenant.</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debtors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tenant_id, external_ref, full_name, segment, consent_state, risk_band</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Person or business owing money; holds KYC-lite and contact preferences.</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debtor_contacts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debtor_id, channel, value, is_primary, verified_at, opt_out_at</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Phone, email, WhatsApp, alternate contacts, and preference metadata.</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accounts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tenant_id, debtor_id, portfolio_id, product_type, status, balances..., days_past_due</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Debt instrument under collection.</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cases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tenant_id, account_id, queue_id, owner_user_id, stage, priority, sla_due_at</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Operational object assigned to agents and automated strategies.</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payments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tenant_id, account_id, amount, currency, source, transaction_ref, allocated_at</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Recorded payments and reconciliation status.</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promises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tenant_id, account_id, promised_amount, promised_date, status, breach_at</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Promise-to-pay commitments.</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communications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tenant_id, case_id, channel, direction, template_id, body, provider_status</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Outbound and inbound communication history.</w:t>
            </w:r>
          </w:p>
        </w:tc>
      </w:tr>
      <w:tr>
        <w:tc>
          <w:tcPr>
            <w:tcW w:type="dxa" w:w="2232"/>
            <w:vAlign w:val="center"/>
            <w:tcMar>
              <w:top w:w="90" w:type="dxa"/>
              <w:start w:w="90" w:type="dxa"/>
              <w:bottom w:w="90" w:type="dxa"/>
              <w:end w:w="90" w:type="dxa"/>
            </w:tcMar>
          </w:tcPr>
          <w:p>
            <w:pPr>
              <w:spacing w:before="0" w:after="0" w:line="276" w:lineRule="auto"/>
              <w:jc w:val="left"/>
            </w:pPr>
            <w:r>
              <w:rPr>
                <w:color w:val="1F2937"/>
                <w:sz w:val="17"/>
              </w:rPr>
              <w:t>workflow_definitions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tenant_id, name, status, active_version_id</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Container for strategy definitions.</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workflow_versions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workflow_id, version_no, definition_json, published_at</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Immutable published rule versions.</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events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tenant_id, event_type, account_id, case_id, event_time, payload_json</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Domain event log for tracing and decisioning.</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audit_logs</w:t>
            </w:r>
          </w:p>
        </w:tc>
        <w:tc>
          <w:tcPr>
            <w:tcW w:type="dxa" w:w="4104"/>
            <w:vAlign w:val="center"/>
            <w:tcMar>
              <w:top w:w="90" w:type="dxa"/>
              <w:start w:w="90" w:type="dxa"/>
              <w:bottom w:w="90" w:type="dxa"/>
              <w:end w:w="90" w:type="dxa"/>
            </w:tcMar>
          </w:tcPr>
          <w:p>
            <w:pPr>
              <w:spacing w:before="0" w:after="0" w:line="276" w:lineRule="auto"/>
              <w:jc w:val="left"/>
            </w:pPr>
            <w:r>
              <w:rPr>
                <w:color w:val="1F2937"/>
                <w:sz w:val="17"/>
              </w:rPr>
              <w:t>id, tenant_id, actor_type, actor_id, action, target_type, target_id, diff_json, created_at</w:t>
            </w:r>
          </w:p>
        </w:tc>
        <w:tc>
          <w:tcPr>
            <w:tcW w:type="dxa" w:w="3024"/>
            <w:vAlign w:val="center"/>
            <w:tcMar>
              <w:top w:w="90" w:type="dxa"/>
              <w:start w:w="90" w:type="dxa"/>
              <w:bottom w:w="90" w:type="dxa"/>
              <w:end w:w="90" w:type="dxa"/>
            </w:tcMar>
          </w:tcPr>
          <w:p>
            <w:pPr>
              <w:spacing w:before="0" w:after="0" w:line="276" w:lineRule="auto"/>
              <w:jc w:val="left"/>
            </w:pPr>
            <w:r>
              <w:rPr>
                <w:color w:val="1F2937"/>
                <w:sz w:val="17"/>
              </w:rPr>
              <w:t>Regulatory and forensic audit evidence.</w:t>
            </w:r>
          </w:p>
        </w:tc>
      </w:tr>
    </w:tbl>
    <w:p/>
    <w:p>
      <w:pPr>
        <w:pStyle w:val="Heading2"/>
        <w:spacing w:before="60" w:after="40" w:line="276" w:lineRule="auto"/>
      </w:pPr>
      <w:r>
        <w:t>3.3 Recommended Indexes and Constraints</w:t>
      </w:r>
    </w:p>
    <w:tbl>
      <w:tblPr>
        <w:tblStyle w:val="TableGrid"/>
        <w:tblW w:type="auto" w:w="0"/>
        <w:jc w:val="center"/>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324"/>
        <w:gridCol w:w="3324"/>
        <w:gridCol w:w="3324"/>
      </w:tblGrid>
      <w:tr>
        <w:tc>
          <w:tcPr>
            <w:tcW w:type="dxa" w:w="1728"/>
            <w:vAlign w:val="center"/>
            <w:shd w:fill="1F4E79"/>
            <w:tcMar>
              <w:top w:w="90" w:type="dxa"/>
              <w:start w:w="90" w:type="dxa"/>
              <w:bottom w:w="90" w:type="dxa"/>
              <w:end w:w="90" w:type="dxa"/>
            </w:tcMar>
          </w:tcPr>
          <w:p>
            <w:pPr>
              <w:jc w:val="center"/>
            </w:pPr>
            <w:r>
              <w:rPr>
                <w:b/>
                <w:color w:val="FFFFFF"/>
                <w:sz w:val="18"/>
              </w:rPr>
              <w:t>Table</w:t>
            </w:r>
          </w:p>
        </w:tc>
        <w:tc>
          <w:tcPr>
            <w:tcW w:type="dxa" w:w="4320"/>
            <w:vAlign w:val="center"/>
            <w:shd w:fill="1F4E79"/>
            <w:tcMar>
              <w:top w:w="90" w:type="dxa"/>
              <w:start w:w="90" w:type="dxa"/>
              <w:bottom w:w="90" w:type="dxa"/>
              <w:end w:w="90" w:type="dxa"/>
            </w:tcMar>
          </w:tcPr>
          <w:p>
            <w:pPr>
              <w:jc w:val="center"/>
            </w:pPr>
            <w:r>
              <w:rPr>
                <w:b/>
                <w:color w:val="FFFFFF"/>
                <w:sz w:val="18"/>
              </w:rPr>
              <w:t>Index / Constraint</w:t>
            </w:r>
          </w:p>
        </w:tc>
        <w:tc>
          <w:tcPr>
            <w:tcW w:type="dxa" w:w="3312"/>
            <w:vAlign w:val="center"/>
            <w:shd w:fill="1F4E79"/>
            <w:tcMar>
              <w:top w:w="90" w:type="dxa"/>
              <w:start w:w="90" w:type="dxa"/>
              <w:bottom w:w="90" w:type="dxa"/>
              <w:end w:w="90" w:type="dxa"/>
            </w:tcMar>
          </w:tcPr>
          <w:p>
            <w:pPr>
              <w:jc w:val="center"/>
            </w:pPr>
            <w:r>
              <w:rPr>
                <w:b/>
                <w:color w:val="FFFFFF"/>
                <w:sz w:val="18"/>
              </w:rPr>
              <w:t>Reason</w:t>
            </w:r>
          </w:p>
        </w:tc>
      </w:tr>
      <w:tr>
        <w:tc>
          <w:tcPr>
            <w:tcW w:type="dxa" w:w="1728"/>
            <w:vAlign w:val="center"/>
            <w:tcMar>
              <w:top w:w="90" w:type="dxa"/>
              <w:start w:w="90" w:type="dxa"/>
              <w:bottom w:w="90" w:type="dxa"/>
              <w:end w:w="90" w:type="dxa"/>
            </w:tcMar>
          </w:tcPr>
          <w:p>
            <w:pPr>
              <w:spacing w:before="0" w:after="0" w:line="276" w:lineRule="auto"/>
              <w:jc w:val="center"/>
            </w:pPr>
            <w:r>
              <w:rPr>
                <w:color w:val="1F2937"/>
                <w:sz w:val="17"/>
              </w:rPr>
              <w:t>accounts</w:t>
            </w:r>
          </w:p>
        </w:tc>
        <w:tc>
          <w:tcPr>
            <w:tcW w:type="dxa" w:w="4320"/>
            <w:vAlign w:val="center"/>
            <w:tcMar>
              <w:top w:w="90" w:type="dxa"/>
              <w:start w:w="90" w:type="dxa"/>
              <w:bottom w:w="90" w:type="dxa"/>
              <w:end w:w="90" w:type="dxa"/>
            </w:tcMar>
          </w:tcPr>
          <w:p>
            <w:pPr>
              <w:spacing w:before="0" w:after="0" w:line="276" w:lineRule="auto"/>
              <w:jc w:val="left"/>
            </w:pPr>
            <w:r>
              <w:rPr>
                <w:color w:val="1F2937"/>
                <w:sz w:val="17"/>
              </w:rPr>
              <w:t>(tenant_id, external_ref) unique</w:t>
            </w:r>
          </w:p>
        </w:tc>
        <w:tc>
          <w:tcPr>
            <w:tcW w:type="dxa" w:w="3312"/>
            <w:vAlign w:val="center"/>
            <w:tcMar>
              <w:top w:w="90" w:type="dxa"/>
              <w:start w:w="90" w:type="dxa"/>
              <w:bottom w:w="90" w:type="dxa"/>
              <w:end w:w="90" w:type="dxa"/>
            </w:tcMar>
          </w:tcPr>
          <w:p>
            <w:pPr>
              <w:spacing w:before="0" w:after="0" w:line="276" w:lineRule="auto"/>
              <w:jc w:val="left"/>
            </w:pPr>
            <w:r>
              <w:rPr>
                <w:color w:val="1F2937"/>
                <w:sz w:val="17"/>
              </w:rPr>
              <w:t>Prevents duplicate account creation during imports.</w:t>
            </w:r>
          </w:p>
        </w:tc>
      </w:tr>
      <w:tr>
        <w:tc>
          <w:tcPr>
            <w:tcW w:type="dxa" w:w="1728"/>
            <w:vAlign w:val="center"/>
            <w:tcMar>
              <w:top w:w="90" w:type="dxa"/>
              <w:start w:w="90" w:type="dxa"/>
              <w:bottom w:w="90" w:type="dxa"/>
              <w:end w:w="90" w:type="dxa"/>
            </w:tcMar>
          </w:tcPr>
          <w:p>
            <w:pPr>
              <w:spacing w:before="0" w:after="0" w:line="276" w:lineRule="auto"/>
              <w:jc w:val="center"/>
            </w:pPr>
            <w:r>
              <w:rPr>
                <w:color w:val="1F2937"/>
                <w:sz w:val="17"/>
              </w:rPr>
              <w:t>accounts</w:t>
            </w:r>
          </w:p>
        </w:tc>
        <w:tc>
          <w:tcPr>
            <w:tcW w:type="dxa" w:w="4320"/>
            <w:vAlign w:val="center"/>
            <w:tcMar>
              <w:top w:w="90" w:type="dxa"/>
              <w:start w:w="90" w:type="dxa"/>
              <w:bottom w:w="90" w:type="dxa"/>
              <w:end w:w="90" w:type="dxa"/>
            </w:tcMar>
          </w:tcPr>
          <w:p>
            <w:pPr>
              <w:spacing w:before="0" w:after="0" w:line="276" w:lineRule="auto"/>
              <w:jc w:val="left"/>
            </w:pPr>
            <w:r>
              <w:rPr>
                <w:color w:val="1F2937"/>
                <w:sz w:val="17"/>
              </w:rPr>
              <w:t>(tenant_id, status, days_past_due)</w:t>
            </w:r>
          </w:p>
        </w:tc>
        <w:tc>
          <w:tcPr>
            <w:tcW w:type="dxa" w:w="3312"/>
            <w:vAlign w:val="center"/>
            <w:tcMar>
              <w:top w:w="90" w:type="dxa"/>
              <w:start w:w="90" w:type="dxa"/>
              <w:bottom w:w="90" w:type="dxa"/>
              <w:end w:w="90" w:type="dxa"/>
            </w:tcMar>
          </w:tcPr>
          <w:p>
            <w:pPr>
              <w:spacing w:before="0" w:after="0" w:line="276" w:lineRule="auto"/>
              <w:jc w:val="left"/>
            </w:pPr>
            <w:r>
              <w:rPr>
                <w:color w:val="1F2937"/>
                <w:sz w:val="17"/>
              </w:rPr>
              <w:t>Supports collector queues and aging filters.</w:t>
            </w:r>
          </w:p>
        </w:tc>
      </w:tr>
      <w:tr>
        <w:tc>
          <w:tcPr>
            <w:tcW w:type="dxa" w:w="1728"/>
            <w:vAlign w:val="center"/>
            <w:tcMar>
              <w:top w:w="90" w:type="dxa"/>
              <w:start w:w="90" w:type="dxa"/>
              <w:bottom w:w="90" w:type="dxa"/>
              <w:end w:w="90" w:type="dxa"/>
            </w:tcMar>
          </w:tcPr>
          <w:p>
            <w:pPr>
              <w:spacing w:before="0" w:after="0" w:line="276" w:lineRule="auto"/>
              <w:jc w:val="center"/>
            </w:pPr>
            <w:r>
              <w:rPr>
                <w:color w:val="1F2937"/>
                <w:sz w:val="17"/>
              </w:rPr>
              <w:t>cases</w:t>
            </w:r>
          </w:p>
        </w:tc>
        <w:tc>
          <w:tcPr>
            <w:tcW w:type="dxa" w:w="4320"/>
            <w:vAlign w:val="center"/>
            <w:tcMar>
              <w:top w:w="90" w:type="dxa"/>
              <w:start w:w="90" w:type="dxa"/>
              <w:bottom w:w="90" w:type="dxa"/>
              <w:end w:w="90" w:type="dxa"/>
            </w:tcMar>
          </w:tcPr>
          <w:p>
            <w:pPr>
              <w:spacing w:before="0" w:after="0" w:line="276" w:lineRule="auto"/>
              <w:jc w:val="left"/>
            </w:pPr>
            <w:r>
              <w:rPr>
                <w:color w:val="1F2937"/>
                <w:sz w:val="17"/>
              </w:rPr>
              <w:t>(tenant_id, owner_user_id, stage, priority)</w:t>
            </w:r>
          </w:p>
        </w:tc>
        <w:tc>
          <w:tcPr>
            <w:tcW w:type="dxa" w:w="3312"/>
            <w:vAlign w:val="center"/>
            <w:tcMar>
              <w:top w:w="90" w:type="dxa"/>
              <w:start w:w="90" w:type="dxa"/>
              <w:bottom w:w="90" w:type="dxa"/>
              <w:end w:w="90" w:type="dxa"/>
            </w:tcMar>
          </w:tcPr>
          <w:p>
            <w:pPr>
              <w:spacing w:before="0" w:after="0" w:line="276" w:lineRule="auto"/>
              <w:jc w:val="left"/>
            </w:pPr>
            <w:r>
              <w:rPr>
                <w:color w:val="1F2937"/>
                <w:sz w:val="17"/>
              </w:rPr>
              <w:t>Optimizes worklist retrieval.</w:t>
            </w:r>
          </w:p>
        </w:tc>
      </w:tr>
      <w:tr>
        <w:tc>
          <w:tcPr>
            <w:tcW w:type="dxa" w:w="1728"/>
            <w:vAlign w:val="center"/>
            <w:tcMar>
              <w:top w:w="90" w:type="dxa"/>
              <w:start w:w="90" w:type="dxa"/>
              <w:bottom w:w="90" w:type="dxa"/>
              <w:end w:w="90" w:type="dxa"/>
            </w:tcMar>
          </w:tcPr>
          <w:p>
            <w:pPr>
              <w:spacing w:before="0" w:after="0" w:line="276" w:lineRule="auto"/>
              <w:jc w:val="center"/>
            </w:pPr>
            <w:r>
              <w:rPr>
                <w:color w:val="1F2937"/>
                <w:sz w:val="17"/>
              </w:rPr>
              <w:t>communications</w:t>
            </w:r>
          </w:p>
        </w:tc>
        <w:tc>
          <w:tcPr>
            <w:tcW w:type="dxa" w:w="4320"/>
            <w:vAlign w:val="center"/>
            <w:tcMar>
              <w:top w:w="90" w:type="dxa"/>
              <w:start w:w="90" w:type="dxa"/>
              <w:bottom w:w="90" w:type="dxa"/>
              <w:end w:w="90" w:type="dxa"/>
            </w:tcMar>
          </w:tcPr>
          <w:p>
            <w:pPr>
              <w:spacing w:before="0" w:after="0" w:line="276" w:lineRule="auto"/>
              <w:jc w:val="left"/>
            </w:pPr>
            <w:r>
              <w:rPr>
                <w:color w:val="1F2937"/>
                <w:sz w:val="17"/>
              </w:rPr>
              <w:t>(tenant_id, case_id, created_at desc)</w:t>
            </w:r>
          </w:p>
        </w:tc>
        <w:tc>
          <w:tcPr>
            <w:tcW w:type="dxa" w:w="3312"/>
            <w:vAlign w:val="center"/>
            <w:tcMar>
              <w:top w:w="90" w:type="dxa"/>
              <w:start w:w="90" w:type="dxa"/>
              <w:bottom w:w="90" w:type="dxa"/>
              <w:end w:w="90" w:type="dxa"/>
            </w:tcMar>
          </w:tcPr>
          <w:p>
            <w:pPr>
              <w:spacing w:before="0" w:after="0" w:line="276" w:lineRule="auto"/>
              <w:jc w:val="left"/>
            </w:pPr>
            <w:r>
              <w:rPr>
                <w:color w:val="1F2937"/>
                <w:sz w:val="17"/>
              </w:rPr>
              <w:t>Speeds up timeline rendering.</w:t>
            </w:r>
          </w:p>
        </w:tc>
      </w:tr>
      <w:tr>
        <w:tc>
          <w:tcPr>
            <w:tcW w:type="dxa" w:w="1728"/>
            <w:vAlign w:val="center"/>
            <w:tcMar>
              <w:top w:w="90" w:type="dxa"/>
              <w:start w:w="90" w:type="dxa"/>
              <w:bottom w:w="90" w:type="dxa"/>
              <w:end w:w="90" w:type="dxa"/>
            </w:tcMar>
          </w:tcPr>
          <w:p>
            <w:pPr>
              <w:spacing w:before="0" w:after="0" w:line="276" w:lineRule="auto"/>
              <w:jc w:val="center"/>
            </w:pPr>
            <w:r>
              <w:rPr>
                <w:color w:val="1F2937"/>
                <w:sz w:val="17"/>
              </w:rPr>
              <w:t>events</w:t>
            </w:r>
          </w:p>
        </w:tc>
        <w:tc>
          <w:tcPr>
            <w:tcW w:type="dxa" w:w="4320"/>
            <w:vAlign w:val="center"/>
            <w:tcMar>
              <w:top w:w="90" w:type="dxa"/>
              <w:start w:w="90" w:type="dxa"/>
              <w:bottom w:w="90" w:type="dxa"/>
              <w:end w:w="90" w:type="dxa"/>
            </w:tcMar>
          </w:tcPr>
          <w:p>
            <w:pPr>
              <w:spacing w:before="0" w:after="0" w:line="276" w:lineRule="auto"/>
              <w:jc w:val="left"/>
            </w:pPr>
            <w:r>
              <w:rPr>
                <w:color w:val="1F2937"/>
                <w:sz w:val="17"/>
              </w:rPr>
              <w:t>(tenant_id, account_id, event_time desc)</w:t>
            </w:r>
          </w:p>
        </w:tc>
        <w:tc>
          <w:tcPr>
            <w:tcW w:type="dxa" w:w="3312"/>
            <w:vAlign w:val="center"/>
            <w:tcMar>
              <w:top w:w="90" w:type="dxa"/>
              <w:start w:w="90" w:type="dxa"/>
              <w:bottom w:w="90" w:type="dxa"/>
              <w:end w:w="90" w:type="dxa"/>
            </w:tcMar>
          </w:tcPr>
          <w:p>
            <w:pPr>
              <w:spacing w:before="0" w:after="0" w:line="276" w:lineRule="auto"/>
              <w:jc w:val="left"/>
            </w:pPr>
            <w:r>
              <w:rPr>
                <w:color w:val="1F2937"/>
                <w:sz w:val="17"/>
              </w:rPr>
              <w:t>Supports event history and replay logic.</w:t>
            </w:r>
          </w:p>
        </w:tc>
      </w:tr>
      <w:tr>
        <w:tc>
          <w:tcPr>
            <w:tcW w:type="dxa" w:w="1728"/>
            <w:vAlign w:val="center"/>
            <w:tcMar>
              <w:top w:w="90" w:type="dxa"/>
              <w:start w:w="90" w:type="dxa"/>
              <w:bottom w:w="90" w:type="dxa"/>
              <w:end w:w="90" w:type="dxa"/>
            </w:tcMar>
          </w:tcPr>
          <w:p>
            <w:pPr>
              <w:spacing w:before="0" w:after="0" w:line="276" w:lineRule="auto"/>
              <w:jc w:val="center"/>
            </w:pPr>
            <w:r>
              <w:rPr>
                <w:color w:val="1F2937"/>
                <w:sz w:val="17"/>
              </w:rPr>
              <w:t>payments</w:t>
            </w:r>
          </w:p>
        </w:tc>
        <w:tc>
          <w:tcPr>
            <w:tcW w:type="dxa" w:w="4320"/>
            <w:vAlign w:val="center"/>
            <w:tcMar>
              <w:top w:w="90" w:type="dxa"/>
              <w:start w:w="90" w:type="dxa"/>
              <w:bottom w:w="90" w:type="dxa"/>
              <w:end w:w="90" w:type="dxa"/>
            </w:tcMar>
          </w:tcPr>
          <w:p>
            <w:pPr>
              <w:spacing w:before="0" w:after="0" w:line="276" w:lineRule="auto"/>
              <w:jc w:val="left"/>
            </w:pPr>
            <w:r>
              <w:rPr>
                <w:color w:val="1F2937"/>
                <w:sz w:val="17"/>
              </w:rPr>
              <w:t>(tenant_id, transaction_ref) unique where transaction_ref is not null</w:t>
            </w:r>
          </w:p>
        </w:tc>
        <w:tc>
          <w:tcPr>
            <w:tcW w:type="dxa" w:w="3312"/>
            <w:vAlign w:val="center"/>
            <w:tcMar>
              <w:top w:w="90" w:type="dxa"/>
              <w:start w:w="90" w:type="dxa"/>
              <w:bottom w:w="90" w:type="dxa"/>
              <w:end w:w="90" w:type="dxa"/>
            </w:tcMar>
          </w:tcPr>
          <w:p>
            <w:pPr>
              <w:spacing w:before="0" w:after="0" w:line="276" w:lineRule="auto"/>
              <w:jc w:val="left"/>
            </w:pPr>
            <w:r>
              <w:rPr>
                <w:color w:val="1F2937"/>
                <w:sz w:val="17"/>
              </w:rPr>
              <w:t>Protects against duplicate payment ingestion.</w:t>
            </w:r>
          </w:p>
        </w:tc>
      </w:tr>
      <w:tr>
        <w:tc>
          <w:tcPr>
            <w:tcW w:type="dxa" w:w="1728"/>
            <w:vAlign w:val="center"/>
            <w:tcMar>
              <w:top w:w="90" w:type="dxa"/>
              <w:start w:w="90" w:type="dxa"/>
              <w:bottom w:w="90" w:type="dxa"/>
              <w:end w:w="90" w:type="dxa"/>
            </w:tcMar>
          </w:tcPr>
          <w:p>
            <w:pPr>
              <w:spacing w:before="0" w:after="0" w:line="276" w:lineRule="auto"/>
              <w:jc w:val="center"/>
            </w:pPr>
            <w:r>
              <w:rPr>
                <w:color w:val="1F2937"/>
                <w:sz w:val="17"/>
              </w:rPr>
              <w:t>workflow_versions</w:t>
            </w:r>
          </w:p>
        </w:tc>
        <w:tc>
          <w:tcPr>
            <w:tcW w:type="dxa" w:w="4320"/>
            <w:vAlign w:val="center"/>
            <w:tcMar>
              <w:top w:w="90" w:type="dxa"/>
              <w:start w:w="90" w:type="dxa"/>
              <w:bottom w:w="90" w:type="dxa"/>
              <w:end w:w="90" w:type="dxa"/>
            </w:tcMar>
          </w:tcPr>
          <w:p>
            <w:pPr>
              <w:spacing w:before="0" w:after="0" w:line="276" w:lineRule="auto"/>
              <w:jc w:val="left"/>
            </w:pPr>
            <w:r>
              <w:rPr>
                <w:color w:val="1F2937"/>
                <w:sz w:val="17"/>
              </w:rPr>
              <w:t>(workflow_id, version_no) unique</w:t>
            </w:r>
          </w:p>
        </w:tc>
        <w:tc>
          <w:tcPr>
            <w:tcW w:type="dxa" w:w="3312"/>
            <w:vAlign w:val="center"/>
            <w:tcMar>
              <w:top w:w="90" w:type="dxa"/>
              <w:start w:w="90" w:type="dxa"/>
              <w:bottom w:w="90" w:type="dxa"/>
              <w:end w:w="90" w:type="dxa"/>
            </w:tcMar>
          </w:tcPr>
          <w:p>
            <w:pPr>
              <w:spacing w:before="0" w:after="0" w:line="276" w:lineRule="auto"/>
              <w:jc w:val="left"/>
            </w:pPr>
            <w:r>
              <w:rPr>
                <w:color w:val="1F2937"/>
                <w:sz w:val="17"/>
              </w:rPr>
              <w:t>Ensures immutable, ordered strategy versions.</w:t>
            </w:r>
          </w:p>
        </w:tc>
      </w:tr>
    </w:tbl>
    <w:p/>
    <w:p>
      <w:pPr>
        <w:pStyle w:val="Heading2"/>
        <w:spacing w:before="60" w:after="40" w:line="276" w:lineRule="auto"/>
      </w:pPr>
      <w:r>
        <w:t>3.4 ERD Narrative</w:t>
      </w:r>
    </w:p>
    <w:tbl>
      <w:tblPr>
        <w:tblW w:type="auto" w:w="0"/>
        <w:jc w:val="center"/>
        <w:tblLook w:firstColumn="1" w:firstRow="1" w:lastColumn="0" w:lastRow="0" w:noHBand="0" w:noVBand="1" w:val="04A0"/>
        <w:tblBorders>
          <w:top w:val="single" w:sz="6" w:space="0" w:color="D7DFEA"/>
          <w:left w:val="single" w:sz="6" w:space="0" w:color="D7DFEA"/>
          <w:bottom w:val="single" w:sz="6" w:space="0" w:color="D7DFEA"/>
          <w:right w:val="single" w:sz="6" w:space="0" w:color="D7DFEA"/>
          <w:insideH w:val="single" w:sz="6" w:space="0" w:color="D7DFEA"/>
          <w:insideV w:val="single" w:sz="6" w:space="0" w:color="D7DFEA"/>
        </w:tblBorders>
      </w:tblPr>
      <w:tblGrid>
        <w:gridCol w:w="9972"/>
      </w:tblGrid>
      <w:tr>
        <w:tc>
          <w:tcPr>
            <w:tcW w:type="dxa" w:w="9972"/>
            <w:shd w:fill="F8FAFC"/>
            <w:tcMar>
              <w:top w:w="120" w:type="dxa"/>
              <w:start w:w="120" w:type="dxa"/>
              <w:bottom w:w="120" w:type="dxa"/>
              <w:end w:w="120" w:type="dxa"/>
            </w:tcMar>
          </w:tcPr>
          <w:p>
            <w:pPr>
              <w:spacing w:before="0" w:after="0" w:line="252" w:lineRule="auto"/>
            </w:pPr>
            <w:r>
              <w:rPr>
                <w:rFonts w:ascii="Courier New" w:hAnsi="Courier New"/>
                <w:sz w:val="17"/>
              </w:rPr>
              <w:t>tenants 1---* users</w:t>
              <w:br/>
            </w:r>
            <w:r>
              <w:rPr>
                <w:rFonts w:ascii="Courier New" w:hAnsi="Courier New"/>
                <w:sz w:val="17"/>
              </w:rPr>
              <w:t>tenants 1---* debtors 1---* debtor_contacts</w:t>
              <w:br/>
            </w:r>
            <w:r>
              <w:rPr>
                <w:rFonts w:ascii="Courier New" w:hAnsi="Courier New"/>
                <w:sz w:val="17"/>
              </w:rPr>
              <w:t>debtors 1---* accounts 1---* cases</w:t>
              <w:br/>
            </w:r>
            <w:r>
              <w:rPr>
                <w:rFonts w:ascii="Courier New" w:hAnsi="Courier New"/>
                <w:sz w:val="17"/>
              </w:rPr>
              <w:t>accounts 1---* payments</w:t>
              <w:br/>
            </w:r>
            <w:r>
              <w:rPr>
                <w:rFonts w:ascii="Courier New" w:hAnsi="Courier New"/>
                <w:sz w:val="17"/>
              </w:rPr>
              <w:t>accounts 1---* promises</w:t>
              <w:br/>
            </w:r>
            <w:r>
              <w:rPr>
                <w:rFonts w:ascii="Courier New" w:hAnsi="Courier New"/>
                <w:sz w:val="17"/>
              </w:rPr>
              <w:t>cases    1---* communications</w:t>
              <w:br/>
            </w:r>
            <w:r>
              <w:rPr>
                <w:rFonts w:ascii="Courier New" w:hAnsi="Courier New"/>
                <w:sz w:val="17"/>
              </w:rPr>
              <w:t>accounts 1---* events</w:t>
              <w:br/>
            </w:r>
            <w:r>
              <w:rPr>
                <w:rFonts w:ascii="Courier New" w:hAnsi="Courier New"/>
                <w:sz w:val="17"/>
              </w:rPr>
              <w:t>tenants  1---* workflow_definitions 1---* workflow_versions</w:t>
              <w:br/>
            </w:r>
            <w:r>
              <w:rPr>
                <w:rFonts w:ascii="Courier New" w:hAnsi="Courier New"/>
                <w:sz w:val="17"/>
              </w:rPr>
              <w:t>tenants  1---* audit_logs</w:t>
            </w:r>
          </w:p>
        </w:tc>
      </w:tr>
    </w:tbl>
    <w:p/>
    <w:p>
      <w:pPr>
        <w:pStyle w:val="Heading1"/>
        <w:spacing w:before="120" w:after="40" w:line="276" w:lineRule="auto"/>
      </w:pPr>
      <w:r>
        <w:t>4. Workflow Engine Logic - The Real Brain</w:t>
      </w:r>
    </w:p>
    <w:p>
      <w:pPr>
        <w:spacing w:before="0" w:after="80" w:line="288" w:lineRule="auto"/>
      </w:pPr>
      <w:r>
        <w:t>The workflow engine is where the product stops being a CRUD app and starts acting like a collection operating system. It should decide what to do, when to do it, through which channel, and under what policy guardrails. The engine must be configurable by tenant, versioned, auditable, and safe to replay.</w:t>
      </w:r>
    </w:p>
    <w:p>
      <w:pPr>
        <w:pStyle w:val="Heading2"/>
        <w:spacing w:before="60" w:after="40" w:line="276" w:lineRule="auto"/>
      </w:pPr>
      <w:r>
        <w:t>4.1 Core Concepts</w:t>
      </w:r>
    </w:p>
    <w:tbl>
      <w:tblPr>
        <w:tblStyle w:val="TableGrid"/>
        <w:tblW w:type="auto" w:w="0"/>
        <w:jc w:val="center"/>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4986"/>
        <w:gridCol w:w="4986"/>
      </w:tblGrid>
      <w:tr>
        <w:tc>
          <w:tcPr>
            <w:tcW w:type="dxa" w:w="2016"/>
            <w:vAlign w:val="center"/>
            <w:shd w:fill="1F4E79"/>
            <w:tcMar>
              <w:top w:w="90" w:type="dxa"/>
              <w:start w:w="90" w:type="dxa"/>
              <w:bottom w:w="90" w:type="dxa"/>
              <w:end w:w="90" w:type="dxa"/>
            </w:tcMar>
          </w:tcPr>
          <w:p>
            <w:pPr>
              <w:jc w:val="center"/>
            </w:pPr>
            <w:r>
              <w:rPr>
                <w:b/>
                <w:color w:val="FFFFFF"/>
                <w:sz w:val="19"/>
              </w:rPr>
              <w:t>Concept</w:t>
            </w:r>
          </w:p>
        </w:tc>
        <w:tc>
          <w:tcPr>
            <w:tcW w:type="dxa" w:w="7776"/>
            <w:vAlign w:val="center"/>
            <w:shd w:fill="1F4E79"/>
            <w:tcMar>
              <w:top w:w="90" w:type="dxa"/>
              <w:start w:w="90" w:type="dxa"/>
              <w:bottom w:w="90" w:type="dxa"/>
              <w:end w:w="90" w:type="dxa"/>
            </w:tcMar>
          </w:tcPr>
          <w:p>
            <w:pPr>
              <w:jc w:val="center"/>
            </w:pPr>
            <w:r>
              <w:rPr>
                <w:b/>
                <w:color w:val="FFFFFF"/>
                <w:sz w:val="19"/>
              </w:rPr>
              <w:t>Meaning</w:t>
            </w:r>
          </w:p>
        </w:tc>
      </w:tr>
      <w:tr>
        <w:tc>
          <w:tcPr>
            <w:tcW w:type="dxa" w:w="2016"/>
            <w:vAlign w:val="center"/>
            <w:tcMar>
              <w:top w:w="90" w:type="dxa"/>
              <w:start w:w="90" w:type="dxa"/>
              <w:bottom w:w="90" w:type="dxa"/>
              <w:end w:w="90" w:type="dxa"/>
            </w:tcMar>
          </w:tcPr>
          <w:p>
            <w:pPr>
              <w:spacing w:before="0" w:after="0" w:line="276" w:lineRule="auto"/>
              <w:jc w:val="center"/>
            </w:pPr>
            <w:r>
              <w:rPr>
                <w:color w:val="1F2937"/>
                <w:sz w:val="18"/>
              </w:rPr>
              <w:t>Event</w:t>
            </w:r>
          </w:p>
        </w:tc>
        <w:tc>
          <w:tcPr>
            <w:tcW w:type="dxa" w:w="7776"/>
            <w:vAlign w:val="center"/>
            <w:tcMar>
              <w:top w:w="90" w:type="dxa"/>
              <w:start w:w="90" w:type="dxa"/>
              <w:bottom w:w="90" w:type="dxa"/>
              <w:end w:w="90" w:type="dxa"/>
            </w:tcMar>
          </w:tcPr>
          <w:p>
            <w:pPr>
              <w:spacing w:before="0" w:after="0" w:line="276" w:lineRule="auto"/>
              <w:jc w:val="left"/>
            </w:pPr>
            <w:r>
              <w:rPr>
                <w:color w:val="1F2937"/>
                <w:sz w:val="18"/>
              </w:rPr>
              <w:t>Something happened: payment.missed, promise.created, payment.received, debtor.replied.</w:t>
            </w:r>
          </w:p>
        </w:tc>
      </w:tr>
      <w:tr>
        <w:tc>
          <w:tcPr>
            <w:tcW w:type="dxa" w:w="2016"/>
            <w:vAlign w:val="center"/>
            <w:tcMar>
              <w:top w:w="90" w:type="dxa"/>
              <w:start w:w="90" w:type="dxa"/>
              <w:bottom w:w="90" w:type="dxa"/>
              <w:end w:w="90" w:type="dxa"/>
            </w:tcMar>
          </w:tcPr>
          <w:p>
            <w:pPr>
              <w:spacing w:before="0" w:after="0" w:line="276" w:lineRule="auto"/>
              <w:jc w:val="center"/>
            </w:pPr>
            <w:r>
              <w:rPr>
                <w:color w:val="1F2937"/>
                <w:sz w:val="18"/>
              </w:rPr>
              <w:t>Condition</w:t>
            </w:r>
          </w:p>
        </w:tc>
        <w:tc>
          <w:tcPr>
            <w:tcW w:type="dxa" w:w="7776"/>
            <w:vAlign w:val="center"/>
            <w:tcMar>
              <w:top w:w="90" w:type="dxa"/>
              <w:start w:w="90" w:type="dxa"/>
              <w:bottom w:w="90" w:type="dxa"/>
              <w:end w:w="90" w:type="dxa"/>
            </w:tcMar>
          </w:tcPr>
          <w:p>
            <w:pPr>
              <w:spacing w:before="0" w:after="0" w:line="276" w:lineRule="auto"/>
              <w:jc w:val="left"/>
            </w:pPr>
            <w:r>
              <w:rPr>
                <w:color w:val="1F2937"/>
                <w:sz w:val="18"/>
              </w:rPr>
              <w:t>Boolean test against facts: days_past_due &gt; 7, risk_band == high, no_active_promise == true.</w:t>
            </w:r>
          </w:p>
        </w:tc>
      </w:tr>
      <w:tr>
        <w:tc>
          <w:tcPr>
            <w:tcW w:type="dxa" w:w="2016"/>
            <w:vAlign w:val="center"/>
            <w:tcMar>
              <w:top w:w="90" w:type="dxa"/>
              <w:start w:w="90" w:type="dxa"/>
              <w:bottom w:w="90" w:type="dxa"/>
              <w:end w:w="90" w:type="dxa"/>
            </w:tcMar>
          </w:tcPr>
          <w:p>
            <w:pPr>
              <w:spacing w:before="0" w:after="0" w:line="276" w:lineRule="auto"/>
              <w:jc w:val="center"/>
            </w:pPr>
            <w:r>
              <w:rPr>
                <w:color w:val="1F2937"/>
                <w:sz w:val="18"/>
              </w:rPr>
              <w:t>Action</w:t>
            </w:r>
          </w:p>
        </w:tc>
        <w:tc>
          <w:tcPr>
            <w:tcW w:type="dxa" w:w="7776"/>
            <w:vAlign w:val="center"/>
            <w:tcMar>
              <w:top w:w="90" w:type="dxa"/>
              <w:start w:w="90" w:type="dxa"/>
              <w:bottom w:w="90" w:type="dxa"/>
              <w:end w:w="90" w:type="dxa"/>
            </w:tcMar>
          </w:tcPr>
          <w:p>
            <w:pPr>
              <w:spacing w:before="0" w:after="0" w:line="276" w:lineRule="auto"/>
              <w:jc w:val="left"/>
            </w:pPr>
            <w:r>
              <w:rPr>
                <w:color w:val="1F2937"/>
                <w:sz w:val="18"/>
              </w:rPr>
              <w:t>What the platform does: send_sms, create_task, assign_queue, escalate_case, stop_contact.</w:t>
            </w:r>
          </w:p>
        </w:tc>
      </w:tr>
      <w:tr>
        <w:tc>
          <w:tcPr>
            <w:tcW w:type="dxa" w:w="2016"/>
            <w:vAlign w:val="center"/>
            <w:tcMar>
              <w:top w:w="90" w:type="dxa"/>
              <w:start w:w="90" w:type="dxa"/>
              <w:bottom w:w="90" w:type="dxa"/>
              <w:end w:w="90" w:type="dxa"/>
            </w:tcMar>
          </w:tcPr>
          <w:p>
            <w:pPr>
              <w:spacing w:before="0" w:after="0" w:line="276" w:lineRule="auto"/>
              <w:jc w:val="center"/>
            </w:pPr>
            <w:r>
              <w:rPr>
                <w:color w:val="1F2937"/>
                <w:sz w:val="18"/>
              </w:rPr>
              <w:t>Policy</w:t>
            </w:r>
          </w:p>
        </w:tc>
        <w:tc>
          <w:tcPr>
            <w:tcW w:type="dxa" w:w="7776"/>
            <w:vAlign w:val="center"/>
            <w:tcMar>
              <w:top w:w="90" w:type="dxa"/>
              <w:start w:w="90" w:type="dxa"/>
              <w:bottom w:w="90" w:type="dxa"/>
              <w:end w:w="90" w:type="dxa"/>
            </w:tcMar>
          </w:tcPr>
          <w:p>
            <w:pPr>
              <w:spacing w:before="0" w:after="0" w:line="276" w:lineRule="auto"/>
              <w:jc w:val="left"/>
            </w:pPr>
            <w:r>
              <w:rPr>
                <w:color w:val="1F2937"/>
                <w:sz w:val="18"/>
              </w:rPr>
              <w:t>Guardrail: max contacts per 7 days, do-not-call windows, channel consent, regional rules.</w:t>
            </w:r>
          </w:p>
        </w:tc>
      </w:tr>
      <w:tr>
        <w:tc>
          <w:tcPr>
            <w:tcW w:type="dxa" w:w="2016"/>
            <w:vAlign w:val="center"/>
            <w:tcMar>
              <w:top w:w="90" w:type="dxa"/>
              <w:start w:w="90" w:type="dxa"/>
              <w:bottom w:w="90" w:type="dxa"/>
              <w:end w:w="90" w:type="dxa"/>
            </w:tcMar>
          </w:tcPr>
          <w:p>
            <w:pPr>
              <w:spacing w:before="0" w:after="0" w:line="276" w:lineRule="auto"/>
              <w:jc w:val="center"/>
            </w:pPr>
            <w:r>
              <w:rPr>
                <w:color w:val="1F2937"/>
                <w:sz w:val="18"/>
              </w:rPr>
              <w:t>Strategy</w:t>
            </w:r>
          </w:p>
        </w:tc>
        <w:tc>
          <w:tcPr>
            <w:tcW w:type="dxa" w:w="7776"/>
            <w:vAlign w:val="center"/>
            <w:tcMar>
              <w:top w:w="90" w:type="dxa"/>
              <w:start w:w="90" w:type="dxa"/>
              <w:bottom w:w="90" w:type="dxa"/>
              <w:end w:w="90" w:type="dxa"/>
            </w:tcMar>
          </w:tcPr>
          <w:p>
            <w:pPr>
              <w:spacing w:before="0" w:after="0" w:line="276" w:lineRule="auto"/>
              <w:jc w:val="left"/>
            </w:pPr>
            <w:r>
              <w:rPr>
                <w:color w:val="1F2937"/>
                <w:sz w:val="18"/>
              </w:rPr>
              <w:t>A coherent collection plan for a segment or portfolio.</w:t>
            </w:r>
          </w:p>
        </w:tc>
      </w:tr>
      <w:tr>
        <w:tc>
          <w:tcPr>
            <w:tcW w:type="dxa" w:w="2016"/>
            <w:vAlign w:val="center"/>
            <w:tcMar>
              <w:top w:w="90" w:type="dxa"/>
              <w:start w:w="90" w:type="dxa"/>
              <w:bottom w:w="90" w:type="dxa"/>
              <w:end w:w="90" w:type="dxa"/>
            </w:tcMar>
          </w:tcPr>
          <w:p>
            <w:pPr>
              <w:spacing w:before="0" w:after="0" w:line="276" w:lineRule="auto"/>
              <w:jc w:val="center"/>
            </w:pPr>
            <w:r>
              <w:rPr>
                <w:color w:val="1F2937"/>
                <w:sz w:val="18"/>
              </w:rPr>
              <w:t>Version</w:t>
            </w:r>
          </w:p>
        </w:tc>
        <w:tc>
          <w:tcPr>
            <w:tcW w:type="dxa" w:w="7776"/>
            <w:vAlign w:val="center"/>
            <w:tcMar>
              <w:top w:w="90" w:type="dxa"/>
              <w:start w:w="90" w:type="dxa"/>
              <w:bottom w:w="90" w:type="dxa"/>
              <w:end w:w="90" w:type="dxa"/>
            </w:tcMar>
          </w:tcPr>
          <w:p>
            <w:pPr>
              <w:spacing w:before="0" w:after="0" w:line="276" w:lineRule="auto"/>
              <w:jc w:val="left"/>
            </w:pPr>
            <w:r>
              <w:rPr>
                <w:color w:val="1F2937"/>
                <w:sz w:val="18"/>
              </w:rPr>
              <w:t>Immutable published definition for deterministic execution and audit replay.</w:t>
            </w:r>
          </w:p>
        </w:tc>
      </w:tr>
    </w:tbl>
    <w:p/>
    <w:p>
      <w:pPr>
        <w:pStyle w:val="Heading2"/>
        <w:spacing w:before="60" w:after="40" w:line="276" w:lineRule="auto"/>
      </w:pPr>
      <w:r>
        <w:t>4.2 Decision Pipeline</w:t>
      </w:r>
    </w:p>
    <w:tbl>
      <w:tblPr>
        <w:tblW w:type="auto" w:w="0"/>
        <w:jc w:val="center"/>
        <w:tblLook w:firstColumn="1" w:firstRow="1" w:lastColumn="0" w:lastRow="0" w:noHBand="0" w:noVBand="1" w:val="04A0"/>
        <w:tblBorders>
          <w:top w:val="single" w:sz="6" w:space="0" w:color="D7DFEA"/>
          <w:left w:val="single" w:sz="6" w:space="0" w:color="D7DFEA"/>
          <w:bottom w:val="single" w:sz="6" w:space="0" w:color="D7DFEA"/>
          <w:right w:val="single" w:sz="6" w:space="0" w:color="D7DFEA"/>
          <w:insideH w:val="single" w:sz="6" w:space="0" w:color="D7DFEA"/>
          <w:insideV w:val="single" w:sz="6" w:space="0" w:color="D7DFEA"/>
        </w:tblBorders>
      </w:tblPr>
      <w:tblGrid>
        <w:gridCol w:w="9972"/>
      </w:tblGrid>
      <w:tr>
        <w:tc>
          <w:tcPr>
            <w:tcW w:type="dxa" w:w="9972"/>
            <w:shd w:fill="F8FAFC"/>
            <w:tcMar>
              <w:top w:w="120" w:type="dxa"/>
              <w:start w:w="120" w:type="dxa"/>
              <w:bottom w:w="120" w:type="dxa"/>
              <w:end w:w="120" w:type="dxa"/>
            </w:tcMar>
          </w:tcPr>
          <w:p>
            <w:pPr>
              <w:spacing w:before="0" w:after="0" w:line="252" w:lineRule="auto"/>
            </w:pPr>
            <w:r>
              <w:rPr>
                <w:rFonts w:ascii="Courier New" w:hAnsi="Courier New"/>
                <w:sz w:val="17"/>
              </w:rPr>
              <w:t>Incoming Event</w:t>
              <w:br/>
            </w:r>
            <w:r>
              <w:rPr>
                <w:rFonts w:ascii="Courier New" w:hAnsi="Courier New"/>
                <w:sz w:val="17"/>
              </w:rPr>
              <w:t xml:space="preserve">   -&gt; enrich facts (account, debtor, case, recent history, policy context)</w:t>
              <w:br/>
            </w:r>
            <w:r>
              <w:rPr>
                <w:rFonts w:ascii="Courier New" w:hAnsi="Courier New"/>
                <w:sz w:val="17"/>
              </w:rPr>
              <w:t xml:space="preserve">   -&gt; evaluate segment and score</w:t>
              <w:br/>
            </w:r>
            <w:r>
              <w:rPr>
                <w:rFonts w:ascii="Courier New" w:hAnsi="Courier New"/>
                <w:sz w:val="17"/>
              </w:rPr>
              <w:t xml:space="preserve">   -&gt; select eligible strategies</w:t>
              <w:br/>
            </w:r>
            <w:r>
              <w:rPr>
                <w:rFonts w:ascii="Courier New" w:hAnsi="Courier New"/>
                <w:sz w:val="17"/>
              </w:rPr>
              <w:t xml:space="preserve">   -&gt; apply policy constraints and suppression rules</w:t>
              <w:br/>
            </w:r>
            <w:r>
              <w:rPr>
                <w:rFonts w:ascii="Courier New" w:hAnsi="Courier New"/>
                <w:sz w:val="17"/>
              </w:rPr>
              <w:t xml:space="preserve">   -&gt; produce prioritized actions</w:t>
              <w:br/>
            </w:r>
            <w:r>
              <w:rPr>
                <w:rFonts w:ascii="Courier New" w:hAnsi="Courier New"/>
                <w:sz w:val="17"/>
              </w:rPr>
              <w:t xml:space="preserve">   -&gt; schedule immediate and delayed actions</w:t>
              <w:br/>
            </w:r>
            <w:r>
              <w:rPr>
                <w:rFonts w:ascii="Courier New" w:hAnsi="Courier New"/>
                <w:sz w:val="17"/>
              </w:rPr>
              <w:t xml:space="preserve">   -&gt; emit execution events and audit records</w:t>
            </w:r>
          </w:p>
        </w:tc>
      </w:tr>
    </w:tbl>
    <w:p/>
    <w:p>
      <w:pPr>
        <w:pStyle w:val="Heading2"/>
        <w:spacing w:before="60" w:after="40" w:line="276" w:lineRule="auto"/>
      </w:pPr>
      <w:r>
        <w:t>4.3 Example Strategy Logic</w:t>
      </w:r>
    </w:p>
    <w:tbl>
      <w:tblPr>
        <w:tblStyle w:val="TableGrid"/>
        <w:tblW w:type="auto" w:w="0"/>
        <w:jc w:val="center"/>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324"/>
        <w:gridCol w:w="3324"/>
        <w:gridCol w:w="3324"/>
      </w:tblGrid>
      <w:tr>
        <w:tc>
          <w:tcPr>
            <w:tcW w:type="dxa" w:w="2232"/>
            <w:vAlign w:val="center"/>
            <w:shd w:fill="1F4E79"/>
            <w:tcMar>
              <w:top w:w="90" w:type="dxa"/>
              <w:start w:w="90" w:type="dxa"/>
              <w:bottom w:w="90" w:type="dxa"/>
              <w:end w:w="90" w:type="dxa"/>
            </w:tcMar>
          </w:tcPr>
          <w:p>
            <w:pPr>
              <w:jc w:val="center"/>
            </w:pPr>
            <w:r>
              <w:rPr>
                <w:b/>
                <w:color w:val="FFFFFF"/>
                <w:sz w:val="18"/>
              </w:rPr>
              <w:t>Scenario</w:t>
            </w:r>
          </w:p>
        </w:tc>
        <w:tc>
          <w:tcPr>
            <w:tcW w:type="dxa" w:w="4032"/>
            <w:vAlign w:val="center"/>
            <w:shd w:fill="1F4E79"/>
            <w:tcMar>
              <w:top w:w="90" w:type="dxa"/>
              <w:start w:w="90" w:type="dxa"/>
              <w:bottom w:w="90" w:type="dxa"/>
              <w:end w:w="90" w:type="dxa"/>
            </w:tcMar>
          </w:tcPr>
          <w:p>
            <w:pPr>
              <w:jc w:val="center"/>
            </w:pPr>
            <w:r>
              <w:rPr>
                <w:b/>
                <w:color w:val="FFFFFF"/>
                <w:sz w:val="18"/>
              </w:rPr>
              <w:t>Typical actions</w:t>
            </w:r>
          </w:p>
        </w:tc>
        <w:tc>
          <w:tcPr>
            <w:tcW w:type="dxa" w:w="3384"/>
            <w:vAlign w:val="center"/>
            <w:shd w:fill="1F4E79"/>
            <w:tcMar>
              <w:top w:w="90" w:type="dxa"/>
              <w:start w:w="90" w:type="dxa"/>
              <w:bottom w:w="90" w:type="dxa"/>
              <w:end w:w="90" w:type="dxa"/>
            </w:tcMar>
          </w:tcPr>
          <w:p>
            <w:pPr>
              <w:jc w:val="center"/>
            </w:pPr>
            <w:r>
              <w:rPr>
                <w:b/>
                <w:color w:val="FFFFFF"/>
                <w:sz w:val="18"/>
              </w:rPr>
              <w:t>Key controls</w:t>
            </w:r>
          </w:p>
        </w:tc>
      </w:tr>
      <w:tr>
        <w:tc>
          <w:tcPr>
            <w:tcW w:type="dxa" w:w="2232"/>
            <w:vAlign w:val="center"/>
            <w:tcMar>
              <w:top w:w="90" w:type="dxa"/>
              <w:start w:w="90" w:type="dxa"/>
              <w:bottom w:w="90" w:type="dxa"/>
              <w:end w:w="90" w:type="dxa"/>
            </w:tcMar>
          </w:tcPr>
          <w:p>
            <w:pPr>
              <w:spacing w:before="0" w:after="0" w:line="276" w:lineRule="auto"/>
              <w:jc w:val="left"/>
            </w:pPr>
            <w:r>
              <w:rPr>
                <w:color w:val="1F2937"/>
                <w:sz w:val="17"/>
              </w:rPr>
              <w:t>Early bucket (1-7 DPD)</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Gentle reminders, digital-first channels, self-service payment link.</w:t>
            </w:r>
          </w:p>
        </w:tc>
        <w:tc>
          <w:tcPr>
            <w:tcW w:type="dxa" w:w="3384"/>
            <w:vAlign w:val="center"/>
            <w:tcMar>
              <w:top w:w="90" w:type="dxa"/>
              <w:start w:w="90" w:type="dxa"/>
              <w:bottom w:w="90" w:type="dxa"/>
              <w:end w:w="90" w:type="dxa"/>
            </w:tcMar>
          </w:tcPr>
          <w:p>
            <w:pPr>
              <w:spacing w:before="0" w:after="0" w:line="276" w:lineRule="auto"/>
              <w:jc w:val="left"/>
            </w:pPr>
            <w:r>
              <w:rPr>
                <w:color w:val="1F2937"/>
                <w:sz w:val="17"/>
              </w:rPr>
              <w:t>Max 1 outbound touch per day; stop on promise or payment.</w:t>
            </w:r>
          </w:p>
        </w:tc>
      </w:tr>
      <w:tr>
        <w:tc>
          <w:tcPr>
            <w:tcW w:type="dxa" w:w="2232"/>
            <w:vAlign w:val="center"/>
            <w:tcMar>
              <w:top w:w="90" w:type="dxa"/>
              <w:start w:w="90" w:type="dxa"/>
              <w:bottom w:w="90" w:type="dxa"/>
              <w:end w:w="90" w:type="dxa"/>
            </w:tcMar>
          </w:tcPr>
          <w:p>
            <w:pPr>
              <w:spacing w:before="0" w:after="0" w:line="276" w:lineRule="auto"/>
              <w:jc w:val="left"/>
            </w:pPr>
            <w:r>
              <w:rPr>
                <w:color w:val="1F2937"/>
                <w:sz w:val="17"/>
              </w:rPr>
              <w:t>Mid bucket (8-30 DPD)</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Escalate to assisted collections, SMS + call task, stronger messaging.</w:t>
            </w:r>
          </w:p>
        </w:tc>
        <w:tc>
          <w:tcPr>
            <w:tcW w:type="dxa" w:w="3384"/>
            <w:vAlign w:val="center"/>
            <w:tcMar>
              <w:top w:w="90" w:type="dxa"/>
              <w:start w:w="90" w:type="dxa"/>
              <w:bottom w:w="90" w:type="dxa"/>
              <w:end w:w="90" w:type="dxa"/>
            </w:tcMar>
          </w:tcPr>
          <w:p>
            <w:pPr>
              <w:spacing w:before="0" w:after="0" w:line="276" w:lineRule="auto"/>
              <w:jc w:val="left"/>
            </w:pPr>
            <w:r>
              <w:rPr>
                <w:color w:val="1F2937"/>
                <w:sz w:val="17"/>
              </w:rPr>
              <w:t>Check local call windows and failed contact count.</w:t>
            </w:r>
          </w:p>
        </w:tc>
      </w:tr>
      <w:tr>
        <w:tc>
          <w:tcPr>
            <w:tcW w:type="dxa" w:w="2232"/>
            <w:vAlign w:val="center"/>
            <w:tcMar>
              <w:top w:w="90" w:type="dxa"/>
              <w:start w:w="90" w:type="dxa"/>
              <w:bottom w:w="90" w:type="dxa"/>
              <w:end w:w="90" w:type="dxa"/>
            </w:tcMar>
          </w:tcPr>
          <w:p>
            <w:pPr>
              <w:spacing w:before="0" w:after="0" w:line="276" w:lineRule="auto"/>
              <w:jc w:val="left"/>
            </w:pPr>
            <w:r>
              <w:rPr>
                <w:color w:val="1F2937"/>
                <w:sz w:val="17"/>
              </w:rPr>
              <w:t>Late bucket (31+ DPD)</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Supervisor queue, settlement offers, agency/legal prep.</w:t>
            </w:r>
          </w:p>
        </w:tc>
        <w:tc>
          <w:tcPr>
            <w:tcW w:type="dxa" w:w="3384"/>
            <w:vAlign w:val="center"/>
            <w:tcMar>
              <w:top w:w="90" w:type="dxa"/>
              <w:start w:w="90" w:type="dxa"/>
              <w:bottom w:w="90" w:type="dxa"/>
              <w:end w:w="90" w:type="dxa"/>
            </w:tcMar>
          </w:tcPr>
          <w:p>
            <w:pPr>
              <w:spacing w:before="0" w:after="0" w:line="276" w:lineRule="auto"/>
              <w:jc w:val="left"/>
            </w:pPr>
            <w:r>
              <w:rPr>
                <w:color w:val="1F2937"/>
                <w:sz w:val="17"/>
              </w:rPr>
              <w:t>Require manager-approved strategy path on certain products.</w:t>
            </w:r>
          </w:p>
        </w:tc>
      </w:tr>
      <w:tr>
        <w:tc>
          <w:tcPr>
            <w:tcW w:type="dxa" w:w="2232"/>
            <w:vAlign w:val="center"/>
            <w:tcMar>
              <w:top w:w="90" w:type="dxa"/>
              <w:start w:w="90" w:type="dxa"/>
              <w:bottom w:w="90" w:type="dxa"/>
              <w:end w:w="90" w:type="dxa"/>
            </w:tcMar>
          </w:tcPr>
          <w:p>
            <w:pPr>
              <w:spacing w:before="0" w:after="0" w:line="276" w:lineRule="auto"/>
              <w:jc w:val="center"/>
            </w:pPr>
            <w:r>
              <w:rPr>
                <w:color w:val="1F2937"/>
                <w:sz w:val="17"/>
              </w:rPr>
              <w:t>Broken promise</w:t>
            </w:r>
          </w:p>
        </w:tc>
        <w:tc>
          <w:tcPr>
            <w:tcW w:type="dxa" w:w="4032"/>
            <w:vAlign w:val="center"/>
            <w:tcMar>
              <w:top w:w="90" w:type="dxa"/>
              <w:start w:w="90" w:type="dxa"/>
              <w:bottom w:w="90" w:type="dxa"/>
              <w:end w:w="90" w:type="dxa"/>
            </w:tcMar>
          </w:tcPr>
          <w:p>
            <w:pPr>
              <w:spacing w:before="0" w:after="0" w:line="276" w:lineRule="auto"/>
              <w:jc w:val="left"/>
            </w:pPr>
            <w:r>
              <w:rPr>
                <w:color w:val="1F2937"/>
                <w:sz w:val="17"/>
              </w:rPr>
              <w:t>Immediate re-score and high-priority callback task.</w:t>
            </w:r>
          </w:p>
        </w:tc>
        <w:tc>
          <w:tcPr>
            <w:tcW w:type="dxa" w:w="3384"/>
            <w:vAlign w:val="center"/>
            <w:tcMar>
              <w:top w:w="90" w:type="dxa"/>
              <w:start w:w="90" w:type="dxa"/>
              <w:bottom w:w="90" w:type="dxa"/>
              <w:end w:w="90" w:type="dxa"/>
            </w:tcMar>
          </w:tcPr>
          <w:p>
            <w:pPr>
              <w:spacing w:before="0" w:after="0" w:line="276" w:lineRule="auto"/>
              <w:jc w:val="left"/>
            </w:pPr>
            <w:r>
              <w:rPr>
                <w:color w:val="1F2937"/>
                <w:sz w:val="17"/>
              </w:rPr>
              <w:t>Suppress duplicate reminders for 24 hours to avoid spammy behavior.</w:t>
            </w:r>
          </w:p>
        </w:tc>
      </w:tr>
    </w:tbl>
    <w:p/>
    <w:p>
      <w:pPr>
        <w:pStyle w:val="Heading2"/>
        <w:spacing w:before="60" w:after="40" w:line="276" w:lineRule="auto"/>
      </w:pPr>
      <w:r>
        <w:t>4.4 Example Workflow DSL</w:t>
      </w:r>
    </w:p>
    <w:tbl>
      <w:tblPr>
        <w:tblW w:type="auto" w:w="0"/>
        <w:jc w:val="center"/>
        <w:tblLook w:firstColumn="1" w:firstRow="1" w:lastColumn="0" w:lastRow="0" w:noHBand="0" w:noVBand="1" w:val="04A0"/>
        <w:tblBorders>
          <w:top w:val="single" w:sz="6" w:space="0" w:color="D7DFEA"/>
          <w:left w:val="single" w:sz="6" w:space="0" w:color="D7DFEA"/>
          <w:bottom w:val="single" w:sz="6" w:space="0" w:color="D7DFEA"/>
          <w:right w:val="single" w:sz="6" w:space="0" w:color="D7DFEA"/>
          <w:insideH w:val="single" w:sz="6" w:space="0" w:color="D7DFEA"/>
          <w:insideV w:val="single" w:sz="6" w:space="0" w:color="D7DFEA"/>
        </w:tblBorders>
      </w:tblPr>
      <w:tblGrid>
        <w:gridCol w:w="9972"/>
      </w:tblGrid>
      <w:tr>
        <w:tc>
          <w:tcPr>
            <w:tcW w:type="dxa" w:w="9972"/>
            <w:shd w:fill="F8FAFC"/>
            <w:tcMar>
              <w:top w:w="120" w:type="dxa"/>
              <w:start w:w="120" w:type="dxa"/>
              <w:bottom w:w="120" w:type="dxa"/>
              <w:end w:w="120" w:type="dxa"/>
            </w:tcMar>
          </w:tcPr>
          <w:p>
            <w:pPr>
              <w:spacing w:before="0" w:after="0" w:line="252" w:lineRule="auto"/>
            </w:pPr>
            <w:r>
              <w:rPr>
                <w:rFonts w:ascii="Courier New" w:hAnsi="Courier New"/>
                <w:sz w:val="17"/>
              </w:rPr>
              <w:t>workflow: retail_unsecured_delinquency</w:t>
              <w:br/>
            </w:r>
            <w:r>
              <w:rPr>
                <w:rFonts w:ascii="Courier New" w:hAnsi="Courier New"/>
                <w:sz w:val="17"/>
              </w:rPr>
              <w:t>version: 7</w:t>
              <w:br/>
            </w:r>
            <w:r>
              <w:rPr>
                <w:rFonts w:ascii="Courier New" w:hAnsi="Courier New"/>
                <w:sz w:val="17"/>
              </w:rPr>
              <w:t>trigger: payment.missed</w:t>
              <w:br/>
            </w:r>
            <w:r>
              <w:rPr>
                <w:rFonts w:ascii="Courier New" w:hAnsi="Courier New"/>
                <w:sz w:val="17"/>
              </w:rPr>
              <w:t>when:</w:t>
              <w:br/>
            </w:r>
            <w:r>
              <w:rPr>
                <w:rFonts w:ascii="Courier New" w:hAnsi="Courier New"/>
                <w:sz w:val="17"/>
              </w:rPr>
              <w:t xml:space="preserve">  product_type in ["personal_loan", "credit_line"]</w:t>
              <w:br/>
            </w:r>
            <w:r>
              <w:rPr>
                <w:rFonts w:ascii="Courier New" w:hAnsi="Courier New"/>
                <w:sz w:val="17"/>
              </w:rPr>
              <w:t xml:space="preserve">  and days_past_due &gt;= 3</w:t>
              <w:br/>
            </w:r>
            <w:r>
              <w:rPr>
                <w:rFonts w:ascii="Courier New" w:hAnsi="Courier New"/>
                <w:sz w:val="17"/>
              </w:rPr>
              <w:t xml:space="preserve">  and consent.sms == true</w:t>
              <w:br/>
            </w:r>
            <w:r>
              <w:rPr>
                <w:rFonts w:ascii="Courier New" w:hAnsi="Courier New"/>
                <w:sz w:val="17"/>
              </w:rPr>
              <w:t xml:space="preserve">  and policy.contact_window_open == true</w:t>
              <w:br/>
            </w:r>
            <w:r>
              <w:rPr>
                <w:rFonts w:ascii="Courier New" w:hAnsi="Courier New"/>
                <w:sz w:val="17"/>
              </w:rPr>
              <w:t>steps:</w:t>
              <w:br/>
            </w:r>
            <w:r>
              <w:rPr>
                <w:rFonts w:ascii="Courier New" w:hAnsi="Courier New"/>
                <w:sz w:val="17"/>
              </w:rPr>
              <w:t xml:space="preserve">  - if: days_past_due between 3 and 7</w:t>
              <w:br/>
            </w:r>
            <w:r>
              <w:rPr>
                <w:rFonts w:ascii="Courier New" w:hAnsi="Courier New"/>
                <w:sz w:val="17"/>
              </w:rPr>
              <w:t xml:space="preserve">    actions:</w:t>
              <w:br/>
            </w:r>
            <w:r>
              <w:rPr>
                <w:rFonts w:ascii="Courier New" w:hAnsi="Courier New"/>
                <w:sz w:val="17"/>
              </w:rPr>
              <w:t xml:space="preserve">      - send_sms(template: due_notice_v3)</w:t>
              <w:br/>
            </w:r>
            <w:r>
              <w:rPr>
                <w:rFonts w:ascii="Courier New" w:hAnsi="Courier New"/>
                <w:sz w:val="17"/>
              </w:rPr>
              <w:t xml:space="preserve">      - schedule(delay: 48h, action: create_task(queue: call_light))</w:t>
              <w:br/>
            </w:r>
            <w:r>
              <w:rPr>
                <w:rFonts w:ascii="Courier New" w:hAnsi="Courier New"/>
                <w:sz w:val="17"/>
              </w:rPr>
              <w:t xml:space="preserve">  - if: days_past_due &gt; 7 and no_payment_since_trigger == true</w:t>
              <w:br/>
            </w:r>
            <w:r>
              <w:rPr>
                <w:rFonts w:ascii="Courier New" w:hAnsi="Courier New"/>
                <w:sz w:val="17"/>
              </w:rPr>
              <w:t xml:space="preserve">    actions:</w:t>
              <w:br/>
            </w:r>
            <w:r>
              <w:rPr>
                <w:rFonts w:ascii="Courier New" w:hAnsi="Courier New"/>
                <w:sz w:val="17"/>
              </w:rPr>
              <w:t xml:space="preserve">      - assign_queue(name: assisted_collections)</w:t>
              <w:br/>
            </w:r>
            <w:r>
              <w:rPr>
                <w:rFonts w:ascii="Courier New" w:hAnsi="Courier New"/>
                <w:sz w:val="17"/>
              </w:rPr>
              <w:t xml:space="preserve">      - send_email(template: urgent_due_v2)</w:t>
              <w:br/>
            </w:r>
            <w:r>
              <w:rPr>
                <w:rFonts w:ascii="Courier New" w:hAnsi="Courier New"/>
                <w:sz w:val="17"/>
              </w:rPr>
              <w:t xml:space="preserve">      - flag_case(priority: high)</w:t>
              <w:br/>
            </w:r>
            <w:r>
              <w:rPr>
                <w:rFonts w:ascii="Courier New" w:hAnsi="Courier New"/>
                <w:sz w:val="17"/>
              </w:rPr>
              <w:t>stop_conditions:</w:t>
              <w:br/>
            </w:r>
            <w:r>
              <w:rPr>
                <w:rFonts w:ascii="Courier New" w:hAnsi="Courier New"/>
                <w:sz w:val="17"/>
              </w:rPr>
              <w:t xml:space="preserve">  - payment_received</w:t>
              <w:br/>
            </w:r>
            <w:r>
              <w:rPr>
                <w:rFonts w:ascii="Courier New" w:hAnsi="Courier New"/>
                <w:sz w:val="17"/>
              </w:rPr>
              <w:t xml:space="preserve">  - active_promise_created</w:t>
              <w:br/>
            </w:r>
            <w:r>
              <w:rPr>
                <w:rFonts w:ascii="Courier New" w:hAnsi="Courier New"/>
                <w:sz w:val="17"/>
              </w:rPr>
              <w:t xml:space="preserve">  - dispute_opened</w:t>
            </w:r>
          </w:p>
        </w:tc>
      </w:tr>
    </w:tbl>
    <w:p/>
    <w:p>
      <w:pPr>
        <w:pStyle w:val="Heading2"/>
        <w:spacing w:before="60" w:after="40" w:line="276" w:lineRule="auto"/>
      </w:pPr>
      <w:r>
        <w:t>4.5 Policy and Compliance Overlay</w:t>
      </w:r>
    </w:p>
    <w:p>
      <w:pPr>
        <w:spacing w:before="0" w:after="80" w:line="288" w:lineRule="auto"/>
      </w:pPr>
      <w:r>
        <w:t>Policies are evaluated before actions are dispatched. This prevents the strategy team from accidentally publishing a workflow that violates regional rules, consent limits, or internal risk controls.</w:t>
      </w:r>
    </w:p>
    <w:tbl>
      <w:tblPr>
        <w:tblStyle w:val="TableGrid"/>
        <w:tblW w:type="auto" w:w="0"/>
        <w:jc w:val="center"/>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4986"/>
        <w:gridCol w:w="4986"/>
      </w:tblGrid>
      <w:tr>
        <w:tc>
          <w:tcPr>
            <w:tcW w:type="dxa" w:w="2592"/>
            <w:vAlign w:val="center"/>
            <w:shd w:fill="1F4E79"/>
            <w:tcMar>
              <w:top w:w="90" w:type="dxa"/>
              <w:start w:w="90" w:type="dxa"/>
              <w:bottom w:w="90" w:type="dxa"/>
              <w:end w:w="90" w:type="dxa"/>
            </w:tcMar>
          </w:tcPr>
          <w:p>
            <w:pPr>
              <w:jc w:val="center"/>
            </w:pPr>
            <w:r>
              <w:rPr>
                <w:b/>
                <w:color w:val="FFFFFF"/>
                <w:sz w:val="19"/>
              </w:rPr>
              <w:t>Control</w:t>
            </w:r>
          </w:p>
        </w:tc>
        <w:tc>
          <w:tcPr>
            <w:tcW w:type="dxa" w:w="7200"/>
            <w:vAlign w:val="center"/>
            <w:shd w:fill="1F4E79"/>
            <w:tcMar>
              <w:top w:w="90" w:type="dxa"/>
              <w:start w:w="90" w:type="dxa"/>
              <w:bottom w:w="90" w:type="dxa"/>
              <w:end w:w="90" w:type="dxa"/>
            </w:tcMar>
          </w:tcPr>
          <w:p>
            <w:pPr>
              <w:jc w:val="center"/>
            </w:pPr>
            <w:r>
              <w:rPr>
                <w:b/>
                <w:color w:val="FFFFFF"/>
                <w:sz w:val="19"/>
              </w:rPr>
              <w:t>Enforcement rule</w:t>
            </w:r>
          </w:p>
        </w:tc>
      </w:tr>
      <w:tr>
        <w:tc>
          <w:tcPr>
            <w:tcW w:type="dxa" w:w="2592"/>
            <w:vAlign w:val="center"/>
            <w:tcMar>
              <w:top w:w="90" w:type="dxa"/>
              <w:start w:w="90" w:type="dxa"/>
              <w:bottom w:w="90" w:type="dxa"/>
              <w:end w:w="90" w:type="dxa"/>
            </w:tcMar>
          </w:tcPr>
          <w:p>
            <w:pPr>
              <w:spacing w:before="0" w:after="0" w:line="276" w:lineRule="auto"/>
              <w:jc w:val="center"/>
            </w:pPr>
            <w:r>
              <w:rPr>
                <w:color w:val="1F2937"/>
                <w:sz w:val="18"/>
              </w:rPr>
              <w:t>Contact frequency</w:t>
            </w:r>
          </w:p>
        </w:tc>
        <w:tc>
          <w:tcPr>
            <w:tcW w:type="dxa" w:w="7200"/>
            <w:vAlign w:val="center"/>
            <w:tcMar>
              <w:top w:w="90" w:type="dxa"/>
              <w:start w:w="90" w:type="dxa"/>
              <w:bottom w:w="90" w:type="dxa"/>
              <w:end w:w="90" w:type="dxa"/>
            </w:tcMar>
          </w:tcPr>
          <w:p>
            <w:pPr>
              <w:spacing w:before="0" w:after="0" w:line="276" w:lineRule="auto"/>
              <w:jc w:val="left"/>
            </w:pPr>
            <w:r>
              <w:rPr>
                <w:color w:val="1F2937"/>
                <w:sz w:val="18"/>
              </w:rPr>
              <w:t>No more than N attempts in a rolling time window by channel and by debtor.</w:t>
            </w:r>
          </w:p>
        </w:tc>
      </w:tr>
      <w:tr>
        <w:tc>
          <w:tcPr>
            <w:tcW w:type="dxa" w:w="2592"/>
            <w:vAlign w:val="center"/>
            <w:tcMar>
              <w:top w:w="90" w:type="dxa"/>
              <w:start w:w="90" w:type="dxa"/>
              <w:bottom w:w="90" w:type="dxa"/>
              <w:end w:w="90" w:type="dxa"/>
            </w:tcMar>
          </w:tcPr>
          <w:p>
            <w:pPr>
              <w:spacing w:before="0" w:after="0" w:line="276" w:lineRule="auto"/>
              <w:jc w:val="center"/>
            </w:pPr>
            <w:r>
              <w:rPr>
                <w:color w:val="1F2937"/>
                <w:sz w:val="18"/>
              </w:rPr>
              <w:t>Channel consent</w:t>
            </w:r>
          </w:p>
        </w:tc>
        <w:tc>
          <w:tcPr>
            <w:tcW w:type="dxa" w:w="7200"/>
            <w:vAlign w:val="center"/>
            <w:tcMar>
              <w:top w:w="90" w:type="dxa"/>
              <w:start w:w="90" w:type="dxa"/>
              <w:bottom w:w="90" w:type="dxa"/>
              <w:end w:w="90" w:type="dxa"/>
            </w:tcMar>
          </w:tcPr>
          <w:p>
            <w:pPr>
              <w:spacing w:before="0" w:after="0" w:line="276" w:lineRule="auto"/>
              <w:jc w:val="left"/>
            </w:pPr>
            <w:r>
              <w:rPr>
                <w:color w:val="1F2937"/>
                <w:sz w:val="18"/>
              </w:rPr>
              <w:t>SMS, WhatsApp, email, and automated calling must respect opt-in / opt-out state.</w:t>
            </w:r>
          </w:p>
        </w:tc>
      </w:tr>
      <w:tr>
        <w:tc>
          <w:tcPr>
            <w:tcW w:type="dxa" w:w="2592"/>
            <w:vAlign w:val="center"/>
            <w:tcMar>
              <w:top w:w="90" w:type="dxa"/>
              <w:start w:w="90" w:type="dxa"/>
              <w:bottom w:w="90" w:type="dxa"/>
              <w:end w:w="90" w:type="dxa"/>
            </w:tcMar>
          </w:tcPr>
          <w:p>
            <w:pPr>
              <w:spacing w:before="0" w:after="0" w:line="276" w:lineRule="auto"/>
              <w:jc w:val="center"/>
            </w:pPr>
            <w:r>
              <w:rPr>
                <w:color w:val="1F2937"/>
                <w:sz w:val="18"/>
              </w:rPr>
              <w:t>Quiet hours</w:t>
            </w:r>
          </w:p>
        </w:tc>
        <w:tc>
          <w:tcPr>
            <w:tcW w:type="dxa" w:w="7200"/>
            <w:vAlign w:val="center"/>
            <w:tcMar>
              <w:top w:w="90" w:type="dxa"/>
              <w:start w:w="90" w:type="dxa"/>
              <w:bottom w:w="90" w:type="dxa"/>
              <w:end w:w="90" w:type="dxa"/>
            </w:tcMar>
          </w:tcPr>
          <w:p>
            <w:pPr>
              <w:spacing w:before="0" w:after="0" w:line="276" w:lineRule="auto"/>
              <w:jc w:val="left"/>
            </w:pPr>
            <w:r>
              <w:rPr>
                <w:color w:val="1F2937"/>
                <w:sz w:val="18"/>
              </w:rPr>
              <w:t>No calls or messages outside jurisdiction-defined hours and holidays.</w:t>
            </w:r>
          </w:p>
        </w:tc>
      </w:tr>
      <w:tr>
        <w:tc>
          <w:tcPr>
            <w:tcW w:type="dxa" w:w="2592"/>
            <w:vAlign w:val="center"/>
            <w:tcMar>
              <w:top w:w="90" w:type="dxa"/>
              <w:start w:w="90" w:type="dxa"/>
              <w:bottom w:w="90" w:type="dxa"/>
              <w:end w:w="90" w:type="dxa"/>
            </w:tcMar>
          </w:tcPr>
          <w:p>
            <w:pPr>
              <w:spacing w:before="0" w:after="0" w:line="276" w:lineRule="auto"/>
              <w:jc w:val="center"/>
            </w:pPr>
            <w:r>
              <w:rPr>
                <w:color w:val="1F2937"/>
                <w:sz w:val="18"/>
              </w:rPr>
              <w:t>Suppression lists</w:t>
            </w:r>
          </w:p>
        </w:tc>
        <w:tc>
          <w:tcPr>
            <w:tcW w:type="dxa" w:w="7200"/>
            <w:vAlign w:val="center"/>
            <w:tcMar>
              <w:top w:w="90" w:type="dxa"/>
              <w:start w:w="90" w:type="dxa"/>
              <w:bottom w:w="90" w:type="dxa"/>
              <w:end w:w="90" w:type="dxa"/>
            </w:tcMar>
          </w:tcPr>
          <w:p>
            <w:pPr>
              <w:spacing w:before="0" w:after="0" w:line="276" w:lineRule="auto"/>
              <w:jc w:val="left"/>
            </w:pPr>
            <w:r>
              <w:rPr>
                <w:color w:val="1F2937"/>
                <w:sz w:val="18"/>
              </w:rPr>
              <w:t>Bankruptcy, deceased, fraud watch, legal hold, VIP handling, ongoing disputes.</w:t>
            </w:r>
          </w:p>
        </w:tc>
      </w:tr>
      <w:tr>
        <w:tc>
          <w:tcPr>
            <w:tcW w:type="dxa" w:w="2592"/>
            <w:vAlign w:val="center"/>
            <w:tcMar>
              <w:top w:w="90" w:type="dxa"/>
              <w:start w:w="90" w:type="dxa"/>
              <w:bottom w:w="90" w:type="dxa"/>
              <w:end w:w="90" w:type="dxa"/>
            </w:tcMar>
          </w:tcPr>
          <w:p>
            <w:pPr>
              <w:spacing w:before="0" w:after="0" w:line="276" w:lineRule="auto"/>
              <w:jc w:val="center"/>
            </w:pPr>
            <w:r>
              <w:rPr>
                <w:color w:val="1F2937"/>
                <w:sz w:val="18"/>
              </w:rPr>
              <w:t>Approval gates</w:t>
            </w:r>
          </w:p>
        </w:tc>
        <w:tc>
          <w:tcPr>
            <w:tcW w:type="dxa" w:w="7200"/>
            <w:vAlign w:val="center"/>
            <w:tcMar>
              <w:top w:w="90" w:type="dxa"/>
              <w:start w:w="90" w:type="dxa"/>
              <w:bottom w:w="90" w:type="dxa"/>
              <w:end w:w="90" w:type="dxa"/>
            </w:tcMar>
          </w:tcPr>
          <w:p>
            <w:pPr>
              <w:spacing w:before="0" w:after="0" w:line="276" w:lineRule="auto"/>
              <w:jc w:val="left"/>
            </w:pPr>
            <w:r>
              <w:rPr>
                <w:color w:val="1F2937"/>
                <w:sz w:val="18"/>
              </w:rPr>
              <w:t>Certain settlement offers or legal escalations require manager approval before execution.</w:t>
            </w:r>
          </w:p>
        </w:tc>
      </w:tr>
    </w:tbl>
    <w:p/>
    <w:p>
      <w:pPr>
        <w:pStyle w:val="Heading2"/>
        <w:spacing w:before="60" w:after="40" w:line="276" w:lineRule="auto"/>
      </w:pPr>
      <w:r>
        <w:t>4.6 Execution Semantics</w:t>
      </w:r>
    </w:p>
    <w:tbl>
      <w:tblPr>
        <w:tblStyle w:val="TableGrid"/>
        <w:tblW w:type="auto" w:w="0"/>
        <w:jc w:val="center"/>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4986"/>
        <w:gridCol w:w="4986"/>
      </w:tblGrid>
      <w:tr>
        <w:tc>
          <w:tcPr>
            <w:tcW w:type="dxa" w:w="2736"/>
            <w:vAlign w:val="center"/>
            <w:shd w:fill="1F4E79"/>
            <w:tcMar>
              <w:top w:w="90" w:type="dxa"/>
              <w:start w:w="90" w:type="dxa"/>
              <w:bottom w:w="90" w:type="dxa"/>
              <w:end w:w="90" w:type="dxa"/>
            </w:tcMar>
          </w:tcPr>
          <w:p>
            <w:pPr>
              <w:jc w:val="center"/>
            </w:pPr>
            <w:r>
              <w:rPr>
                <w:b/>
                <w:color w:val="FFFFFF"/>
                <w:sz w:val="19"/>
              </w:rPr>
              <w:t>Behavior</w:t>
            </w:r>
          </w:p>
        </w:tc>
        <w:tc>
          <w:tcPr>
            <w:tcW w:type="dxa" w:w="7056"/>
            <w:vAlign w:val="center"/>
            <w:shd w:fill="1F4E79"/>
            <w:tcMar>
              <w:top w:w="90" w:type="dxa"/>
              <w:start w:w="90" w:type="dxa"/>
              <w:bottom w:w="90" w:type="dxa"/>
              <w:end w:w="90" w:type="dxa"/>
            </w:tcMar>
          </w:tcPr>
          <w:p>
            <w:pPr>
              <w:jc w:val="center"/>
            </w:pPr>
            <w:r>
              <w:rPr>
                <w:b/>
                <w:color w:val="FFFFFF"/>
                <w:sz w:val="19"/>
              </w:rPr>
              <w:t>Why it matters</w:t>
            </w:r>
          </w:p>
        </w:tc>
      </w:tr>
      <w:tr>
        <w:tc>
          <w:tcPr>
            <w:tcW w:type="dxa" w:w="2736"/>
            <w:vAlign w:val="center"/>
            <w:tcMar>
              <w:top w:w="90" w:type="dxa"/>
              <w:start w:w="90" w:type="dxa"/>
              <w:bottom w:w="90" w:type="dxa"/>
              <w:end w:w="90" w:type="dxa"/>
            </w:tcMar>
          </w:tcPr>
          <w:p>
            <w:pPr>
              <w:spacing w:before="0" w:after="0" w:line="276" w:lineRule="auto"/>
              <w:jc w:val="left"/>
            </w:pPr>
            <w:r>
              <w:rPr>
                <w:color w:val="1F2937"/>
                <w:sz w:val="18"/>
              </w:rPr>
              <w:t>Idempotent evaluation</w:t>
            </w:r>
          </w:p>
        </w:tc>
        <w:tc>
          <w:tcPr>
            <w:tcW w:type="dxa" w:w="7056"/>
            <w:vAlign w:val="center"/>
            <w:tcMar>
              <w:top w:w="90" w:type="dxa"/>
              <w:start w:w="90" w:type="dxa"/>
              <w:bottom w:w="90" w:type="dxa"/>
              <w:end w:w="90" w:type="dxa"/>
            </w:tcMar>
          </w:tcPr>
          <w:p>
            <w:pPr>
              <w:spacing w:before="0" w:after="0" w:line="276" w:lineRule="auto"/>
              <w:jc w:val="left"/>
            </w:pPr>
            <w:r>
              <w:rPr>
                <w:color w:val="1F2937"/>
                <w:sz w:val="18"/>
              </w:rPr>
              <w:t>The same event can be retried safely without duplicating actions.</w:t>
            </w:r>
          </w:p>
        </w:tc>
      </w:tr>
      <w:tr>
        <w:tc>
          <w:tcPr>
            <w:tcW w:type="dxa" w:w="2736"/>
            <w:vAlign w:val="center"/>
            <w:tcMar>
              <w:top w:w="90" w:type="dxa"/>
              <w:start w:w="90" w:type="dxa"/>
              <w:bottom w:w="90" w:type="dxa"/>
              <w:end w:w="90" w:type="dxa"/>
            </w:tcMar>
          </w:tcPr>
          <w:p>
            <w:pPr>
              <w:spacing w:before="0" w:after="0" w:line="276" w:lineRule="auto"/>
              <w:jc w:val="left"/>
            </w:pPr>
            <w:r>
              <w:rPr>
                <w:color w:val="1F2937"/>
                <w:sz w:val="18"/>
              </w:rPr>
              <w:t>Deterministic versioning</w:t>
            </w:r>
          </w:p>
        </w:tc>
        <w:tc>
          <w:tcPr>
            <w:tcW w:type="dxa" w:w="7056"/>
            <w:vAlign w:val="center"/>
            <w:tcMar>
              <w:top w:w="90" w:type="dxa"/>
              <w:start w:w="90" w:type="dxa"/>
              <w:bottom w:w="90" w:type="dxa"/>
              <w:end w:w="90" w:type="dxa"/>
            </w:tcMar>
          </w:tcPr>
          <w:p>
            <w:pPr>
              <w:spacing w:before="0" w:after="0" w:line="276" w:lineRule="auto"/>
              <w:jc w:val="left"/>
            </w:pPr>
            <w:r>
              <w:rPr>
                <w:color w:val="1F2937"/>
                <w:sz w:val="18"/>
              </w:rPr>
              <w:t>An event is executed against the strategy version active at evaluation time.</w:t>
            </w:r>
          </w:p>
        </w:tc>
      </w:tr>
      <w:tr>
        <w:tc>
          <w:tcPr>
            <w:tcW w:type="dxa" w:w="2736"/>
            <w:vAlign w:val="center"/>
            <w:tcMar>
              <w:top w:w="90" w:type="dxa"/>
              <w:start w:w="90" w:type="dxa"/>
              <w:bottom w:w="90" w:type="dxa"/>
              <w:end w:w="90" w:type="dxa"/>
            </w:tcMar>
          </w:tcPr>
          <w:p>
            <w:pPr>
              <w:spacing w:before="0" w:after="0" w:line="276" w:lineRule="auto"/>
              <w:jc w:val="center"/>
            </w:pPr>
            <w:r>
              <w:rPr>
                <w:color w:val="1F2937"/>
                <w:sz w:val="18"/>
              </w:rPr>
              <w:t>Delayed jobs</w:t>
            </w:r>
          </w:p>
        </w:tc>
        <w:tc>
          <w:tcPr>
            <w:tcW w:type="dxa" w:w="7056"/>
            <w:vAlign w:val="center"/>
            <w:tcMar>
              <w:top w:w="90" w:type="dxa"/>
              <w:start w:w="90" w:type="dxa"/>
              <w:bottom w:w="90" w:type="dxa"/>
              <w:end w:w="90" w:type="dxa"/>
            </w:tcMar>
          </w:tcPr>
          <w:p>
            <w:pPr>
              <w:spacing w:before="0" w:after="0" w:line="276" w:lineRule="auto"/>
              <w:jc w:val="left"/>
            </w:pPr>
            <w:r>
              <w:rPr>
                <w:color w:val="1F2937"/>
                <w:sz w:val="18"/>
              </w:rPr>
              <w:t>Future actions are persisted with cancellation hooks if stop conditions occur.</w:t>
            </w:r>
          </w:p>
        </w:tc>
      </w:tr>
      <w:tr>
        <w:tc>
          <w:tcPr>
            <w:tcW w:type="dxa" w:w="2736"/>
            <w:vAlign w:val="center"/>
            <w:tcMar>
              <w:top w:w="90" w:type="dxa"/>
              <w:start w:w="90" w:type="dxa"/>
              <w:bottom w:w="90" w:type="dxa"/>
              <w:end w:w="90" w:type="dxa"/>
            </w:tcMar>
          </w:tcPr>
          <w:p>
            <w:pPr>
              <w:spacing w:before="0" w:after="0" w:line="276" w:lineRule="auto"/>
              <w:jc w:val="center"/>
            </w:pPr>
            <w:r>
              <w:rPr>
                <w:color w:val="1F2937"/>
                <w:sz w:val="18"/>
              </w:rPr>
              <w:t>Replay support</w:t>
            </w:r>
          </w:p>
        </w:tc>
        <w:tc>
          <w:tcPr>
            <w:tcW w:type="dxa" w:w="7056"/>
            <w:vAlign w:val="center"/>
            <w:tcMar>
              <w:top w:w="90" w:type="dxa"/>
              <w:start w:w="90" w:type="dxa"/>
              <w:bottom w:w="90" w:type="dxa"/>
              <w:end w:w="90" w:type="dxa"/>
            </w:tcMar>
          </w:tcPr>
          <w:p>
            <w:pPr>
              <w:spacing w:before="0" w:after="0" w:line="276" w:lineRule="auto"/>
              <w:jc w:val="left"/>
            </w:pPr>
            <w:r>
              <w:rPr>
                <w:color w:val="1F2937"/>
                <w:sz w:val="18"/>
              </w:rPr>
              <w:t>Historical events can be reprocessed in non-production or controlled repair flows.</w:t>
            </w:r>
          </w:p>
        </w:tc>
      </w:tr>
      <w:tr>
        <w:tc>
          <w:tcPr>
            <w:tcW w:type="dxa" w:w="2736"/>
            <w:vAlign w:val="center"/>
            <w:tcMar>
              <w:top w:w="90" w:type="dxa"/>
              <w:start w:w="90" w:type="dxa"/>
              <w:bottom w:w="90" w:type="dxa"/>
              <w:end w:w="90" w:type="dxa"/>
            </w:tcMar>
          </w:tcPr>
          <w:p>
            <w:pPr>
              <w:spacing w:before="0" w:after="0" w:line="276" w:lineRule="auto"/>
              <w:jc w:val="center"/>
            </w:pPr>
            <w:r>
              <w:rPr>
                <w:color w:val="1F2937"/>
                <w:sz w:val="18"/>
              </w:rPr>
              <w:t>Audit traces</w:t>
            </w:r>
          </w:p>
        </w:tc>
        <w:tc>
          <w:tcPr>
            <w:tcW w:type="dxa" w:w="7056"/>
            <w:vAlign w:val="center"/>
            <w:tcMar>
              <w:top w:w="90" w:type="dxa"/>
              <w:start w:w="90" w:type="dxa"/>
              <w:bottom w:w="90" w:type="dxa"/>
              <w:end w:w="90" w:type="dxa"/>
            </w:tcMar>
          </w:tcPr>
          <w:p>
            <w:pPr>
              <w:spacing w:before="0" w:after="0" w:line="276" w:lineRule="auto"/>
              <w:jc w:val="left"/>
            </w:pPr>
            <w:r>
              <w:rPr>
                <w:color w:val="1F2937"/>
                <w:sz w:val="18"/>
              </w:rPr>
              <w:t>Every rule hit, policy suppression, and emitted action is logged with timestamps.</w:t>
            </w:r>
          </w:p>
        </w:tc>
      </w:tr>
    </w:tbl>
    <w:p/>
    <w:p>
      <w:pPr>
        <w:pStyle w:val="Heading2"/>
        <w:spacing w:before="60" w:after="40" w:line="276" w:lineRule="auto"/>
      </w:pPr>
      <w:r>
        <w:t>4.7 Pseudocode for the Evaluator</w:t>
      </w:r>
    </w:p>
    <w:tbl>
      <w:tblPr>
        <w:tblW w:type="auto" w:w="0"/>
        <w:jc w:val="center"/>
        <w:tblLook w:firstColumn="1" w:firstRow="1" w:lastColumn="0" w:lastRow="0" w:noHBand="0" w:noVBand="1" w:val="04A0"/>
        <w:tblBorders>
          <w:top w:val="single" w:sz="6" w:space="0" w:color="D7DFEA"/>
          <w:left w:val="single" w:sz="6" w:space="0" w:color="D7DFEA"/>
          <w:bottom w:val="single" w:sz="6" w:space="0" w:color="D7DFEA"/>
          <w:right w:val="single" w:sz="6" w:space="0" w:color="D7DFEA"/>
          <w:insideH w:val="single" w:sz="6" w:space="0" w:color="D7DFEA"/>
          <w:insideV w:val="single" w:sz="6" w:space="0" w:color="D7DFEA"/>
        </w:tblBorders>
      </w:tblPr>
      <w:tblGrid>
        <w:gridCol w:w="9972"/>
      </w:tblGrid>
      <w:tr>
        <w:tc>
          <w:tcPr>
            <w:tcW w:type="dxa" w:w="9972"/>
            <w:shd w:fill="F8FAFC"/>
            <w:tcMar>
              <w:top w:w="120" w:type="dxa"/>
              <w:start w:w="120" w:type="dxa"/>
              <w:bottom w:w="120" w:type="dxa"/>
              <w:end w:w="120" w:type="dxa"/>
            </w:tcMar>
          </w:tcPr>
          <w:p>
            <w:pPr>
              <w:spacing w:before="0" w:after="0" w:line="252" w:lineRule="auto"/>
            </w:pPr>
            <w:r>
              <w:rPr>
                <w:rFonts w:ascii="Courier New" w:hAnsi="Courier New"/>
                <w:sz w:val="17"/>
              </w:rPr>
              <w:t>on_event(event):</w:t>
              <w:br/>
            </w:r>
            <w:r>
              <w:rPr>
                <w:rFonts w:ascii="Courier New" w:hAnsi="Courier New"/>
                <w:sz w:val="17"/>
              </w:rPr>
              <w:t xml:space="preserve">  facts = build_facts(event.tenant_id, event.account_id, event.case_id)</w:t>
              <w:br/>
            </w:r>
            <w:r>
              <w:rPr>
                <w:rFonts w:ascii="Courier New" w:hAnsi="Courier New"/>
                <w:sz w:val="17"/>
              </w:rPr>
              <w:t xml:space="preserve">  strategies = load_active_strategies(event.tenant_id, facts.segment, facts.portfolio)</w:t>
              <w:br/>
            </w:r>
            <w:r>
              <w:rPr>
                <w:rFonts w:ascii="Courier New" w:hAnsi="Courier New"/>
                <w:sz w:val="17"/>
              </w:rPr>
              <w:t xml:space="preserve">  for strategy in strategies:</w:t>
              <w:br/>
            </w:r>
            <w:r>
              <w:rPr>
                <w:rFonts w:ascii="Courier New" w:hAnsi="Courier New"/>
                <w:sz w:val="17"/>
              </w:rPr>
              <w:t xml:space="preserve">      if not trigger_matches(strategy, event):</w:t>
              <w:br/>
            </w:r>
            <w:r>
              <w:rPr>
                <w:rFonts w:ascii="Courier New" w:hAnsi="Courier New"/>
                <w:sz w:val="17"/>
              </w:rPr>
              <w:t xml:space="preserve">          continue</w:t>
              <w:br/>
            </w:r>
            <w:r>
              <w:rPr>
                <w:rFonts w:ascii="Courier New" w:hAnsi="Courier New"/>
                <w:sz w:val="17"/>
              </w:rPr>
              <w:t xml:space="preserve">      outcome = evaluate_conditions(strategy, facts)</w:t>
              <w:br/>
            </w:r>
            <w:r>
              <w:rPr>
                <w:rFonts w:ascii="Courier New" w:hAnsi="Courier New"/>
                <w:sz w:val="17"/>
              </w:rPr>
              <w:t xml:space="preserve">      if not outcome.matched:</w:t>
              <w:br/>
            </w:r>
            <w:r>
              <w:rPr>
                <w:rFonts w:ascii="Courier New" w:hAnsi="Courier New"/>
                <w:sz w:val="17"/>
              </w:rPr>
              <w:t xml:space="preserve">          continue</w:t>
              <w:br/>
            </w:r>
            <w:r>
              <w:rPr>
                <w:rFonts w:ascii="Courier New" w:hAnsi="Courier New"/>
                <w:sz w:val="17"/>
              </w:rPr>
              <w:t xml:space="preserve">      actions = plan_actions(strategy, facts, event)</w:t>
              <w:br/>
            </w:r>
            <w:r>
              <w:rPr>
                <w:rFonts w:ascii="Courier New" w:hAnsi="Courier New"/>
                <w:sz w:val="17"/>
              </w:rPr>
              <w:t xml:space="preserve">      actions = apply_policy_filters(actions, facts)</w:t>
              <w:br/>
            </w:r>
            <w:r>
              <w:rPr>
                <w:rFonts w:ascii="Courier New" w:hAnsi="Courier New"/>
                <w:sz w:val="17"/>
              </w:rPr>
              <w:t xml:space="preserve">      persist_decision(event, strategy, actions)</w:t>
              <w:br/>
            </w:r>
            <w:r>
              <w:rPr>
                <w:rFonts w:ascii="Courier New" w:hAnsi="Courier New"/>
                <w:sz w:val="17"/>
              </w:rPr>
              <w:t xml:space="preserve">      dispatch(actions)</w:t>
            </w:r>
          </w:p>
        </w:tc>
      </w:tr>
    </w:tbl>
    <w:p/>
    <w:p>
      <w:pPr>
        <w:pStyle w:val="Heading2"/>
        <w:spacing w:before="60" w:after="40" w:line="276" w:lineRule="auto"/>
      </w:pPr>
      <w:r>
        <w:t>4.8 Metrics the Engine Should Produce</w:t>
      </w:r>
    </w:p>
    <w:p>
      <w:pPr>
        <w:pStyle w:val="ListBullet"/>
        <w:spacing w:before="0" w:after="0" w:line="264" w:lineRule="auto"/>
      </w:pPr>
      <w:r>
        <w:t>Strategy hit rate by segment and portfolio</w:t>
      </w:r>
    </w:p>
    <w:p>
      <w:pPr>
        <w:pStyle w:val="ListBullet"/>
        <w:spacing w:before="0" w:after="0" w:line="264" w:lineRule="auto"/>
      </w:pPr>
      <w:r>
        <w:t>Suppression rate by policy rule</w:t>
      </w:r>
    </w:p>
    <w:p>
      <w:pPr>
        <w:pStyle w:val="ListBullet"/>
        <w:spacing w:before="0" w:after="0" w:line="264" w:lineRule="auto"/>
      </w:pPr>
      <w:r>
        <w:t>Message delivery and response rates by channel and template</w:t>
      </w:r>
    </w:p>
    <w:p>
      <w:pPr>
        <w:pStyle w:val="ListBullet"/>
        <w:spacing w:before="0" w:after="0" w:line="264" w:lineRule="auto"/>
      </w:pPr>
      <w:r>
        <w:t>Promise kept versus promise broken ratios</w:t>
      </w:r>
    </w:p>
    <w:p>
      <w:pPr>
        <w:pStyle w:val="ListBullet"/>
        <w:spacing w:before="0" w:after="0" w:line="264" w:lineRule="auto"/>
      </w:pPr>
      <w:r>
        <w:t>Payment conversion after action sequence</w:t>
      </w:r>
    </w:p>
    <w:p>
      <w:pPr>
        <w:pStyle w:val="ListBullet"/>
        <w:spacing w:before="0" w:after="0" w:line="264" w:lineRule="auto"/>
      </w:pPr>
      <w:r>
        <w:t>Agent productivity after automation handoff</w:t>
      </w:r>
    </w:p>
    <w:p/>
    <w:p>
      <w:pPr>
        <w:pStyle w:val="Heading1"/>
        <w:spacing w:before="120" w:after="40" w:line="276" w:lineRule="auto"/>
      </w:pPr>
      <w:r>
        <w:t>5. Implementation Notes and Build Order</w:t>
      </w:r>
    </w:p>
    <w:tbl>
      <w:tblPr>
        <w:tblStyle w:val="TableGrid"/>
        <w:tblW w:type="auto" w:w="0"/>
        <w:jc w:val="center"/>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324"/>
        <w:gridCol w:w="3324"/>
        <w:gridCol w:w="3324"/>
      </w:tblGrid>
      <w:tr>
        <w:tc>
          <w:tcPr>
            <w:tcW w:type="dxa" w:w="1440"/>
            <w:vAlign w:val="center"/>
            <w:shd w:fill="1F4E79"/>
            <w:tcMar>
              <w:top w:w="90" w:type="dxa"/>
              <w:start w:w="90" w:type="dxa"/>
              <w:bottom w:w="90" w:type="dxa"/>
              <w:end w:w="90" w:type="dxa"/>
            </w:tcMar>
          </w:tcPr>
          <w:p>
            <w:pPr>
              <w:jc w:val="center"/>
            </w:pPr>
            <w:r>
              <w:rPr>
                <w:b/>
                <w:color w:val="FFFFFF"/>
                <w:sz w:val="19"/>
              </w:rPr>
              <w:t>Phase</w:t>
            </w:r>
          </w:p>
        </w:tc>
        <w:tc>
          <w:tcPr>
            <w:tcW w:type="dxa" w:w="4608"/>
            <w:vAlign w:val="center"/>
            <w:shd w:fill="1F4E79"/>
            <w:tcMar>
              <w:top w:w="90" w:type="dxa"/>
              <w:start w:w="90" w:type="dxa"/>
              <w:bottom w:w="90" w:type="dxa"/>
              <w:end w:w="90" w:type="dxa"/>
            </w:tcMar>
          </w:tcPr>
          <w:p>
            <w:pPr>
              <w:jc w:val="center"/>
            </w:pPr>
            <w:r>
              <w:rPr>
                <w:b/>
                <w:color w:val="FFFFFF"/>
                <w:sz w:val="19"/>
              </w:rPr>
              <w:t>Priority scope</w:t>
            </w:r>
          </w:p>
        </w:tc>
        <w:tc>
          <w:tcPr>
            <w:tcW w:type="dxa" w:w="3744"/>
            <w:vAlign w:val="center"/>
            <w:shd w:fill="1F4E79"/>
            <w:tcMar>
              <w:top w:w="90" w:type="dxa"/>
              <w:start w:w="90" w:type="dxa"/>
              <w:bottom w:w="90" w:type="dxa"/>
              <w:end w:w="90" w:type="dxa"/>
            </w:tcMar>
          </w:tcPr>
          <w:p>
            <w:pPr>
              <w:jc w:val="center"/>
            </w:pPr>
            <w:r>
              <w:rPr>
                <w:b/>
                <w:color w:val="FFFFFF"/>
                <w:sz w:val="19"/>
              </w:rPr>
              <w:t>Outcome</w:t>
            </w:r>
          </w:p>
        </w:tc>
      </w:tr>
      <w:tr>
        <w:tc>
          <w:tcPr>
            <w:tcW w:type="dxa" w:w="1440"/>
            <w:vAlign w:val="center"/>
            <w:tcMar>
              <w:top w:w="90" w:type="dxa"/>
              <w:start w:w="90" w:type="dxa"/>
              <w:bottom w:w="90" w:type="dxa"/>
              <w:end w:w="90" w:type="dxa"/>
            </w:tcMar>
          </w:tcPr>
          <w:p>
            <w:pPr>
              <w:spacing w:before="0" w:after="0" w:line="276" w:lineRule="auto"/>
              <w:jc w:val="center"/>
            </w:pPr>
            <w:r>
              <w:rPr>
                <w:color w:val="1F2937"/>
                <w:sz w:val="18"/>
              </w:rPr>
              <w:t>Phase 1</w:t>
            </w:r>
          </w:p>
        </w:tc>
        <w:tc>
          <w:tcPr>
            <w:tcW w:type="dxa" w:w="4608"/>
            <w:vAlign w:val="center"/>
            <w:tcMar>
              <w:top w:w="90" w:type="dxa"/>
              <w:start w:w="90" w:type="dxa"/>
              <w:bottom w:w="90" w:type="dxa"/>
              <w:end w:w="90" w:type="dxa"/>
            </w:tcMar>
          </w:tcPr>
          <w:p>
            <w:pPr>
              <w:spacing w:before="0" w:after="0" w:line="276" w:lineRule="auto"/>
              <w:jc w:val="left"/>
            </w:pPr>
            <w:r>
              <w:rPr>
                <w:color w:val="1F2937"/>
                <w:sz w:val="18"/>
              </w:rPr>
              <w:t>Tenant model, auth, debtors, accounts, events, cases, basic dashboards</w:t>
            </w:r>
          </w:p>
        </w:tc>
        <w:tc>
          <w:tcPr>
            <w:tcW w:type="dxa" w:w="3744"/>
            <w:vAlign w:val="center"/>
            <w:tcMar>
              <w:top w:w="90" w:type="dxa"/>
              <w:start w:w="90" w:type="dxa"/>
              <w:bottom w:w="90" w:type="dxa"/>
              <w:end w:w="90" w:type="dxa"/>
            </w:tcMar>
          </w:tcPr>
          <w:p>
            <w:pPr>
              <w:spacing w:before="0" w:after="0" w:line="276" w:lineRule="auto"/>
              <w:jc w:val="left"/>
            </w:pPr>
            <w:r>
              <w:rPr>
                <w:color w:val="1F2937"/>
                <w:sz w:val="18"/>
              </w:rPr>
              <w:t>Gets the SaaS skeleton live and usable.</w:t>
            </w:r>
          </w:p>
        </w:tc>
      </w:tr>
      <w:tr>
        <w:tc>
          <w:tcPr>
            <w:tcW w:type="dxa" w:w="1440"/>
            <w:vAlign w:val="center"/>
            <w:tcMar>
              <w:top w:w="90" w:type="dxa"/>
              <w:start w:w="90" w:type="dxa"/>
              <w:bottom w:w="90" w:type="dxa"/>
              <w:end w:w="90" w:type="dxa"/>
            </w:tcMar>
          </w:tcPr>
          <w:p>
            <w:pPr>
              <w:spacing w:before="0" w:after="0" w:line="276" w:lineRule="auto"/>
              <w:jc w:val="center"/>
            </w:pPr>
            <w:r>
              <w:rPr>
                <w:color w:val="1F2937"/>
                <w:sz w:val="18"/>
              </w:rPr>
              <w:t>Phase 2</w:t>
            </w:r>
          </w:p>
        </w:tc>
        <w:tc>
          <w:tcPr>
            <w:tcW w:type="dxa" w:w="4608"/>
            <w:vAlign w:val="center"/>
            <w:tcMar>
              <w:top w:w="90" w:type="dxa"/>
              <w:start w:w="90" w:type="dxa"/>
              <w:bottom w:w="90" w:type="dxa"/>
              <w:end w:w="90" w:type="dxa"/>
            </w:tcMar>
          </w:tcPr>
          <w:p>
            <w:pPr>
              <w:spacing w:before="0" w:after="0" w:line="276" w:lineRule="auto"/>
              <w:jc w:val="left"/>
            </w:pPr>
            <w:r>
              <w:rPr>
                <w:color w:val="1F2937"/>
                <w:sz w:val="18"/>
              </w:rPr>
              <w:t>Workflow engine v1, SMS/email integrations, promise-to-pay, payments</w:t>
            </w:r>
          </w:p>
        </w:tc>
        <w:tc>
          <w:tcPr>
            <w:tcW w:type="dxa" w:w="3744"/>
            <w:vAlign w:val="center"/>
            <w:tcMar>
              <w:top w:w="90" w:type="dxa"/>
              <w:start w:w="90" w:type="dxa"/>
              <w:bottom w:w="90" w:type="dxa"/>
              <w:end w:w="90" w:type="dxa"/>
            </w:tcMar>
          </w:tcPr>
          <w:p>
            <w:pPr>
              <w:spacing w:before="0" w:after="0" w:line="276" w:lineRule="auto"/>
              <w:jc w:val="left"/>
            </w:pPr>
            <w:r>
              <w:rPr>
                <w:color w:val="1F2937"/>
                <w:sz w:val="18"/>
              </w:rPr>
              <w:t>Moves from passive record-keeping to active collections execution.</w:t>
            </w:r>
          </w:p>
        </w:tc>
      </w:tr>
      <w:tr>
        <w:tc>
          <w:tcPr>
            <w:tcW w:type="dxa" w:w="1440"/>
            <w:vAlign w:val="center"/>
            <w:tcMar>
              <w:top w:w="90" w:type="dxa"/>
              <w:start w:w="90" w:type="dxa"/>
              <w:bottom w:w="90" w:type="dxa"/>
              <w:end w:w="90" w:type="dxa"/>
            </w:tcMar>
          </w:tcPr>
          <w:p>
            <w:pPr>
              <w:spacing w:before="0" w:after="0" w:line="276" w:lineRule="auto"/>
              <w:jc w:val="center"/>
            </w:pPr>
            <w:r>
              <w:rPr>
                <w:color w:val="1F2937"/>
                <w:sz w:val="18"/>
              </w:rPr>
              <w:t>Phase 3</w:t>
            </w:r>
          </w:p>
        </w:tc>
        <w:tc>
          <w:tcPr>
            <w:tcW w:type="dxa" w:w="4608"/>
            <w:vAlign w:val="center"/>
            <w:tcMar>
              <w:top w:w="90" w:type="dxa"/>
              <w:start w:w="90" w:type="dxa"/>
              <w:bottom w:w="90" w:type="dxa"/>
              <w:end w:w="90" w:type="dxa"/>
            </w:tcMar>
          </w:tcPr>
          <w:p>
            <w:pPr>
              <w:spacing w:before="0" w:after="0" w:line="276" w:lineRule="auto"/>
              <w:jc w:val="left"/>
            </w:pPr>
            <w:r>
              <w:rPr>
                <w:color w:val="1F2937"/>
                <w:sz w:val="18"/>
              </w:rPr>
              <w:t>Advanced policy engine, self-service portal, settlement logic, richer analytics</w:t>
            </w:r>
          </w:p>
        </w:tc>
        <w:tc>
          <w:tcPr>
            <w:tcW w:type="dxa" w:w="3744"/>
            <w:vAlign w:val="center"/>
            <w:tcMar>
              <w:top w:w="90" w:type="dxa"/>
              <w:start w:w="90" w:type="dxa"/>
              <w:bottom w:w="90" w:type="dxa"/>
              <w:end w:w="90" w:type="dxa"/>
            </w:tcMar>
          </w:tcPr>
          <w:p>
            <w:pPr>
              <w:spacing w:before="0" w:after="0" w:line="276" w:lineRule="auto"/>
              <w:jc w:val="left"/>
            </w:pPr>
            <w:r>
              <w:rPr>
                <w:color w:val="1F2937"/>
                <w:sz w:val="18"/>
              </w:rPr>
              <w:t>Hardens the product for enterprise adoption.</w:t>
            </w:r>
          </w:p>
        </w:tc>
      </w:tr>
      <w:tr>
        <w:tc>
          <w:tcPr>
            <w:tcW w:type="dxa" w:w="1440"/>
            <w:vAlign w:val="center"/>
            <w:tcMar>
              <w:top w:w="90" w:type="dxa"/>
              <w:start w:w="90" w:type="dxa"/>
              <w:bottom w:w="90" w:type="dxa"/>
              <w:end w:w="90" w:type="dxa"/>
            </w:tcMar>
          </w:tcPr>
          <w:p>
            <w:pPr>
              <w:spacing w:before="0" w:after="0" w:line="276" w:lineRule="auto"/>
              <w:jc w:val="center"/>
            </w:pPr>
            <w:r>
              <w:rPr>
                <w:color w:val="1F2937"/>
                <w:sz w:val="18"/>
              </w:rPr>
              <w:t>Phase 4</w:t>
            </w:r>
          </w:p>
        </w:tc>
        <w:tc>
          <w:tcPr>
            <w:tcW w:type="dxa" w:w="4608"/>
            <w:vAlign w:val="center"/>
            <w:tcMar>
              <w:top w:w="90" w:type="dxa"/>
              <w:start w:w="90" w:type="dxa"/>
              <w:bottom w:w="90" w:type="dxa"/>
              <w:end w:w="90" w:type="dxa"/>
            </w:tcMar>
          </w:tcPr>
          <w:p>
            <w:pPr>
              <w:spacing w:before="0" w:after="0" w:line="276" w:lineRule="auto"/>
              <w:jc w:val="left"/>
            </w:pPr>
            <w:r>
              <w:rPr>
                <w:color w:val="1F2937"/>
                <w:sz w:val="18"/>
              </w:rPr>
              <w:t>AI scoring, next-best-action optimization, bureau and core banking integrations</w:t>
            </w:r>
          </w:p>
        </w:tc>
        <w:tc>
          <w:tcPr>
            <w:tcW w:type="dxa" w:w="3744"/>
            <w:vAlign w:val="center"/>
            <w:tcMar>
              <w:top w:w="90" w:type="dxa"/>
              <w:start w:w="90" w:type="dxa"/>
              <w:bottom w:w="90" w:type="dxa"/>
              <w:end w:w="90" w:type="dxa"/>
            </w:tcMar>
          </w:tcPr>
          <w:p>
            <w:pPr>
              <w:spacing w:before="0" w:after="0" w:line="276" w:lineRule="auto"/>
              <w:jc w:val="left"/>
            </w:pPr>
            <w:r>
              <w:rPr>
                <w:color w:val="1F2937"/>
                <w:sz w:val="18"/>
              </w:rPr>
              <w:t>Turns the platform into a decision engine with serious moat potential.</w:t>
            </w:r>
          </w:p>
        </w:tc>
      </w:tr>
    </w:tbl>
    <w:p/>
    <w:p>
      <w:pPr>
        <w:spacing w:before="0" w:after="80" w:line="288" w:lineRule="auto"/>
      </w:pPr>
      <w:r>
        <w:t>Final note: the trap is building a “task tracker with SMS.” The win is building a system that continuously chooses the best legal, efficient, and recoverable action per account. That is the difference between a tool and a platform.</w:t>
      </w:r>
    </w:p>
    <w:sectPr w:rsidR="00FC693F" w:rsidRPr="0006063C" w:rsidSect="00034616">
      <w:headerReference w:type="default" r:id="rId9"/>
      <w:footerReference w:type="default" r:id="rId10"/>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87A"/>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87A"/>
        <w:sz w:val="17"/>
      </w:rPr>
      <w:t>SaaS Debt Collection System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C4CA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C4CA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C4CA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