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lastRenderedPageBreak/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27076A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lastRenderedPageBreak/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lastRenderedPageBreak/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7CB49133" w:rsidR="008938DE" w:rsidRPr="005E2C10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092A693D" w14:textId="6F5A0316" w:rsidR="0027076A" w:rsidRDefault="0027076A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תשיג מספר ניסוי ואז תשלח בקשה לועדת האתיקה שיפתחו לך ניסוי בסונה (לפי המחברת של המעבדה).</w:t>
      </w:r>
    </w:p>
    <w:p w14:paraId="03516766" w14:textId="0EEF30A8" w:rsidR="00EC2A92" w:rsidRDefault="00EC2A92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תיצור ניסוי ב</w:t>
      </w:r>
      <w:r>
        <w:rPr>
          <w:rFonts w:hint="cs"/>
        </w:rPr>
        <w:t>SONA</w:t>
      </w:r>
      <w:r>
        <w:rPr>
          <w:rFonts w:hint="cs"/>
          <w:rtl/>
        </w:rPr>
        <w:t xml:space="preserve"> ותפתח חלונות הרשמה.</w:t>
      </w:r>
    </w:p>
    <w:p w14:paraId="684C4672" w14:textId="70F1B248" w:rsidR="007C60E2" w:rsidRDefault="007C60E2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תיצור </w:t>
      </w:r>
      <w:r>
        <w:t>Unused trial list</w:t>
      </w:r>
      <w:r>
        <w:rPr>
          <w:rFonts w:hint="cs"/>
          <w:rtl/>
        </w:rPr>
        <w:t xml:space="preserve"> חדש</w:t>
      </w:r>
      <w:r w:rsidR="00284523">
        <w:rPr>
          <w:rFonts w:hint="cs"/>
          <w:rtl/>
        </w:rPr>
        <w:t>, ותמחק ממנו את מה שעדי עשתה.</w:t>
      </w:r>
    </w:p>
    <w:p w14:paraId="49DC2691" w14:textId="3D7262FD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5" w:anchor="gid=267261638" w:history="1">
        <w:r w:rsidRPr="007E4D48">
          <w:rPr>
            <w:rStyle w:val="Hyperlink"/>
          </w:rPr>
          <w:t>mudrick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18A6AC3E" w:rsidR="00D51F53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72FA589C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77F438D0" w14:textId="529064C1" w:rsidR="00C70D9E" w:rsidRDefault="00C70D9E" w:rsidP="00C70D9E"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Default="00C70D9E" w:rsidP="00FE75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מיצוע של הנתונים לפי </w:t>
      </w:r>
      <w:r>
        <w:t>condition</w:t>
      </w:r>
      <w:r w:rsidR="00347764">
        <w:rPr>
          <w:rFonts w:hint="cs"/>
          <w:rtl/>
        </w:rPr>
        <w:t>.</w:t>
      </w:r>
    </w:p>
    <w:p w14:paraId="680FAD98" w14:textId="460F6082" w:rsidR="00B339F7" w:rsidRDefault="00B339F7" w:rsidP="00FE75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תשנה את כל ה-</w:t>
      </w:r>
      <w:r>
        <w:t>analysis</w:t>
      </w:r>
      <w:r>
        <w:rPr>
          <w:rFonts w:hint="cs"/>
          <w:rtl/>
        </w:rPr>
        <w:t xml:space="preserve"> ככה שבהתחלה מכניסים לו סוג </w:t>
      </w:r>
      <w:r>
        <w:t>traj</w:t>
      </w:r>
      <w:r>
        <w:rPr>
          <w:rFonts w:hint="cs"/>
          <w:rtl/>
        </w:rPr>
        <w:t xml:space="preserve"> ואז הוא עושה חישובים רק עליו.</w:t>
      </w:r>
    </w:p>
    <w:p w14:paraId="455CFD41" w14:textId="10E31C50" w:rsidR="00A6080C" w:rsidRDefault="00A6080C" w:rsidP="00097F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לסנן נבדקים ש:</w:t>
      </w:r>
    </w:p>
    <w:p w14:paraId="3D1EE642" w14:textId="77777777" w:rsidR="00AE4847" w:rsidRDefault="00AE4847" w:rsidP="00AE4847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פחות מ-50% מהמידע שלהם עבר את הסינון (</w:t>
      </w:r>
      <w:r>
        <w:t>screening</w:t>
      </w:r>
      <w:r>
        <w:rPr>
          <w:rFonts w:hint="cs"/>
          <w:rtl/>
        </w:rPr>
        <w:t>).</w:t>
      </w:r>
    </w:p>
    <w:p w14:paraId="65743F13" w14:textId="77777777" w:rsidR="00AE4847" w:rsidRDefault="00AE4847" w:rsidP="00AE4847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פחת מ-100 טריילים בכל תנאי (אני החלטתי 100) עברו את הסינון.</w:t>
      </w:r>
    </w:p>
    <w:p w14:paraId="37A4B895" w14:textId="77777777" w:rsidR="00AE4847" w:rsidRPr="001D77B2" w:rsidRDefault="00AE4847" w:rsidP="00AE4847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עשו הרבה טעויות סיווג? (קריטריון שאני הוספתי).</w:t>
      </w:r>
    </w:p>
    <w:p w14:paraId="5BF380A8" w14:textId="0E5AF994" w:rsidR="00C70D9E" w:rsidRDefault="00C70D9E" w:rsidP="00F659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למה קרייג מחלץ פעמיים נקודות מתוך הפונקציה?</w:t>
      </w:r>
    </w:p>
    <w:p w14:paraId="18D6398B" w14:textId="67EAB659" w:rsidR="00C70D9E" w:rsidRDefault="00C70D9E" w:rsidP="00C70D9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04FE0A61" w14:textId="77777777" w:rsidR="00807059" w:rsidRDefault="00807059" w:rsidP="0080705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תשקול להוציא את הלולאה על הטריילים מחוץ לפונקציות.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4471"/>
    <w:rsid w:val="00040AF2"/>
    <w:rsid w:val="000659B7"/>
    <w:rsid w:val="00066298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4EE5"/>
    <w:rsid w:val="00097F17"/>
    <w:rsid w:val="000A37A9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09C8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5C86"/>
    <w:rsid w:val="001A744F"/>
    <w:rsid w:val="001A7A71"/>
    <w:rsid w:val="001B775D"/>
    <w:rsid w:val="001B7A01"/>
    <w:rsid w:val="001C32B9"/>
    <w:rsid w:val="001C7E63"/>
    <w:rsid w:val="001E0BB7"/>
    <w:rsid w:val="001F0E8B"/>
    <w:rsid w:val="001F4C04"/>
    <w:rsid w:val="001F6D12"/>
    <w:rsid w:val="00204927"/>
    <w:rsid w:val="00207849"/>
    <w:rsid w:val="00214C44"/>
    <w:rsid w:val="002218C6"/>
    <w:rsid w:val="00223FB2"/>
    <w:rsid w:val="00224BE6"/>
    <w:rsid w:val="002317E0"/>
    <w:rsid w:val="002348D5"/>
    <w:rsid w:val="00234E32"/>
    <w:rsid w:val="00235D5D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15ED5"/>
    <w:rsid w:val="003205FA"/>
    <w:rsid w:val="00332967"/>
    <w:rsid w:val="00337E12"/>
    <w:rsid w:val="00343D01"/>
    <w:rsid w:val="00347764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B6BEF"/>
    <w:rsid w:val="004C27C8"/>
    <w:rsid w:val="004C6490"/>
    <w:rsid w:val="004C66D7"/>
    <w:rsid w:val="004C6DB0"/>
    <w:rsid w:val="004C7C79"/>
    <w:rsid w:val="004D2F47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105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2C10"/>
    <w:rsid w:val="005E69B5"/>
    <w:rsid w:val="006009B8"/>
    <w:rsid w:val="00601E5B"/>
    <w:rsid w:val="0061009C"/>
    <w:rsid w:val="006112B3"/>
    <w:rsid w:val="006135E6"/>
    <w:rsid w:val="0061394D"/>
    <w:rsid w:val="00616FF8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7CA"/>
    <w:rsid w:val="007D2815"/>
    <w:rsid w:val="007E1577"/>
    <w:rsid w:val="007E3426"/>
    <w:rsid w:val="007E4D48"/>
    <w:rsid w:val="007E6772"/>
    <w:rsid w:val="007F4FF9"/>
    <w:rsid w:val="007F7355"/>
    <w:rsid w:val="00801739"/>
    <w:rsid w:val="00807059"/>
    <w:rsid w:val="00816C8D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25B6"/>
    <w:rsid w:val="009827F3"/>
    <w:rsid w:val="00982903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1023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47A87"/>
    <w:rsid w:val="00A52077"/>
    <w:rsid w:val="00A54363"/>
    <w:rsid w:val="00A56C56"/>
    <w:rsid w:val="00A6080C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B5FF8"/>
    <w:rsid w:val="00AB75F6"/>
    <w:rsid w:val="00AC071D"/>
    <w:rsid w:val="00AC314C"/>
    <w:rsid w:val="00AC45DF"/>
    <w:rsid w:val="00AC4B6E"/>
    <w:rsid w:val="00AC7B9C"/>
    <w:rsid w:val="00AD0206"/>
    <w:rsid w:val="00AD543F"/>
    <w:rsid w:val="00AD642F"/>
    <w:rsid w:val="00AE4847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39F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58C6"/>
    <w:rsid w:val="00C62706"/>
    <w:rsid w:val="00C67949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42A6"/>
    <w:rsid w:val="00D556B6"/>
    <w:rsid w:val="00D62903"/>
    <w:rsid w:val="00D64479"/>
    <w:rsid w:val="00D67AD1"/>
    <w:rsid w:val="00D702EC"/>
    <w:rsid w:val="00D741B5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4608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2555"/>
    <w:rsid w:val="00EA4080"/>
    <w:rsid w:val="00EA5932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2164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3A1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5A1B-B9D6-4030-87D0-A2B2F418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12391</TotalTime>
  <Pages>10</Pages>
  <Words>2668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446</cp:revision>
  <dcterms:created xsi:type="dcterms:W3CDTF">2020-11-05T07:58:00Z</dcterms:created>
  <dcterms:modified xsi:type="dcterms:W3CDTF">2021-04-07T18:15:00Z</dcterms:modified>
</cp:coreProperties>
</file>