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lastRenderedPageBreak/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CB19B1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proofErr w:type="spellStart"/>
      <w:r w:rsidRPr="00635B3F">
        <w:rPr>
          <w:strike/>
        </w:rPr>
        <w:t>getTrial</w:t>
      </w:r>
      <w:proofErr w:type="spellEnd"/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lastRenderedPageBreak/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</w:t>
      </w:r>
      <w:proofErr w:type="spellStart"/>
      <w:r w:rsidRPr="00556681">
        <w:rPr>
          <w:rFonts w:hint="cs"/>
          <w:strike/>
          <w:rtl/>
        </w:rPr>
        <w:t>לועדת</w:t>
      </w:r>
      <w:proofErr w:type="spellEnd"/>
      <w:r w:rsidRPr="00556681">
        <w:rPr>
          <w:rFonts w:hint="cs"/>
          <w:strike/>
          <w:rtl/>
        </w:rPr>
        <w:t xml:space="preserve">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proofErr w:type="spellStart"/>
        <w:r w:rsidRPr="003B502A">
          <w:rPr>
            <w:rStyle w:val="Hyperlink"/>
            <w:strike/>
          </w:rPr>
          <w:t>mudrick</w:t>
        </w:r>
        <w:proofErr w:type="spellEnd"/>
        <w:r w:rsidRPr="003B502A">
          <w:rPr>
            <w:rStyle w:val="Hyperlink"/>
            <w:strike/>
          </w:rPr>
          <w:t xml:space="preserve">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</w:t>
      </w:r>
      <w:proofErr w:type="gramStart"/>
      <w:r w:rsidRPr="003B502A">
        <w:rPr>
          <w:rFonts w:hint="cs"/>
          <w:strike/>
          <w:rtl/>
        </w:rPr>
        <w:t>תמרה</w:t>
      </w:r>
      <w:proofErr w:type="gramEnd"/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</w:t>
      </w:r>
      <w:proofErr w:type="gramStart"/>
      <w:r w:rsidR="00616FF8" w:rsidRPr="00557C70">
        <w:rPr>
          <w:strike/>
          <w:sz w:val="18"/>
          <w:szCs w:val="18"/>
        </w:rPr>
        <w:t>log.xlsx</w:t>
      </w:r>
      <w:proofErr w:type="gramEnd"/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לבדוק 2 פלטים של </w:t>
      </w:r>
      <w:proofErr w:type="spellStart"/>
      <w:r w:rsidRPr="00173F64">
        <w:rPr>
          <w:rFonts w:hint="cs"/>
          <w:strike/>
          <w:rtl/>
        </w:rPr>
        <w:t>מטלאב</w:t>
      </w:r>
      <w:proofErr w:type="spellEnd"/>
      <w:r w:rsidRPr="00173F64">
        <w:rPr>
          <w:rFonts w:hint="cs"/>
          <w:strike/>
          <w:rtl/>
        </w:rPr>
        <w:t xml:space="preserve">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</w:t>
      </w:r>
      <w:proofErr w:type="spellStart"/>
      <w:r w:rsidRPr="00173F64">
        <w:rPr>
          <w:rFonts w:hint="cs"/>
          <w:strike/>
          <w:rtl/>
        </w:rPr>
        <w:t>קירטעה</w:t>
      </w:r>
      <w:proofErr w:type="spellEnd"/>
      <w:r w:rsidRPr="00173F64">
        <w:rPr>
          <w:rFonts w:hint="cs"/>
          <w:strike/>
          <w:rtl/>
        </w:rPr>
        <w:t xml:space="preserve">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7B9AE400" w:rsidR="00556681" w:rsidRPr="00F668EF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lastRenderedPageBreak/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proofErr w:type="spellStart"/>
      <w:r w:rsidRPr="00230B4D">
        <w:rPr>
          <w:strike/>
        </w:rPr>
        <w:t>readtable</w:t>
      </w:r>
      <w:proofErr w:type="spellEnd"/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proofErr w:type="spellStart"/>
      <w:r w:rsidRPr="00230B4D">
        <w:rPr>
          <w:strike/>
        </w:rPr>
        <w:t>data_table</w:t>
      </w:r>
      <w:proofErr w:type="spellEnd"/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פחת מ-100 </w:t>
      </w:r>
      <w:proofErr w:type="spellStart"/>
      <w:r w:rsidRPr="00230B4D">
        <w:rPr>
          <w:rFonts w:hint="cs"/>
          <w:strike/>
          <w:rtl/>
        </w:rPr>
        <w:t>טריילים</w:t>
      </w:r>
      <w:proofErr w:type="spellEnd"/>
      <w:r w:rsidRPr="00230B4D">
        <w:rPr>
          <w:rFonts w:hint="cs"/>
          <w:strike/>
          <w:rtl/>
        </w:rPr>
        <w:t xml:space="preserve">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77777777" w:rsidR="00460C69" w:rsidRPr="00460C69" w:rsidRDefault="00460C69" w:rsidP="00460C69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לנבדקים.</w:t>
      </w:r>
      <w:r w:rsidRPr="00460C69">
        <w:rPr>
          <w:strike/>
        </w:rPr>
        <w:t xml:space="preserve"> </w:t>
      </w:r>
      <w:r w:rsidRPr="00460C69">
        <w:rPr>
          <w:rFonts w:hint="cs"/>
          <w:strike/>
          <w:rtl/>
        </w:rPr>
        <w:t>זה מה שעשית בשבוע האחרון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CF60F82" w:rsidR="007D4564" w:rsidRPr="00173F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</w:t>
      </w:r>
      <w:proofErr w:type="spellStart"/>
      <w:r w:rsidRPr="00173F64">
        <w:rPr>
          <w:rFonts w:hint="cs"/>
          <w:strike/>
          <w:rtl/>
        </w:rPr>
        <w:t>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3251"/>
    <w:rsid w:val="00034471"/>
    <w:rsid w:val="00040AF2"/>
    <w:rsid w:val="00060839"/>
    <w:rsid w:val="000659B7"/>
    <w:rsid w:val="0006629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141F"/>
    <w:rsid w:val="00121A77"/>
    <w:rsid w:val="001225E4"/>
    <w:rsid w:val="00126DE5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775D"/>
    <w:rsid w:val="001B7A01"/>
    <w:rsid w:val="001C32B9"/>
    <w:rsid w:val="001C7E63"/>
    <w:rsid w:val="001E0BB7"/>
    <w:rsid w:val="001E34A8"/>
    <w:rsid w:val="001F0E8B"/>
    <w:rsid w:val="001F3098"/>
    <w:rsid w:val="001F4C04"/>
    <w:rsid w:val="001F6D12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97EC6"/>
    <w:rsid w:val="003A16C0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5AE0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B51BA"/>
    <w:rsid w:val="004B6BEF"/>
    <w:rsid w:val="004C27C8"/>
    <w:rsid w:val="004C6490"/>
    <w:rsid w:val="004C66D7"/>
    <w:rsid w:val="004C6DB0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96970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4C72"/>
    <w:rsid w:val="005E69B5"/>
    <w:rsid w:val="006009B8"/>
    <w:rsid w:val="00601E5B"/>
    <w:rsid w:val="00602D4E"/>
    <w:rsid w:val="0061009C"/>
    <w:rsid w:val="006112B3"/>
    <w:rsid w:val="006135E6"/>
    <w:rsid w:val="0061394D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840BF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3426"/>
    <w:rsid w:val="007E4D48"/>
    <w:rsid w:val="007E6772"/>
    <w:rsid w:val="007F4FF9"/>
    <w:rsid w:val="007F7355"/>
    <w:rsid w:val="00801739"/>
    <w:rsid w:val="00807059"/>
    <w:rsid w:val="00816C8D"/>
    <w:rsid w:val="00817D87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E0C12"/>
    <w:rsid w:val="00A01C4C"/>
    <w:rsid w:val="00A01E68"/>
    <w:rsid w:val="00A07E9B"/>
    <w:rsid w:val="00A10D65"/>
    <w:rsid w:val="00A10FAF"/>
    <w:rsid w:val="00A11023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080C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A7DA4"/>
    <w:rsid w:val="00AB2C44"/>
    <w:rsid w:val="00AB5FF8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39F7"/>
    <w:rsid w:val="00B36107"/>
    <w:rsid w:val="00B36535"/>
    <w:rsid w:val="00B36F00"/>
    <w:rsid w:val="00B401C9"/>
    <w:rsid w:val="00B424BD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2329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53C8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42A6"/>
    <w:rsid w:val="00D556B6"/>
    <w:rsid w:val="00D62903"/>
    <w:rsid w:val="00D64479"/>
    <w:rsid w:val="00D67AD1"/>
    <w:rsid w:val="00D702EC"/>
    <w:rsid w:val="00D741B5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77A6"/>
    <w:rsid w:val="00E73ED3"/>
    <w:rsid w:val="00E7566F"/>
    <w:rsid w:val="00E75B71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A5A2D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8EF"/>
    <w:rsid w:val="00F733A1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13711</TotalTime>
  <Pages>1</Pages>
  <Words>2817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495</cp:revision>
  <dcterms:created xsi:type="dcterms:W3CDTF">2020-11-05T07:58:00Z</dcterms:created>
  <dcterms:modified xsi:type="dcterms:W3CDTF">2021-05-02T06:57:00Z</dcterms:modified>
</cp:coreProperties>
</file>