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25EB72ED" w:rsidR="00E81978" w:rsidRPr="009D3CC3" w:rsidRDefault="002A41DA">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72F5" w:rsidRPr="009D3CC3">
            <w:rPr>
              <w:b/>
              <w:bCs/>
            </w:rPr>
            <w:t>Show some sensitivity! Using motion tracking to improve unconscious measures</w:t>
          </w:r>
        </w:sdtContent>
      </w:sdt>
    </w:p>
    <w:p w14:paraId="21BC2242" w14:textId="2B399F19" w:rsidR="00B823AA" w:rsidRPr="00032C23" w:rsidRDefault="000A1132" w:rsidP="00B823AA">
      <w:pPr>
        <w:pStyle w:val="Title2"/>
        <w:rPr>
          <w:vertAlign w:val="superscript"/>
        </w:rPr>
      </w:pPr>
      <w:r>
        <w:t>Khen Heller</w:t>
      </w:r>
      <w:r w:rsidR="006D6EF5">
        <w:rPr>
          <w:vertAlign w:val="superscript"/>
        </w:rPr>
        <w:t>1</w:t>
      </w:r>
      <w:r>
        <w:t xml:space="preserve">, </w:t>
      </w:r>
      <w:r w:rsidR="006D6EF5">
        <w:t>Craig S. Chapman</w:t>
      </w:r>
      <w:r w:rsidR="00032C23">
        <w:rPr>
          <w:vertAlign w:val="superscript"/>
        </w:rPr>
        <w:t>2,3</w:t>
      </w:r>
      <w:r w:rsidR="00032C23">
        <w:t xml:space="preserve"> and Liad Mudrik</w:t>
      </w:r>
      <w:r w:rsidR="00032C23">
        <w:rPr>
          <w:vertAlign w:val="superscript"/>
        </w:rPr>
        <w:t>1,4</w:t>
      </w:r>
    </w:p>
    <w:p w14:paraId="652D4692" w14:textId="3FE588C5" w:rsidR="00AD72F5" w:rsidRDefault="00AD72F5" w:rsidP="006D6EF5">
      <w:pPr>
        <w:pStyle w:val="Title2"/>
      </w:pPr>
      <w:r>
        <w:rPr>
          <w:vertAlign w:val="superscript"/>
        </w:rPr>
        <w:t xml:space="preserve">1 </w:t>
      </w:r>
      <w:r w:rsidR="006D6EF5" w:rsidRPr="006D6EF5">
        <w:t>Sagol School of Neuroscience, Tel Aviv University</w:t>
      </w:r>
    </w:p>
    <w:p w14:paraId="3ADF117D" w14:textId="5562F5AE" w:rsidR="00AD72F5" w:rsidRDefault="00032C23" w:rsidP="006D6EF5">
      <w:pPr>
        <w:pStyle w:val="Title2"/>
      </w:pPr>
      <w:r>
        <w:rPr>
          <w:vertAlign w:val="superscript"/>
        </w:rPr>
        <w:t>2</w:t>
      </w:r>
      <w:r w:rsidR="00AD72F5">
        <w:rPr>
          <w:vertAlign w:val="superscript"/>
        </w:rPr>
        <w:t xml:space="preserve"> </w:t>
      </w:r>
      <w:r w:rsidR="006D6EF5" w:rsidRPr="006D6EF5">
        <w:t>Faculty of Kinesiology, Sport, and Recreation, University of Alberta, Edmonton, AB, Canada</w:t>
      </w:r>
    </w:p>
    <w:p w14:paraId="4D21CF04" w14:textId="0FE310E9" w:rsidR="00E81978" w:rsidRDefault="00032C23" w:rsidP="00166E53">
      <w:pPr>
        <w:pStyle w:val="Title2"/>
      </w:pPr>
      <w:r>
        <w:rPr>
          <w:vertAlign w:val="superscript"/>
        </w:rPr>
        <w:t>3</w:t>
      </w:r>
      <w:r w:rsidR="00AD72F5">
        <w:rPr>
          <w:vertAlign w:val="superscript"/>
        </w:rPr>
        <w:t xml:space="preserve"> </w:t>
      </w:r>
      <w:r w:rsidR="006D6EF5" w:rsidRPr="006D6EF5">
        <w:t>Neuroscience and Mental Health Institute University of Alberta Edmonton, Alberta, Canada</w:t>
      </w:r>
    </w:p>
    <w:p w14:paraId="05F7E02D" w14:textId="6B353D59" w:rsidR="00032C23" w:rsidRDefault="00032C23" w:rsidP="00032C23">
      <w:pPr>
        <w:pStyle w:val="Title2"/>
      </w:pPr>
      <w:r>
        <w:rPr>
          <w:vertAlign w:val="superscript"/>
        </w:rPr>
        <w:t xml:space="preserve">4 </w:t>
      </w:r>
      <w:r w:rsidRPr="006D6EF5">
        <w:t>School of Psychological Sciences, Tel Aviv University</w:t>
      </w:r>
    </w:p>
    <w:p w14:paraId="266E41B7" w14:textId="77777777" w:rsidR="00032C23" w:rsidRDefault="00032C23" w:rsidP="00166E53">
      <w:pPr>
        <w:pStyle w:val="Title2"/>
      </w:pP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 xml:space="preserve">(Eriksen, 1960; Newell &amp; Shanks, </w:t>
      </w:r>
      <w:r w:rsidR="007D76A0" w:rsidRPr="007D76A0">
        <w:rPr>
          <w:rFonts w:ascii="Times New Roman" w:hAnsi="Times New Roman" w:cs="Times New Roman"/>
        </w:rPr>
        <w:lastRenderedPageBreak/>
        <w:t>2014; Reingold &amp; Merikle, 1988; Vadillo et al., 2016)</w:t>
      </w:r>
      <w:r w:rsidR="00CB6D92">
        <w:fldChar w:fldCharType="end"/>
      </w:r>
      <w:r w:rsidRPr="00816937">
        <w:t xml:space="preserve">, while null results can be attributed to the 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measure, and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In previous motion tracking pilots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26A3928C" w:rsidR="00A431EC" w:rsidRDefault="00A431EC" w:rsidP="00106409">
      <w:pPr>
        <w:pStyle w:val="ListNumber"/>
      </w:pPr>
      <w:r w:rsidRPr="007A7739">
        <w:rPr>
          <w:b/>
          <w:bCs/>
        </w:rPr>
        <w:t>Congruency</w:t>
      </w:r>
      <w:r w:rsidR="007A7739" w:rsidRPr="007A7739">
        <w:rPr>
          <w:b/>
          <w:bCs/>
        </w:rPr>
        <w:t>:</w:t>
      </w:r>
      <w:r w:rsidRPr="00616FF2">
        <w:t xml:space="preserve"> </w:t>
      </w:r>
      <w:r w:rsidR="001C49FE">
        <w:t>a</w:t>
      </w:r>
      <w:r>
        <w:t xml:space="preserve"> within subject variable of two levels.</w:t>
      </w:r>
    </w:p>
    <w:p w14:paraId="5A0804C1" w14:textId="77777777" w:rsidR="00A431EC" w:rsidRDefault="00A431EC" w:rsidP="009510F4">
      <w:pPr>
        <w:pStyle w:val="ListNumbertwo"/>
      </w:pPr>
      <w:r>
        <w:t>Congruent: prime and target are the same word.</w:t>
      </w:r>
    </w:p>
    <w:p w14:paraId="00AB3862" w14:textId="1D389EC2" w:rsidR="00A431EC" w:rsidRDefault="00A431EC" w:rsidP="00106409">
      <w:pPr>
        <w:pStyle w:val="ListNumbertwo"/>
      </w:pPr>
      <w:r>
        <w:t xml:space="preserve">Incongruent: </w:t>
      </w:r>
      <w:r w:rsidR="001C49FE">
        <w:t>p</w:t>
      </w:r>
      <w:r>
        <w:t>rime and target are a different word from a different semantic category that do not share letters in common locations.</w:t>
      </w:r>
    </w:p>
    <w:p w14:paraId="439EBA07" w14:textId="7DE8A6D5" w:rsidR="00A431EC" w:rsidRDefault="00A431EC" w:rsidP="00106409">
      <w:pPr>
        <w:pStyle w:val="ListNumber"/>
      </w:pPr>
      <w:r w:rsidRPr="007A7739">
        <w:rPr>
          <w:b/>
          <w:bCs/>
        </w:rPr>
        <w:t>Response measure</w:t>
      </w:r>
      <w:r w:rsidR="007A7739" w:rsidRPr="007A7739">
        <w:rPr>
          <w:b/>
          <w:bCs/>
        </w:rPr>
        <w:t>:</w:t>
      </w:r>
      <w:r>
        <w:t xml:space="preserve"> </w:t>
      </w:r>
      <w:r w:rsidR="001C49FE">
        <w:t>a</w:t>
      </w:r>
      <w:r>
        <w:t xml:space="preserve"> within subject variable of two levels.</w:t>
      </w:r>
    </w:p>
    <w:p w14:paraId="3B5381C0" w14:textId="4EF7C751" w:rsidR="00A431EC" w:rsidRDefault="00A431EC" w:rsidP="009510F4">
      <w:pPr>
        <w:pStyle w:val="ListNumbertwo"/>
        <w:numPr>
          <w:ilvl w:val="0"/>
          <w:numId w:val="33"/>
        </w:numPr>
      </w:pPr>
      <w:r>
        <w:t xml:space="preserve">Motion tracking: </w:t>
      </w:r>
      <w:r w:rsidR="001C49FE">
        <w:t>t</w:t>
      </w:r>
      <w:r>
        <w:t>he participant chooses an answer by reaching and touching it on the screen.</w:t>
      </w:r>
    </w:p>
    <w:p w14:paraId="0DA57493" w14:textId="1276B020" w:rsidR="00A431EC" w:rsidRDefault="00A431EC" w:rsidP="00106409">
      <w:pPr>
        <w:pStyle w:val="ListNumbertwo"/>
      </w:pPr>
      <w:r>
        <w:t xml:space="preserve">Keyboard response: </w:t>
      </w:r>
      <w:r w:rsidR="001C49FE">
        <w:t>t</w:t>
      </w:r>
      <w:r>
        <w:t>he participant chooses an answer by pressing "E" / "Y" accordingly.</w:t>
      </w:r>
    </w:p>
    <w:p w14:paraId="1F75EC5E" w14:textId="6B17935A" w:rsidR="00A431EC" w:rsidRDefault="00A431EC" w:rsidP="00106409">
      <w:pPr>
        <w:pStyle w:val="ListNumber"/>
      </w:pPr>
      <w:r w:rsidRPr="007A7739">
        <w:rPr>
          <w:b/>
          <w:bCs/>
        </w:rPr>
        <w:t>Item type</w:t>
      </w:r>
      <w:r w:rsidR="007A7739" w:rsidRPr="007A7739">
        <w:rPr>
          <w:b/>
          <w:bCs/>
        </w:rPr>
        <w:t>:</w:t>
      </w:r>
      <w:r>
        <w:t xml:space="preserve"> </w:t>
      </w:r>
      <w:r w:rsidR="00DF1B50">
        <w:t>a</w:t>
      </w:r>
      <w:r>
        <w:t xml:space="preserve">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604870CD" w:rsidR="00A431EC" w:rsidRDefault="00A431EC" w:rsidP="00A431EC">
      <w:pPr>
        <w:pStyle w:val="NoSpacing"/>
        <w:ind w:firstLine="360"/>
      </w:pPr>
      <w:r w:rsidRPr="005205B3">
        <w:t>D</w:t>
      </w:r>
      <w:r>
        <w:t>Vs</w:t>
      </w:r>
      <w:r w:rsidRPr="005205B3">
        <w:t>:</w:t>
      </w:r>
    </w:p>
    <w:p w14:paraId="561C6274" w14:textId="76217F03" w:rsidR="007107E2" w:rsidRPr="005205B3" w:rsidRDefault="007107E2" w:rsidP="00725B9E">
      <w:pPr>
        <w:pStyle w:val="NoSpacing"/>
      </w:pPr>
      <w:r>
        <w:lastRenderedPageBreak/>
        <w:t xml:space="preserve">All </w:t>
      </w:r>
      <w:r w:rsidR="00BA5C90">
        <w:t xml:space="preserve">confirmatory and exploratory </w:t>
      </w:r>
      <w:r>
        <w:t>DVs</w:t>
      </w:r>
      <w:r w:rsidR="00BA5C90">
        <w:t xml:space="preserve"> </w:t>
      </w:r>
      <w:r>
        <w:t xml:space="preserve">will be calculated on </w:t>
      </w:r>
      <w:r w:rsidRPr="00073015">
        <w:rPr>
          <w:i/>
          <w:iCs/>
        </w:rPr>
        <w:t>valid trials</w:t>
      </w:r>
      <w:r w:rsidR="00657638" w:rsidRPr="00725B9E">
        <w:t xml:space="preserve"> only</w:t>
      </w:r>
      <w:r>
        <w:rPr>
          <w:i/>
          <w:iCs/>
        </w:rPr>
        <w:t xml:space="preserve"> </w:t>
      </w:r>
      <w:r>
        <w:t>(see</w:t>
      </w:r>
      <w:r w:rsidR="00B92C54">
        <w:t xml:space="preserve"> "</w:t>
      </w:r>
      <w:r>
        <w:fldChar w:fldCharType="begin"/>
      </w:r>
      <w:r>
        <w:instrText xml:space="preserve"> REF _Ref106707778 \h </w:instrText>
      </w:r>
      <w:r>
        <w:fldChar w:fldCharType="separate"/>
      </w:r>
      <w:r w:rsidR="00660FF6">
        <w:t>Exclusion Criteria</w:t>
      </w:r>
      <w:r>
        <w:fldChar w:fldCharType="end"/>
      </w:r>
      <w:r>
        <w:t>" below).</w:t>
      </w:r>
    </w:p>
    <w:p w14:paraId="0EE87B06" w14:textId="57EC5720" w:rsidR="00A431EC" w:rsidRDefault="00A431EC" w:rsidP="004D5BBE">
      <w:pPr>
        <w:pStyle w:val="ListNumber"/>
        <w:numPr>
          <w:ilvl w:val="0"/>
          <w:numId w:val="35"/>
        </w:numPr>
      </w:pPr>
      <w:r w:rsidRPr="004D5BBE">
        <w:rPr>
          <w:b/>
          <w:bCs/>
        </w:rPr>
        <w:t>Reach area</w:t>
      </w:r>
      <w:r w:rsidR="007A7739" w:rsidRPr="004D5BBE">
        <w:rPr>
          <w:b/>
          <w:bCs/>
        </w:rPr>
        <w:t>:</w:t>
      </w:r>
      <w:r>
        <w:t xml:space="preserve"> in the motion tracking session, </w:t>
      </w:r>
      <w:r w:rsidR="00991EBF">
        <w:t xml:space="preserve">two average trajectories </w:t>
      </w:r>
      <w:r w:rsidR="009C282D">
        <w:t xml:space="preserve">will be computed </w:t>
      </w:r>
      <w:r w:rsidR="00991EBF">
        <w:t>for each condition</w:t>
      </w:r>
      <w:r w:rsidR="007E1F72">
        <w:t xml:space="preserve"> (congruent / incongruent)</w:t>
      </w:r>
      <w:r w:rsidR="005A0E06">
        <w:t>;</w:t>
      </w:r>
      <w:r w:rsidR="00991EBF">
        <w:t xml:space="preserve"> </w:t>
      </w:r>
      <w:r w:rsidR="008D7AFA">
        <w:t>o</w:t>
      </w:r>
      <w:r w:rsidR="00991EBF">
        <w:t xml:space="preserve">ne for </w:t>
      </w:r>
      <w:r w:rsidR="0075680F">
        <w:t xml:space="preserve">reaches made to the left side when the correct answer was on the left and one for reaches made to the right side when the correct answer was on the right. </w:t>
      </w:r>
      <w:r w:rsidR="00FF2CCE">
        <w:t xml:space="preserve">Then, </w:t>
      </w:r>
      <w:r>
        <w:t xml:space="preserve">the area between a participant's average </w:t>
      </w:r>
      <w:r w:rsidR="0032504F">
        <w:t xml:space="preserve">reach </w:t>
      </w:r>
      <w:r>
        <w:t xml:space="preserve">to the left and average </w:t>
      </w:r>
      <w:r w:rsidR="0032504F">
        <w:t xml:space="preserve">reach </w:t>
      </w:r>
      <w:r>
        <w:t>to the right</w:t>
      </w:r>
      <w:r w:rsidR="00FF2CCE">
        <w:t xml:space="preserve"> will be defined as </w:t>
      </w:r>
      <w:r w:rsidR="00F66DF6">
        <w:t>his</w:t>
      </w:r>
      <w:r w:rsidR="00FF2CCE">
        <w:t xml:space="preserve"> reach area</w:t>
      </w:r>
      <w:r>
        <w:t xml:space="preserve"> (</w:t>
      </w:r>
      <w:r>
        <w:fldChar w:fldCharType="begin"/>
      </w:r>
      <w:r>
        <w:instrText xml:space="preserve"> REF _Ref106198366 \h </w:instrText>
      </w:r>
      <w:r>
        <w:fldChar w:fldCharType="separate"/>
      </w:r>
      <w:r w:rsidR="00660FF6">
        <w:t xml:space="preserve">Figure </w:t>
      </w:r>
      <w:r w:rsidR="00660FF6">
        <w:rPr>
          <w:noProof/>
        </w:rPr>
        <w:t>1</w:t>
      </w:r>
      <w:r>
        <w:fldChar w:fldCharType="end"/>
      </w:r>
      <w:r w:rsidR="00A74787">
        <w:t>; see further details in the "</w:t>
      </w:r>
      <w:r w:rsidR="00F23576">
        <w:fldChar w:fldCharType="begin"/>
      </w:r>
      <w:r w:rsidR="00F23576">
        <w:instrText xml:space="preserve"> REF _Ref106804063 \h </w:instrText>
      </w:r>
      <w:r w:rsidR="00F23576">
        <w:fldChar w:fldCharType="separate"/>
      </w:r>
      <w:r w:rsidR="00660FF6">
        <w:t>Reach Area Calculation.</w:t>
      </w:r>
      <w:r w:rsidR="00F23576">
        <w:fldChar w:fldCharType="end"/>
      </w:r>
      <w:r w:rsidR="00F23576">
        <w:t>"</w:t>
      </w:r>
      <w:r w:rsidR="00A74787">
        <w:t xml:space="preserve"> section below</w:t>
      </w:r>
      <w:r>
        <w:t>).</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0C8846E3" w:rsidR="00A431EC" w:rsidRDefault="00A431EC" w:rsidP="00A431EC">
      <w:pPr>
        <w:pStyle w:val="Caption"/>
      </w:pPr>
      <w:bookmarkStart w:id="1" w:name="_Ref106198366"/>
      <w:r>
        <w:t xml:space="preserve">Figure </w:t>
      </w:r>
      <w:r w:rsidR="002A41DA">
        <w:fldChar w:fldCharType="begin"/>
      </w:r>
      <w:r w:rsidR="002A41DA">
        <w:instrText xml:space="preserve"> SEQ Figure \* ARABIC </w:instrText>
      </w:r>
      <w:r w:rsidR="002A41DA">
        <w:fldChar w:fldCharType="separate"/>
      </w:r>
      <w:r w:rsidR="00660FF6">
        <w:rPr>
          <w:noProof/>
        </w:rPr>
        <w:t>1</w:t>
      </w:r>
      <w:r w:rsidR="002A41DA">
        <w:rPr>
          <w:noProof/>
        </w:rPr>
        <w:fldChar w:fldCharType="end"/>
      </w:r>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3A48224" w14:textId="0614B9C8" w:rsidR="00A431EC" w:rsidRPr="00095EB4" w:rsidRDefault="00A431EC" w:rsidP="00D951AE">
      <w:pPr>
        <w:pStyle w:val="NoSpacing"/>
      </w:pPr>
      <w:r>
        <w:t>Beyond the above measure, on which we will perform a confirmatory analysis, we will also explore additional measures to see if the yield a stronger effect in the motion tracking task (thus, all the measures below refer to the motion tracking session):</w:t>
      </w:r>
    </w:p>
    <w:p w14:paraId="59214ECE" w14:textId="053D9EC4" w:rsidR="00A431EC" w:rsidRDefault="00A431EC" w:rsidP="00D951AE">
      <w:pPr>
        <w:pStyle w:val="ListNumber"/>
        <w:numPr>
          <w:ilvl w:val="0"/>
          <w:numId w:val="36"/>
        </w:numPr>
      </w:pPr>
      <w:r w:rsidRPr="00D951AE">
        <w:rPr>
          <w:b/>
          <w:bCs/>
        </w:rPr>
        <w:lastRenderedPageBreak/>
        <w:t>Reaction time:</w:t>
      </w:r>
      <w:r>
        <w:t xml:space="preserve"> </w:t>
      </w:r>
      <w:r w:rsidR="00DF1B50">
        <w:t>t</w:t>
      </w:r>
      <w:r>
        <w:t>ime from stimulus presentation up to movement initiation. Movement initiation is detected once the Euclidean distance from the starting point is greater than 1cm.</w:t>
      </w:r>
    </w:p>
    <w:p w14:paraId="4EA70309" w14:textId="331F980D" w:rsidR="00A431EC" w:rsidRPr="003F4884" w:rsidRDefault="00A431EC" w:rsidP="00D951AE">
      <w:pPr>
        <w:pStyle w:val="ListNumber"/>
      </w:pPr>
      <w:r w:rsidRPr="00F56DA3">
        <w:rPr>
          <w:b/>
          <w:bCs/>
        </w:rPr>
        <w:t>Movement time:</w:t>
      </w:r>
      <w:r>
        <w:t xml:space="preserve"> </w:t>
      </w:r>
      <w:r w:rsidR="00DF1B50">
        <w:t>t</w:t>
      </w:r>
      <w:r>
        <w:t>ime from movement initiation until the screen is reached.</w:t>
      </w:r>
    </w:p>
    <w:p w14:paraId="782C4097" w14:textId="2EA2B614"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rsidR="00660FF6">
        <w:t xml:space="preserve">Figure </w:t>
      </w:r>
      <w:r w:rsidR="00660FF6">
        <w:rPr>
          <w:noProof/>
        </w:rPr>
        <w:t>2</w:t>
      </w:r>
      <w:r>
        <w:fldChar w:fldCharType="end"/>
      </w:r>
      <w:r>
        <w:t>).</w:t>
      </w:r>
    </w:p>
    <w:p w14:paraId="54B6D644" w14:textId="77777777" w:rsidR="00A431EC" w:rsidRDefault="00A431EC" w:rsidP="00A431EC">
      <w:pPr>
        <w:pStyle w:val="NoSpacing"/>
        <w:keepNext/>
        <w:ind w:left="1080"/>
      </w:pPr>
      <w:r w:rsidRPr="00EF1360">
        <w:rPr>
          <w:noProof/>
          <w:lang w:val="en-CA" w:eastAsia="en-CA"/>
        </w:rPr>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916367" cy="1733856"/>
                    </a:xfrm>
                    <a:prstGeom prst="rect">
                      <a:avLst/>
                    </a:prstGeom>
                  </pic:spPr>
                </pic:pic>
              </a:graphicData>
            </a:graphic>
          </wp:inline>
        </w:drawing>
      </w:r>
    </w:p>
    <w:p w14:paraId="0546E0D3" w14:textId="5FB37086" w:rsidR="00A431EC" w:rsidRPr="00EF1360" w:rsidRDefault="00A431EC" w:rsidP="00A431EC">
      <w:pPr>
        <w:pStyle w:val="Caption"/>
      </w:pPr>
      <w:bookmarkStart w:id="2" w:name="_Ref106198546"/>
      <w:r>
        <w:t xml:space="preserve">Figure </w:t>
      </w:r>
      <w:r w:rsidR="002A41DA">
        <w:fldChar w:fldCharType="begin"/>
      </w:r>
      <w:r w:rsidR="002A41DA">
        <w:instrText xml:space="preserve"> SEQ Figur</w:instrText>
      </w:r>
      <w:r w:rsidR="002A41DA">
        <w:instrText xml:space="preserve">e \* ARABIC </w:instrText>
      </w:r>
      <w:r w:rsidR="002A41DA">
        <w:fldChar w:fldCharType="separate"/>
      </w:r>
      <w:r w:rsidR="00660FF6">
        <w:rPr>
          <w:noProof/>
        </w:rPr>
        <w:t>2</w:t>
      </w:r>
      <w:r w:rsidR="002A41DA">
        <w:rPr>
          <w:noProof/>
        </w:rPr>
        <w:fldChar w:fldCharType="end"/>
      </w:r>
      <w:bookmarkEnd w:id="2"/>
      <w:r>
        <w:t>. Depiction of Deviation from center. Each red dot represents a single sample along the movement trajectory. The dashed grey line represents the center line and the blue arrows represent each sample's deviation from the center.</w:t>
      </w:r>
    </w:p>
    <w:p w14:paraId="0B2BA445" w14:textId="51C8FA2B" w:rsidR="00A431EC" w:rsidRDefault="00A431EC" w:rsidP="00106409">
      <w:pPr>
        <w:pStyle w:val="ListNumber"/>
      </w:pPr>
      <w:r w:rsidRPr="00F56DA3">
        <w:rPr>
          <w:b/>
          <w:bCs/>
        </w:rPr>
        <w:t>Movement variation:</w:t>
      </w:r>
      <w:r>
        <w:t xml:space="preserve"> the standard deviation of the "Deviation from center" measure (</w:t>
      </w:r>
      <w:r w:rsidR="006955BA">
        <w:t>3</w:t>
      </w:r>
      <w:r>
        <w:t xml:space="preserve">). The standard deviation will be computed over </w:t>
      </w:r>
      <w:r w:rsidR="00226F0E">
        <w:t xml:space="preserve">the </w:t>
      </w:r>
      <w:r>
        <w:t>trials</w:t>
      </w:r>
      <w:r w:rsidR="00A84020">
        <w:t>.</w:t>
      </w:r>
    </w:p>
    <w:p w14:paraId="7435CAB8" w14:textId="6D4B6F68" w:rsidR="004676D6" w:rsidRDefault="004676D6" w:rsidP="00106409">
      <w:pPr>
        <w:pStyle w:val="ListNumber"/>
      </w:pPr>
      <w:r>
        <w:rPr>
          <w:b/>
          <w:bCs/>
        </w:rPr>
        <w:t>Heading angle:</w:t>
      </w:r>
      <w:r>
        <w:t xml:space="preserve"> </w:t>
      </w:r>
      <w:r w:rsidR="00DF1B50">
        <w:t>f</w:t>
      </w:r>
      <w:r w:rsidR="006550E4">
        <w:t xml:space="preserve">irst, </w:t>
      </w:r>
      <w:r w:rsidR="002A2C99">
        <w:t xml:space="preserve">a </w:t>
      </w:r>
      <w:r w:rsidR="006550E4">
        <w:t xml:space="preserve">tangent is evaluated for every point along the trajectory by connecting </w:t>
      </w:r>
      <w:r w:rsidR="002A2C99">
        <w:t xml:space="preserve">it to the previous point. </w:t>
      </w:r>
      <w:r w:rsidR="00905DB5">
        <w:t xml:space="preserve">The "Heading angle" is </w:t>
      </w:r>
      <w:r w:rsidR="00257BA5">
        <w:t xml:space="preserve">confined between </w:t>
      </w:r>
      <w:r w:rsidR="00905DB5">
        <w:t xml:space="preserve">the tangent and </w:t>
      </w:r>
      <w:r w:rsidR="00396338">
        <w:t>a line perpendicular to the screen</w:t>
      </w:r>
      <w:r w:rsidR="00F73392">
        <w:t xml:space="preserve"> (</w:t>
      </w:r>
      <w:r w:rsidR="00F73392">
        <w:fldChar w:fldCharType="begin"/>
      </w:r>
      <w:r w:rsidR="00F73392">
        <w:instrText xml:space="preserve"> REF _Ref106781856 \h </w:instrText>
      </w:r>
      <w:r w:rsidR="00F73392">
        <w:fldChar w:fldCharType="separate"/>
      </w:r>
      <w:r w:rsidR="00660FF6">
        <w:t xml:space="preserve">Figure </w:t>
      </w:r>
      <w:r w:rsidR="00660FF6">
        <w:rPr>
          <w:noProof/>
        </w:rPr>
        <w:t>3</w:t>
      </w:r>
      <w:r w:rsidR="00F73392">
        <w:fldChar w:fldCharType="end"/>
      </w:r>
      <w:r w:rsidR="00F73392">
        <w:t>)</w:t>
      </w:r>
      <w:r w:rsidR="00396338">
        <w:t>.</w:t>
      </w:r>
      <w:r w:rsidR="00626612">
        <w:t xml:space="preserve"> Angles will be considered negative if the </w:t>
      </w:r>
      <w:r w:rsidR="00535990">
        <w:t xml:space="preserve">extension of the tangent meets </w:t>
      </w:r>
      <w:r w:rsidR="0041384E">
        <w:t xml:space="preserve">the screen </w:t>
      </w:r>
      <w:r w:rsidR="00535990">
        <w:t>on the side opposite to the chosen answer.</w:t>
      </w:r>
      <w:r w:rsidR="00960D95">
        <w:t xml:space="preserve"> </w:t>
      </w:r>
      <w:r w:rsidR="0035224A">
        <w:t>Finally</w:t>
      </w:r>
      <w:r w:rsidR="002532F4">
        <w:t>, the angles are averaged across trials</w:t>
      </w:r>
      <w:r w:rsidR="00C55B9C">
        <w:t xml:space="preserve"> for each participant</w:t>
      </w:r>
      <w:r w:rsidR="002532F4">
        <w:t>.</w:t>
      </w:r>
    </w:p>
    <w:p w14:paraId="415C7CA3" w14:textId="77777777" w:rsidR="001E5B58" w:rsidRDefault="001E5B58" w:rsidP="00C55B9C">
      <w:pPr>
        <w:pStyle w:val="ListNumber"/>
        <w:keepNext/>
        <w:numPr>
          <w:ilvl w:val="0"/>
          <w:numId w:val="0"/>
        </w:numPr>
        <w:ind w:left="1080"/>
      </w:pPr>
      <w:r w:rsidRPr="001E5B58">
        <w:rPr>
          <w:noProof/>
        </w:rPr>
        <w:lastRenderedPageBreak/>
        <w:drawing>
          <wp:inline distT="0" distB="0" distL="0" distR="0" wp14:anchorId="1CB1577A" wp14:editId="12DDB0CE">
            <wp:extent cx="1917180" cy="1579420"/>
            <wp:effectExtent l="0" t="0" r="698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1926995" cy="1587506"/>
                    </a:xfrm>
                    <a:prstGeom prst="rect">
                      <a:avLst/>
                    </a:prstGeom>
                  </pic:spPr>
                </pic:pic>
              </a:graphicData>
            </a:graphic>
          </wp:inline>
        </w:drawing>
      </w:r>
    </w:p>
    <w:p w14:paraId="5EDE5193" w14:textId="2629655A" w:rsidR="001E5B58" w:rsidRDefault="001E5B58" w:rsidP="00C55B9C">
      <w:pPr>
        <w:pStyle w:val="Caption"/>
      </w:pPr>
      <w:bookmarkStart w:id="3" w:name="_Ref106781856"/>
      <w:r>
        <w:t xml:space="preserve">Figure </w:t>
      </w:r>
      <w:r w:rsidR="002A41DA">
        <w:fldChar w:fldCharType="begin"/>
      </w:r>
      <w:r w:rsidR="002A41DA">
        <w:instrText xml:space="preserve"> SEQ Figure \* ARABIC </w:instrText>
      </w:r>
      <w:r w:rsidR="002A41DA">
        <w:fldChar w:fldCharType="separate"/>
      </w:r>
      <w:r w:rsidR="00660FF6">
        <w:rPr>
          <w:noProof/>
        </w:rPr>
        <w:t>3</w:t>
      </w:r>
      <w:r w:rsidR="002A41DA">
        <w:rPr>
          <w:noProof/>
        </w:rPr>
        <w:fldChar w:fldCharType="end"/>
      </w:r>
      <w:bookmarkEnd w:id="3"/>
      <w:r>
        <w:t xml:space="preserve">. Depiction of </w:t>
      </w:r>
      <w:r w:rsidR="00842771">
        <w:t xml:space="preserve">the </w:t>
      </w:r>
      <w:r w:rsidR="00EE3015">
        <w:t>heading angle</w:t>
      </w:r>
      <w:r w:rsidR="00842771">
        <w:t xml:space="preserve"> measure</w:t>
      </w:r>
      <w:r w:rsidR="00EE3015">
        <w:t xml:space="preserve">. </w:t>
      </w:r>
      <w:r w:rsidR="0041384E">
        <w:t>D</w:t>
      </w:r>
      <w:r w:rsidR="00EE3015">
        <w:t xml:space="preserve">ots </w:t>
      </w:r>
      <w:r w:rsidR="00510C52">
        <w:t xml:space="preserve">are </w:t>
      </w:r>
      <w:r w:rsidR="00EE3015">
        <w:t xml:space="preserve">samples along the movement trajectory and the </w:t>
      </w:r>
      <w:r w:rsidR="00E526F1">
        <w:t xml:space="preserve">heading angle is estimated for </w:t>
      </w:r>
      <w:r w:rsidR="00B12586">
        <w:t xml:space="preserve">the </w:t>
      </w:r>
      <w:r w:rsidR="00510C52">
        <w:t>one colored in green</w:t>
      </w:r>
      <w:r w:rsidR="00E526F1">
        <w:t xml:space="preserve">. The grey arrow is the tangent to the </w:t>
      </w:r>
      <w:r w:rsidR="00EE3015">
        <w:t>green dot</w:t>
      </w:r>
      <w:r w:rsidR="00E526F1">
        <w:t>.</w:t>
      </w:r>
      <w:r w:rsidR="00EE3015">
        <w:t xml:space="preserve"> </w:t>
      </w:r>
      <w:r w:rsidR="00510C52">
        <w:t xml:space="preserve">The heading angle is confined between </w:t>
      </w:r>
      <w:r w:rsidR="00703484">
        <w:t xml:space="preserve">the dashed perpendicular </w:t>
      </w:r>
      <w:r w:rsidR="00842771">
        <w:t xml:space="preserve">line </w:t>
      </w:r>
      <w:r w:rsidR="00703484">
        <w:t>and the tangent</w:t>
      </w:r>
      <w:r w:rsidR="00842771">
        <w:t xml:space="preserve"> line</w:t>
      </w:r>
      <w:r w:rsidR="00B12586">
        <w:t>.</w:t>
      </w:r>
      <w:r w:rsidR="00177D67">
        <w:t xml:space="preserve"> </w:t>
      </w:r>
      <w:r w:rsidR="00B12586">
        <w:t>S</w:t>
      </w:r>
      <w:r w:rsidR="00177D67">
        <w:t xml:space="preserve">ince </w:t>
      </w:r>
      <w:r w:rsidR="00B12586">
        <w:t xml:space="preserve">the tangent </w:t>
      </w:r>
      <w:r w:rsidR="00177D67">
        <w:t xml:space="preserve">meets the screen on the side opposite to the final response, </w:t>
      </w:r>
      <w:r w:rsidR="00DA5377">
        <w:t>the heading angle will be negative.</w:t>
      </w:r>
    </w:p>
    <w:p w14:paraId="2449A596" w14:textId="3737878A" w:rsidR="00A431EC" w:rsidRDefault="00A431EC" w:rsidP="00106409">
      <w:pPr>
        <w:pStyle w:val="ListNumber"/>
      </w:pPr>
      <w:r w:rsidRPr="00F56DA3">
        <w:rPr>
          <w:b/>
          <w:bCs/>
        </w:rPr>
        <w:t>Changes of mind (COM):</w:t>
      </w:r>
      <w:r>
        <w:t xml:space="preserve"> </w:t>
      </w:r>
      <w:r w:rsidR="00EC46B1">
        <w:t xml:space="preserve">the </w:t>
      </w:r>
      <w:r>
        <w:t>frequency of goal changes during a movement, defined as the number of changes in implied goal (the side, left/right, where the current tangent to the trajectory meets the screen)</w:t>
      </w:r>
      <w:r w:rsidR="00EC0B9C">
        <w:t xml:space="preserve"> </w:t>
      </w:r>
      <w:r w:rsidR="001D309E">
        <w:t>along a</w:t>
      </w:r>
      <w:r w:rsidR="00EC0B9C">
        <w:t xml:space="preserve"> single trial</w:t>
      </w:r>
      <w:r w:rsidR="001D309E">
        <w:t>'s trajectory</w:t>
      </w:r>
      <w:r>
        <w:t>.</w:t>
      </w:r>
    </w:p>
    <w:p w14:paraId="38624003" w14:textId="7457042C" w:rsidR="00A431EC" w:rsidRDefault="00A431EC" w:rsidP="00106409">
      <w:pPr>
        <w:pStyle w:val="ListNumber"/>
      </w:pPr>
      <w:r w:rsidRPr="00F56DA3">
        <w:rPr>
          <w:b/>
          <w:bCs/>
        </w:rPr>
        <w:t>Total distance traveled:</w:t>
      </w:r>
      <w:r>
        <w:t xml:space="preserve"> </w:t>
      </w:r>
      <w:r w:rsidR="00EC46B1">
        <w:t xml:space="preserve">the </w:t>
      </w:r>
      <w:r>
        <w:t>sum of Euclidean distances between samples along the trajectory of a single trial (</w:t>
      </w:r>
      <w:r>
        <w:fldChar w:fldCharType="begin"/>
      </w:r>
      <w:r>
        <w:instrText xml:space="preserve"> REF _Ref106198576 \h </w:instrText>
      </w:r>
      <w:r>
        <w:fldChar w:fldCharType="separate"/>
      </w:r>
      <w:r w:rsidR="00660FF6">
        <w:t xml:space="preserve">Figure </w:t>
      </w:r>
      <w:r w:rsidR="00660FF6">
        <w:rPr>
          <w:noProof/>
        </w:rPr>
        <w:t>4</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158801" cy="1745694"/>
                    </a:xfrm>
                    <a:prstGeom prst="rect">
                      <a:avLst/>
                    </a:prstGeom>
                  </pic:spPr>
                </pic:pic>
              </a:graphicData>
            </a:graphic>
          </wp:inline>
        </w:drawing>
      </w:r>
    </w:p>
    <w:p w14:paraId="1DD4AAA8" w14:textId="0D6C2783" w:rsidR="00845669" w:rsidRDefault="00A431EC" w:rsidP="00236C96">
      <w:pPr>
        <w:pStyle w:val="Caption"/>
      </w:pPr>
      <w:bookmarkStart w:id="4" w:name="_Ref106198576"/>
      <w:r>
        <w:t xml:space="preserve">Figure </w:t>
      </w:r>
      <w:r w:rsidR="002A41DA">
        <w:fldChar w:fldCharType="begin"/>
      </w:r>
      <w:r w:rsidR="002A41DA">
        <w:instrText xml:space="preserve"> SEQ Figure \* ARABIC </w:instrText>
      </w:r>
      <w:r w:rsidR="002A41DA">
        <w:fldChar w:fldCharType="separate"/>
      </w:r>
      <w:r w:rsidR="00660FF6">
        <w:rPr>
          <w:noProof/>
        </w:rPr>
        <w:t>4</w:t>
      </w:r>
      <w:r w:rsidR="002A41DA">
        <w:rPr>
          <w:noProof/>
        </w:rPr>
        <w:fldChar w:fldCharType="end"/>
      </w:r>
      <w:bookmarkEnd w:id="4"/>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t>Planned Sample</w:t>
      </w:r>
    </w:p>
    <w:p w14:paraId="44360CA8" w14:textId="690992DD" w:rsidR="008F3023" w:rsidRDefault="008F3023" w:rsidP="001128C8">
      <w:pPr>
        <w:pStyle w:val="NoSpacing"/>
      </w:pPr>
      <w:r w:rsidRPr="00306835">
        <w:t xml:space="preserve">All </w:t>
      </w:r>
      <w:r>
        <w:t>participant</w:t>
      </w:r>
      <w:r w:rsidRPr="00306835">
        <w:t xml:space="preserve">s will be right-handed, </w:t>
      </w:r>
      <w:r>
        <w:t xml:space="preserve">native Hebrew speakers who aren't color blind and 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w:t>
      </w:r>
      <w:r w:rsidRPr="00306835">
        <w:lastRenderedPageBreak/>
        <w:t xml:space="preserve">included. Data will be collected at Prof. Liad Mudrik's lab </w:t>
      </w:r>
      <w:r>
        <w:t>for</w:t>
      </w:r>
      <w:r w:rsidRPr="00306835">
        <w:t xml:space="preserve"> high </w:t>
      </w:r>
      <w:r>
        <w:t xml:space="preserve">level </w:t>
      </w:r>
      <w:r w:rsidRPr="00306835">
        <w:t xml:space="preserve">cognition in Tel-Aviv University, from students or other young adults at the ages of 18-35, </w:t>
      </w:r>
      <w:r>
        <w:t>in a 90 minutes session. Participants will be reimbursed with course credit or cash payment.</w:t>
      </w:r>
    </w:p>
    <w:p w14:paraId="2F541FB9" w14:textId="50BEC195" w:rsidR="008F3023" w:rsidRDefault="008F3023" w:rsidP="008F3023">
      <w:pPr>
        <w:pStyle w:val="Heading2"/>
      </w:pPr>
      <w:r>
        <w:t>Sample Size Estimation</w:t>
      </w:r>
    </w:p>
    <w:p w14:paraId="4115577B" w14:textId="59499AB0" w:rsidR="008F3023" w:rsidRDefault="008F3023" w:rsidP="001128C8">
      <w:pPr>
        <w:pStyle w:val="NoSpacing"/>
      </w:pPr>
      <w:r>
        <w:t>The semantic priming effect of the reaching task was estimated in two pilots ran in the lab. The average effect size was 0.88 (Cohen's d</w:t>
      </w:r>
      <w:r>
        <w:rPr>
          <w:vertAlign w:val="subscript"/>
        </w:rPr>
        <w:t>z</w:t>
      </w:r>
      <w:r>
        <w:t>). We estimated the keyboard task's effect size to be around 30% smaller (Cohen's d</w:t>
      </w:r>
      <w:r>
        <w:rPr>
          <w:vertAlign w:val="subscript"/>
        </w:rPr>
        <w:t>z</w:t>
      </w:r>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Dehaene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bookmarkStart w:id="5" w:name="_Ref106707778"/>
      <w:r>
        <w:t>Exclusion Criteria</w:t>
      </w:r>
      <w:bookmarkEnd w:id="5"/>
    </w:p>
    <w:p w14:paraId="3727B12F" w14:textId="3E65C7DA" w:rsidR="00CE3867" w:rsidRPr="004E6D76" w:rsidRDefault="00CE3867" w:rsidP="001128C8">
      <w:pPr>
        <w:pStyle w:val="NoSpacing"/>
      </w:pPr>
      <w:r w:rsidRPr="004E6D76">
        <w:t xml:space="preserve">The following trials will be </w:t>
      </w:r>
      <w:r w:rsidR="00725B9E">
        <w:t xml:space="preserve">considered invalid and thus </w:t>
      </w:r>
      <w:r w:rsidRPr="004E6D76">
        <w:t>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81278AC" w:rsidR="00F06283" w:rsidRDefault="00CE3867" w:rsidP="00A10BB3">
      <w:pPr>
        <w:pStyle w:val="ListNumbertwo"/>
        <w:numPr>
          <w:ilvl w:val="0"/>
          <w:numId w:val="27"/>
        </w:numPr>
      </w:pPr>
      <w:r w:rsidRPr="00A10BB3">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movement onset and offset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7777777" w:rsidR="00A10BB3" w:rsidRDefault="00F06283" w:rsidP="00A10BB3">
      <w:pPr>
        <w:pStyle w:val="ListNumbertwo"/>
        <w:numPr>
          <w:ilvl w:val="0"/>
          <w:numId w:val="0"/>
        </w:numPr>
        <w:ind w:left="1440"/>
      </w:pPr>
      <w:r w:rsidRPr="00406BE0">
        <w:rPr>
          <w:i/>
          <w:iCs/>
        </w:rPr>
        <w:t>Onset variation</w:t>
      </w:r>
      <w:r w:rsidRPr="004E6D76">
        <w:t xml:space="preserve"> </w:t>
      </w:r>
      <w:r>
        <w:t>is a 3cm error margin that compensates for small variations in the location of movement onset.</w:t>
      </w:r>
    </w:p>
    <w:p w14:paraId="6F60FDF8" w14:textId="7A8B6F92" w:rsidR="00CE3867" w:rsidRPr="004E6D76" w:rsidRDefault="00CE3867" w:rsidP="00A10BB3">
      <w:pPr>
        <w:pStyle w:val="ListNumbertwo"/>
      </w:pPr>
      <w:r w:rsidRPr="00A10BB3">
        <w:lastRenderedPageBreak/>
        <w:t>Missed</w:t>
      </w:r>
      <w:r w:rsidRPr="004E6D76">
        <w:t xml:space="preserve"> targets: </w:t>
      </w:r>
      <w:r w:rsidR="00DF1B50">
        <w:t>t</w:t>
      </w:r>
      <w:r w:rsidRPr="004E6D76">
        <w:t xml:space="preserve">ouching point on screen is more than 12cm away from </w:t>
      </w:r>
      <w:r>
        <w:t>either</w:t>
      </w:r>
      <w:r w:rsidRPr="004E6D76">
        <w:t xml:space="preserve"> target.</w:t>
      </w:r>
    </w:p>
    <w:p w14:paraId="3D217784" w14:textId="493CAA18" w:rsidR="00CE3867" w:rsidRPr="004E6D76" w:rsidRDefault="00CE3867" w:rsidP="00EB3F6A">
      <w:pPr>
        <w:pStyle w:val="ListNumbertwo"/>
      </w:pPr>
      <w:r w:rsidRPr="004E6D76">
        <w:t xml:space="preserve">Bad timing: </w:t>
      </w:r>
      <w:r w:rsidR="00DF1B50">
        <w:t>i</w:t>
      </w:r>
      <w:r>
        <w:t xml:space="preserve">n the keyboard task, key </w:t>
      </w:r>
      <w:r w:rsidRPr="004E6D76">
        <w:t xml:space="preserve">press was too early (less than </w:t>
      </w:r>
      <w:r w:rsidR="00214E92">
        <w:t>100</w:t>
      </w:r>
      <w:r w:rsidRPr="004E6D76">
        <w:t xml:space="preserve">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 xml:space="preserve">Slow reaching movements (reaching duration was longer than 420ms) will be included in the analysis if they are within 3 STD from the average reaching time of the </w:t>
      </w:r>
      <w:r>
        <w:t>participant</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2636F2C2" w14:textId="77777777" w:rsidR="00CE3867" w:rsidRDefault="00CE3867" w:rsidP="00713019">
      <w:pPr>
        <w:pStyle w:val="ListNumber"/>
      </w:pPr>
      <w:r>
        <w:t xml:space="preserve">Their target classification accuracy among trials that were completed in time (i.e. not "Too early" or "Too late") was significantly lower than 70% according to a binomial test. </w:t>
      </w:r>
    </w:p>
    <w:p w14:paraId="250BB7AC" w14:textId="77777777" w:rsidR="00CE3867" w:rsidRDefault="00CE3867" w:rsidP="00713019">
      <w:pPr>
        <w:pStyle w:val="ListNumber"/>
      </w:pPr>
      <w:r>
        <w:t>Their priming recognition accuracy among incongruent trials was significantly better than chance (50%) according to a binomial test.</w:t>
      </w:r>
    </w:p>
    <w:p w14:paraId="4D9207FE" w14:textId="52DD72B9" w:rsidR="00CE3867" w:rsidRDefault="0092735A" w:rsidP="00713019">
      <w:pPr>
        <w:pStyle w:val="ListNumber"/>
      </w:pPr>
      <w:r>
        <w:t>Had a r</w:t>
      </w:r>
      <w:r w:rsidR="00CE3867">
        <w:t>each area larger than 0.07m</w:t>
      </w:r>
      <w:r w:rsidR="00CE3867">
        <w:rPr>
          <w:vertAlign w:val="superscript"/>
        </w:rPr>
        <w:t>2</w:t>
      </w:r>
      <w:r w:rsidR="00CE3867">
        <w:t xml:space="preserve"> (</w:t>
      </w:r>
      <w:r w:rsidR="00CE3867">
        <w:fldChar w:fldCharType="begin"/>
      </w:r>
      <w:r w:rsidR="00CE3867">
        <w:instrText xml:space="preserve"> REF _Ref106198602 \h </w:instrText>
      </w:r>
      <w:r w:rsidR="00CE3867">
        <w:fldChar w:fldCharType="separate"/>
      </w:r>
      <w:r w:rsidR="00660FF6">
        <w:t xml:space="preserve">Figure </w:t>
      </w:r>
      <w:r w:rsidR="00660FF6">
        <w:rPr>
          <w:noProof/>
        </w:rPr>
        <w:t>5</w:t>
      </w:r>
      <w:r w:rsidR="00CE3867">
        <w:fldChar w:fldCharType="end"/>
      </w:r>
      <w:r w:rsidR="00CE3867">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lastRenderedPageBreak/>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3"/>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6167739D" w:rsidR="00CE3867" w:rsidRPr="00CE3867" w:rsidRDefault="00CE3867" w:rsidP="00713019">
      <w:pPr>
        <w:pStyle w:val="Caption"/>
      </w:pPr>
      <w:bookmarkStart w:id="6" w:name="_Ref106198602"/>
      <w:r>
        <w:t xml:space="preserve">Figure </w:t>
      </w:r>
      <w:r w:rsidR="002A41DA">
        <w:fldChar w:fldCharType="begin"/>
      </w:r>
      <w:r w:rsidR="002A41DA">
        <w:instrText xml:space="preserve"> SEQ F</w:instrText>
      </w:r>
      <w:r w:rsidR="002A41DA">
        <w:instrText xml:space="preserve">igure \* ARABIC </w:instrText>
      </w:r>
      <w:r w:rsidR="002A41DA">
        <w:fldChar w:fldCharType="separate"/>
      </w:r>
      <w:r w:rsidR="00660FF6">
        <w:rPr>
          <w:noProof/>
        </w:rPr>
        <w:t>5</w:t>
      </w:r>
      <w:r w:rsidR="002A41DA">
        <w:rPr>
          <w:noProof/>
        </w:rPr>
        <w:fldChar w:fldCharType="end"/>
      </w:r>
      <w:bookmarkEnd w:id="6"/>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79249B14" w:rsidR="00424E7A" w:rsidRDefault="00424E7A" w:rsidP="001128C8">
      <w:pPr>
        <w:pStyle w:val="NoSpacing"/>
      </w:pPr>
      <w:r>
        <w:t>The stimulus will be displayed on a VPIXX monitor (</w:t>
      </w:r>
      <w:r w:rsidRPr="006D3D35">
        <w:t>VIEWPixx /3D Lite LCD display and data acquisition system</w:t>
      </w:r>
      <w:r>
        <w:t>, version 3.7.6287) using Matlab R2020b (</w:t>
      </w:r>
      <w:bookmarkStart w:id="7" w:name="_Hlk103504723"/>
      <w:r>
        <w:t>9.9.0.14677003</w:t>
      </w:r>
      <w:bookmarkEnd w:id="7"/>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and Psychtoolbox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rsidR="00660FF6">
        <w:t xml:space="preserve">Figure </w:t>
      </w:r>
      <w:r w:rsidR="00660FF6">
        <w:rPr>
          <w:noProof/>
        </w:rPr>
        <w:t>6</w:t>
      </w:r>
      <w:r>
        <w:fldChar w:fldCharType="end"/>
      </w:r>
      <w:r>
        <w:t xml:space="preserve">). Participants will wear a Velcro ring with a marker at the tip of their index finger. A touch will be registered when the marker is 0.7cm away from the screen or closer. A system of 6 OptiTrack Flex 13 cameras by NaturalPoint, Inc. will </w:t>
      </w:r>
      <w:r>
        <w:lastRenderedPageBreak/>
        <w:t>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NatNet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NatNet SDK</w:t>
      </w:r>
      <w:r w:rsidR="005624F4" w:rsidRPr="005624F4">
        <w:rPr>
          <w:rFonts w:ascii="Times New Roman" w:hAnsi="Times New Roman" w:cs="Times New Roman"/>
        </w:rPr>
        <w:t>, 2021)</w:t>
      </w:r>
      <w:r w:rsidR="005624F4">
        <w:fldChar w:fldCharType="end"/>
      </w:r>
      <w:r>
        <w:t xml:space="preserve"> and recorded with Matlab.</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621216A0" w14:textId="40152F8B" w:rsidR="00424E7A" w:rsidRPr="00424E7A" w:rsidRDefault="00424E7A" w:rsidP="00424E7A">
      <w:pPr>
        <w:pStyle w:val="Caption"/>
      </w:pPr>
      <w:bookmarkStart w:id="8" w:name="_Ref106198654"/>
      <w:r>
        <w:t xml:space="preserve">Figure </w:t>
      </w:r>
      <w:r w:rsidR="002A41DA">
        <w:fldChar w:fldCharType="begin"/>
      </w:r>
      <w:r w:rsidR="002A41DA">
        <w:instrText xml:space="preserve"> SEQ Figure \* ARABIC </w:instrText>
      </w:r>
      <w:r w:rsidR="002A41DA">
        <w:fldChar w:fldCharType="separate"/>
      </w:r>
      <w:r w:rsidR="00660FF6">
        <w:rPr>
          <w:noProof/>
        </w:rPr>
        <w:t>6</w:t>
      </w:r>
      <w:r w:rsidR="002A41DA">
        <w:rPr>
          <w:noProof/>
        </w:rPr>
        <w:fldChar w:fldCharType="end"/>
      </w:r>
      <w:bookmarkEnd w:id="8"/>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t>). Forty words will be used for the practice blocks and the remaining sixty will be used in the test blocks.</w:t>
      </w:r>
    </w:p>
    <w:p w14:paraId="34F0669A" w14:textId="04F3D139" w:rsidR="00C2727A" w:rsidRDefault="00C2727A" w:rsidP="00C2727A">
      <w:pPr>
        <w:pStyle w:val="Heading2"/>
      </w:pPr>
      <w:r>
        <w:lastRenderedPageBreak/>
        <w:t>Procedure</w:t>
      </w:r>
    </w:p>
    <w:p w14:paraId="74EE0CB7" w14:textId="3C903606" w:rsidR="00D56CA2" w:rsidRDefault="00C2727A" w:rsidP="009F6C2B">
      <w:pPr>
        <w:pStyle w:val="NoSpacing"/>
      </w:pPr>
      <w:r>
        <w:t xml:space="preserve">Each participant will perform a </w:t>
      </w:r>
      <w:r w:rsidR="005023EA">
        <w:t>r</w:t>
      </w:r>
      <w:r>
        <w:t xml:space="preserve">eaching session and a </w:t>
      </w:r>
      <w:r w:rsidR="005023EA">
        <w:t>k</w:t>
      </w:r>
      <w:r>
        <w:t>eyboard session, and their order will be counterbalanced across participants.</w:t>
      </w:r>
      <w:r w:rsidR="009F6C2B">
        <w:t xml:space="preserve"> </w:t>
      </w:r>
      <w:r>
        <w:t xml:space="preserve">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w:t>
      </w:r>
      <w:r w:rsidR="005023EA">
        <w:t>r</w:t>
      </w:r>
      <w:r>
        <w:t xml:space="preserve">eaching session and the other to the </w:t>
      </w:r>
      <w:r w:rsidR="005023EA">
        <w:t>k</w:t>
      </w:r>
      <w:r>
        <w:t xml:space="preserve">eyboard session. The practice lists will be similarly </w:t>
      </w:r>
      <w:r w:rsidR="00A06338">
        <w:t xml:space="preserve">sampled </w:t>
      </w:r>
      <w:r>
        <w:t xml:space="preserve">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w:t>
      </w:r>
      <w:r w:rsidR="00A06338">
        <w:t>(e)</w:t>
      </w:r>
      <w:r>
        <w:t xml:space="preserve">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3B805FA8" w:rsidR="00C2727A" w:rsidRDefault="00C2727A" w:rsidP="00426BEB">
      <w:pPr>
        <w:pStyle w:val="NoSpacing"/>
      </w:pPr>
      <w:r>
        <w:t>The procedure closely follows the one used in Dehaene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Every trial will consist of a fixation cross (1000ms), a first mask (270ms), a second mask (30ms), a prime word (30ms), a third 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w:t>
      </w:r>
      <w:r w:rsidRPr="007C1188">
        <w:lastRenderedPageBreak/>
        <w:t>appropriate category</w:t>
      </w:r>
      <w:r>
        <w:t xml:space="preserve"> (</w:t>
      </w:r>
      <w:r>
        <w:fldChar w:fldCharType="begin"/>
      </w:r>
      <w:r>
        <w:instrText xml:space="preserve"> REF _Ref106198697 \h </w:instrText>
      </w:r>
      <w:r>
        <w:fldChar w:fldCharType="separate"/>
      </w:r>
      <w:r w:rsidR="00660FF6">
        <w:t xml:space="preserve">Figure </w:t>
      </w:r>
      <w:r w:rsidR="00660FF6">
        <w:rPr>
          <w:noProof/>
        </w:rPr>
        <w:t>7</w:t>
      </w:r>
      <w:r>
        <w:fldChar w:fldCharType="end"/>
      </w:r>
      <w:r>
        <w:t>)</w:t>
      </w:r>
      <w:r w:rsidRPr="007C1188">
        <w:t xml:space="preserve">. </w:t>
      </w:r>
      <w:r>
        <w:t xml:space="preserve">In the </w:t>
      </w:r>
      <w:r w:rsidR="005023EA">
        <w:t>r</w:t>
      </w:r>
      <w:r>
        <w:t>eaching</w:t>
      </w:r>
      <w:r w:rsidRPr="007C1188">
        <w:t xml:space="preserve"> </w:t>
      </w:r>
      <w:r w:rsidR="00CF36CD">
        <w:t>task</w:t>
      </w:r>
      <w:r>
        <w:t xml:space="preserve"> the participants will touch the appropriate side of the screen. Here, responses are bound to onset time and movement time constraints; </w:t>
      </w:r>
      <w:r w:rsidR="00EE6B27">
        <w:t>o</w:t>
      </w:r>
      <w:r>
        <w:t xml:space="preserve">nset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it is 0.7cm away from the screen or closer (on the Z axis). Movements longer than 420ms will be replied with "Too Slow" feedback once they are completed. In the </w:t>
      </w:r>
      <w:r w:rsidR="005023EA">
        <w:t>k</w:t>
      </w:r>
      <w:r w:rsidRPr="007C1188">
        <w:t xml:space="preserve">eyboard </w:t>
      </w:r>
      <w:r w:rsidR="00CF36CD">
        <w:t>task</w:t>
      </w:r>
      <w:r>
        <w:t xml:space="preserve"> participants will use </w:t>
      </w:r>
      <w:r w:rsidRPr="007C1188">
        <w:t>"</w:t>
      </w:r>
      <w:r>
        <w:t>E</w:t>
      </w:r>
      <w:r w:rsidRPr="007C1188">
        <w:t>"/"</w:t>
      </w:r>
      <w:r>
        <w:t>Y</w:t>
      </w:r>
      <w:r w:rsidRPr="007C1188">
        <w:t>" keys</w:t>
      </w:r>
      <w:r>
        <w:t xml:space="preserve"> to select the left / right side accordingly. Response must be given within a time window of </w:t>
      </w:r>
      <w:r w:rsidR="005B1093">
        <w:t>10</w:t>
      </w:r>
      <w:r>
        <w:t xml:space="preserve">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seconds response window. Finally, a </w:t>
      </w:r>
      <w:r w:rsidR="00A426BA">
        <w:t>s</w:t>
      </w:r>
      <w:r>
        <w:t>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xml:space="preserve">. Participants will use the keyboard numbers 1-4 to rate how well did they see the prime (1 – "Didn't see anything", 2 – "Saw something vaguely, but can't say what it is", 3 – "Saw part of the prime clearly", 4 – "Saw the whole prime clearly"). Finally, in the </w:t>
      </w:r>
      <w:r w:rsidR="000744BB">
        <w:t>r</w:t>
      </w:r>
      <w:r>
        <w:t>eaching session participants will have to return their finger to the starting point after each response.</w:t>
      </w:r>
    </w:p>
    <w:p w14:paraId="68F85B77" w14:textId="315C2E28" w:rsidR="00C2727A" w:rsidRDefault="00AD4D99" w:rsidP="00C2727A">
      <w:pPr>
        <w:pStyle w:val="NoSpacing"/>
        <w:keepNext/>
      </w:pPr>
      <w:r w:rsidRPr="00AD4D99">
        <w:rPr>
          <w:noProof/>
        </w:rPr>
        <w:lastRenderedPageBreak/>
        <w:drawing>
          <wp:inline distT="0" distB="0" distL="0" distR="0" wp14:anchorId="38637AAA" wp14:editId="4C068136">
            <wp:extent cx="5943600" cy="35750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3575050"/>
                    </a:xfrm>
                    <a:prstGeom prst="rect">
                      <a:avLst/>
                    </a:prstGeom>
                  </pic:spPr>
                </pic:pic>
              </a:graphicData>
            </a:graphic>
          </wp:inline>
        </w:drawing>
      </w:r>
    </w:p>
    <w:p w14:paraId="18AE30A8" w14:textId="42920757" w:rsidR="00C2727A" w:rsidRDefault="00C2727A" w:rsidP="00C2727A">
      <w:pPr>
        <w:pStyle w:val="Caption"/>
      </w:pPr>
      <w:bookmarkStart w:id="9" w:name="_Ref106198697"/>
      <w:r>
        <w:t xml:space="preserve">Figure </w:t>
      </w:r>
      <w:r w:rsidR="002A41DA">
        <w:fldChar w:fldCharType="begin"/>
      </w:r>
      <w:r w:rsidR="002A41DA">
        <w:instrText xml:space="preserve"> SEQ Figure \* ARABIC </w:instrText>
      </w:r>
      <w:r w:rsidR="002A41DA">
        <w:fldChar w:fldCharType="separate"/>
      </w:r>
      <w:r w:rsidR="00660FF6">
        <w:rPr>
          <w:noProof/>
        </w:rPr>
        <w:t>7</w:t>
      </w:r>
      <w:r w:rsidR="002A41DA">
        <w:rPr>
          <w:noProof/>
        </w:rPr>
        <w:fldChar w:fldCharType="end"/>
      </w:r>
      <w:bookmarkEnd w:id="9"/>
      <w:r>
        <w:t xml:space="preserve">. Stimuli presentation order. Each trial is composed of a fixation cross (1000ms), a first mask (270ms), a second mask (30ms), a prime word (30ms), a third mask (30ms), a </w:t>
      </w:r>
      <w:r w:rsidR="00555638">
        <w:t xml:space="preserve">classification </w:t>
      </w:r>
      <w:r>
        <w:t>task (100-740ms, out of which the target is displayed for 500ms), a recognition task (100-7000ms) and a PAS task (no time limit). The blue circles appearing on the screen are presented as markers for the subjects to know where they should touch in order to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78AE5729"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inpaint_nans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(D’Errico, 2022)</w:t>
      </w:r>
      <w:r w:rsidR="0086789F">
        <w:fldChar w:fldCharType="end"/>
      </w:r>
      <w:r>
        <w:t xml:space="preserve"> function to fill gaps in the trajectory, </w:t>
      </w:r>
      <w:r w:rsidR="00CC62A0">
        <w:t xml:space="preserve">which </w:t>
      </w:r>
      <w:r>
        <w:t xml:space="preserve">will then be filtered with a </w:t>
      </w:r>
      <w:r w:rsidRPr="002B6CA5">
        <w:t xml:space="preserve">low pass butterworth filter </w:t>
      </w:r>
      <w:r>
        <w:t>(</w:t>
      </w:r>
      <w:r w:rsidRPr="002B6CA5">
        <w:t>2</w:t>
      </w:r>
      <w:r w:rsidRPr="002B6CA5">
        <w:rPr>
          <w:vertAlign w:val="superscript"/>
        </w:rPr>
        <w:t>nd</w:t>
      </w:r>
      <w:r w:rsidRPr="002B6CA5">
        <w:t xml:space="preserve"> order with cutoff at 8Hz</w:t>
      </w:r>
      <w:r>
        <w:t>) to reduce noise. The axis' origin will be set at the first sample of each trial. To locate movement onset, a low pass butterworth filter (2</w:t>
      </w:r>
      <w:r w:rsidRPr="00BD4213">
        <w:rPr>
          <w:vertAlign w:val="superscript"/>
        </w:rPr>
        <w:t>nd</w:t>
      </w:r>
      <w:r>
        <w:t xml:space="preserve"> order with a 10Hz cutoff) will first be applied to the 3D velocity. Onset will be indicated by four consecutive samples having a velocity greater than 20mm/s and a total acceleration of at least 20mm/s^2. Offset will be determined as the point along the trajectory that is closest to the screen. The movements will be normalized to the traveled </w:t>
      </w:r>
      <w:r>
        <w:lastRenderedPageBreak/>
        <w:t>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bookmarkStart w:id="10" w:name="_Ref106804063"/>
      <w:r>
        <w:t>Reach Area Calculation</w:t>
      </w:r>
      <w:r w:rsidR="00C16074">
        <w:t>.</w:t>
      </w:r>
      <w:bookmarkEnd w:id="10"/>
    </w:p>
    <w:p w14:paraId="79103E82" w14:textId="50F84D54"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rsidR="00660FF6">
        <w:t xml:space="preserve">Figure </w:t>
      </w:r>
      <w:r w:rsidR="00660FF6">
        <w:rPr>
          <w:noProof/>
        </w:rPr>
        <w:t>8</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6"/>
                    <a:stretch>
                      <a:fillRect/>
                    </a:stretch>
                  </pic:blipFill>
                  <pic:spPr>
                    <a:xfrm>
                      <a:off x="0" y="0"/>
                      <a:ext cx="5569974" cy="1460946"/>
                    </a:xfrm>
                    <a:prstGeom prst="rect">
                      <a:avLst/>
                    </a:prstGeom>
                  </pic:spPr>
                </pic:pic>
              </a:graphicData>
            </a:graphic>
          </wp:inline>
        </w:drawing>
      </w:r>
    </w:p>
    <w:p w14:paraId="0895E21E" w14:textId="33B328FC" w:rsidR="001A6D2C" w:rsidRDefault="001A6D2C" w:rsidP="001A6D2C">
      <w:pPr>
        <w:pStyle w:val="Caption"/>
      </w:pPr>
      <w:bookmarkStart w:id="11" w:name="_Ref106198720"/>
      <w:r>
        <w:t xml:space="preserve">Figure </w:t>
      </w:r>
      <w:r w:rsidR="002A41DA">
        <w:fldChar w:fldCharType="begin"/>
      </w:r>
      <w:r w:rsidR="002A41DA">
        <w:instrText xml:space="preserve"> SEQ Figure \* ARABIC </w:instrText>
      </w:r>
      <w:r w:rsidR="002A41DA">
        <w:fldChar w:fldCharType="separate"/>
      </w:r>
      <w:r w:rsidR="00660FF6">
        <w:rPr>
          <w:noProof/>
        </w:rPr>
        <w:t>8</w:t>
      </w:r>
      <w:r w:rsidR="002A41DA">
        <w:rPr>
          <w:noProof/>
        </w:rPr>
        <w:fldChar w:fldCharType="end"/>
      </w:r>
      <w:bookmarkEnd w:id="11"/>
      <w:r>
        <w:t xml:space="preserve">. Reach area calculation. The average trajectories of a participant to the right (light red) and left targets (dark red) are produced. Then a line perpendicular to the screen (black) is plotted at the minimal </w:t>
      </w:r>
      <w:r>
        <w:lastRenderedPageBreak/>
        <w:t>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C38491F" w:rsidR="001A6D2C" w:rsidRDefault="001A6D2C" w:rsidP="00282285">
      <w:pPr>
        <w:pStyle w:val="NoSpacing"/>
      </w:pPr>
      <w:r>
        <w:t>A paired t-test will be conducted between the congruent and incongruent conditions for each</w:t>
      </w:r>
      <w:r w:rsidR="001F74BC">
        <w:t xml:space="preserve"> </w:t>
      </w:r>
      <w:r>
        <w:t xml:space="preserve">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rsidR="00660FF6">
        <w:t xml:space="preserve">Figure </w:t>
      </w:r>
      <w:r w:rsidR="00660FF6">
        <w:rPr>
          <w:noProof/>
        </w:rPr>
        <w:t>9</w:t>
      </w:r>
      <w:r>
        <w:fldChar w:fldCharType="end"/>
      </w:r>
      <w:r>
        <w:t>. The "effectsize"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(Ben-Shachar et al., 2020)</w:t>
      </w:r>
      <w:r w:rsidR="009B5C6C">
        <w:fldChar w:fldCharType="end"/>
      </w:r>
      <w:r>
        <w:t xml:space="preserve"> will be used to evaluate Cohen's d</w:t>
      </w:r>
      <w:r>
        <w:rPr>
          <w:vertAlign w:val="subscript"/>
        </w:rPr>
        <w:t>z</w:t>
      </w:r>
      <w:r>
        <w:t xml:space="preserve"> and its confidence intervals</w:t>
      </w:r>
      <w:r w:rsidR="00B16590">
        <w:t xml:space="preserve"> for </w:t>
      </w:r>
      <w:r w:rsidR="00096D37">
        <w:t>each of the DVs</w:t>
      </w:r>
      <w:r>
        <w:t xml:space="preserve">. Non overlapping confidence intervals </w:t>
      </w:r>
      <w:r w:rsidR="00096D37">
        <w:t xml:space="preserve">between the reach area and the keyboards RT measures </w:t>
      </w:r>
      <w:r>
        <w:t>will indicate an advantage for one measure over the other. In the event that a</w:t>
      </w:r>
      <w:r w:rsidR="00E85363">
        <w:t xml:space="preserve">n exploratory </w:t>
      </w:r>
      <w:r>
        <w:t xml:space="preserve">DV </w:t>
      </w:r>
      <w:r w:rsidR="00E85363">
        <w:t xml:space="preserve">of the reaching task </w:t>
      </w:r>
      <w:r>
        <w:t>will produce a larger effect size</w:t>
      </w:r>
      <w:r w:rsidR="001A1B43">
        <w:t xml:space="preserve"> than </w:t>
      </w:r>
      <w:r w:rsidR="00597139">
        <w:t>r</w:t>
      </w:r>
      <w:r w:rsidR="001A1B43">
        <w:t>each area</w:t>
      </w:r>
      <w:r>
        <w:t xml:space="preserve">, it will be used instead of </w:t>
      </w:r>
      <w:r w:rsidR="00597139">
        <w:t>r</w:t>
      </w:r>
      <w:r>
        <w:t>each area.</w:t>
      </w:r>
      <w:r w:rsidR="00282285">
        <w:t xml:space="preserve"> </w:t>
      </w:r>
      <w:r>
        <w:t>The normality of the difference score of each DV will be examined with a qq-plot; in case of a violation, we will use a t-test with permutation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1BD4024" w:rsidR="006F0D1E" w:rsidRDefault="00AB0CE4" w:rsidP="006F0D1E">
      <w:pPr>
        <w:pStyle w:val="NoSpacing"/>
        <w:keepNext/>
      </w:pPr>
      <w:r w:rsidRPr="00AB0CE4">
        <w:rPr>
          <w:noProof/>
        </w:rPr>
        <w:lastRenderedPageBreak/>
        <w:drawing>
          <wp:inline distT="0" distB="0" distL="0" distR="0" wp14:anchorId="045294CD" wp14:editId="7B882DEA">
            <wp:extent cx="5911215" cy="358967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7"/>
                    <a:srcRect t="1031" r="543"/>
                    <a:stretch/>
                  </pic:blipFill>
                  <pic:spPr bwMode="auto">
                    <a:xfrm>
                      <a:off x="0" y="0"/>
                      <a:ext cx="5911307" cy="3589728"/>
                    </a:xfrm>
                    <a:prstGeom prst="rect">
                      <a:avLst/>
                    </a:prstGeom>
                    <a:ln>
                      <a:noFill/>
                    </a:ln>
                    <a:extLst>
                      <a:ext uri="{53640926-AAD7-44D8-BBD7-CCE9431645EC}">
                        <a14:shadowObscured xmlns:a14="http://schemas.microsoft.com/office/drawing/2010/main"/>
                      </a:ext>
                    </a:extLst>
                  </pic:spPr>
                </pic:pic>
              </a:graphicData>
            </a:graphic>
          </wp:inline>
        </w:drawing>
      </w:r>
    </w:p>
    <w:p w14:paraId="07E87D25" w14:textId="706DB7BB" w:rsidR="006F0D1E" w:rsidRDefault="006F0D1E" w:rsidP="006F0D1E">
      <w:pPr>
        <w:pStyle w:val="Caption"/>
      </w:pPr>
      <w:bookmarkStart w:id="12" w:name="_Ref106198744"/>
      <w:r>
        <w:t xml:space="preserve">Figure </w:t>
      </w:r>
      <w:r w:rsidR="002A41DA">
        <w:fldChar w:fldCharType="begin"/>
      </w:r>
      <w:r w:rsidR="002A41DA">
        <w:instrText xml:space="preserve"> SEQ Figure \* ARABIC </w:instrText>
      </w:r>
      <w:r w:rsidR="002A41DA">
        <w:fldChar w:fldCharType="separate"/>
      </w:r>
      <w:r w:rsidR="00660FF6">
        <w:rPr>
          <w:noProof/>
        </w:rPr>
        <w:t>9</w:t>
      </w:r>
      <w:r w:rsidR="002A41DA">
        <w:rPr>
          <w:noProof/>
        </w:rPr>
        <w:fldChar w:fldCharType="end"/>
      </w:r>
      <w:bookmarkEnd w:id="12"/>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r w:rsidR="00FA68AD">
        <w:t>.</w:t>
      </w:r>
    </w:p>
    <w:p w14:paraId="44F92697" w14:textId="3BFF2AEC" w:rsidR="001A6D2C" w:rsidRDefault="001A6D2C" w:rsidP="001A6D2C">
      <w:pPr>
        <w:pStyle w:val="Heading2"/>
      </w:pPr>
      <w:r>
        <w:t>Expected Results</w:t>
      </w:r>
    </w:p>
    <w:p w14:paraId="5FD5EC62" w14:textId="2F725C7C" w:rsidR="001A6D2C" w:rsidRDefault="001A6D2C" w:rsidP="007D05C9">
      <w:pPr>
        <w:pStyle w:val="NoSpacing"/>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time 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2066EB2D" w:rsidR="002050FE" w:rsidRDefault="003373E1" w:rsidP="002050FE">
      <w:pPr>
        <w:pStyle w:val="NoSpacing"/>
      </w:pPr>
      <w:r>
        <w:t>Data collection started on the 12</w:t>
      </w:r>
      <w:r w:rsidRPr="003373E1">
        <w:rPr>
          <w:vertAlign w:val="superscript"/>
        </w:rPr>
        <w:t>th</w:t>
      </w:r>
      <w:r>
        <w:t xml:space="preserve"> of May 2022 and will end on the 30</w:t>
      </w:r>
      <w:r w:rsidRPr="003373E1">
        <w:rPr>
          <w:vertAlign w:val="superscript"/>
        </w:rPr>
        <w:t>th</w:t>
      </w:r>
      <w:r>
        <w:t xml:space="preserve"> of October 2022.</w:t>
      </w:r>
    </w:p>
    <w:p w14:paraId="2758D399" w14:textId="5DEEE5B0" w:rsidR="0067243A" w:rsidRDefault="00B0647D" w:rsidP="002050FE">
      <w:pPr>
        <w:pStyle w:val="NoSpacing"/>
      </w:pPr>
      <w:r>
        <w:t>Up to this point in time</w:t>
      </w:r>
      <w:r w:rsidR="007B3757">
        <w:t xml:space="preserve">, </w:t>
      </w:r>
      <w:r>
        <w:t>26</w:t>
      </w:r>
      <w:r w:rsidRPr="00B0647D">
        <w:rPr>
          <w:vertAlign w:val="superscript"/>
        </w:rPr>
        <w:t>th</w:t>
      </w:r>
      <w:r>
        <w:t xml:space="preserve"> of June 2022</w:t>
      </w:r>
      <w:r w:rsidR="007B3757">
        <w:t>,</w:t>
      </w:r>
      <w:r>
        <w:t xml:space="preserve"> </w:t>
      </w:r>
      <w:r w:rsidR="0067243A">
        <w:t>data was collected from 2 participants.</w:t>
      </w:r>
    </w:p>
    <w:p w14:paraId="19B2F90A" w14:textId="25765849" w:rsidR="002050FE" w:rsidRDefault="00603522" w:rsidP="00603522">
      <w:pPr>
        <w:pStyle w:val="SectionTitle"/>
      </w:pPr>
      <w:r>
        <w:lastRenderedPageBreak/>
        <w:t>References</w:t>
      </w:r>
    </w:p>
    <w:p w14:paraId="19809455" w14:textId="77777777" w:rsidR="00A12689" w:rsidRPr="00A12689" w:rsidRDefault="00603522" w:rsidP="00A12689">
      <w:pPr>
        <w:pStyle w:val="Bibliography"/>
        <w:rPr>
          <w:rFonts w:ascii="Times New Roman" w:hAnsi="Times New Roman" w:cs="Times New Roman"/>
        </w:rPr>
      </w:pPr>
      <w:r>
        <w:fldChar w:fldCharType="begin"/>
      </w:r>
      <w:r w:rsidR="00A12689">
        <w:instrText xml:space="preserve"> ADDIN ZOTERO_BIBL {"uncited":[],"omitted":[],"custom":[]} CSL_BIBLIOGRAPHY </w:instrText>
      </w:r>
      <w:r>
        <w:fldChar w:fldCharType="separate"/>
      </w:r>
      <w:r w:rsidR="00A12689" w:rsidRPr="00A12689">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00A12689" w:rsidRPr="00A12689">
        <w:rPr>
          <w:rFonts w:ascii="Times New Roman" w:hAnsi="Times New Roman" w:cs="Times New Roman"/>
          <w:i/>
          <w:iCs/>
        </w:rPr>
        <w:t>Cognitive, Affective, &amp; Behavioral Neuroscience</w:t>
      </w:r>
      <w:r w:rsidR="00A12689" w:rsidRPr="00A12689">
        <w:rPr>
          <w:rFonts w:ascii="Times New Roman" w:hAnsi="Times New Roman" w:cs="Times New Roman"/>
        </w:rPr>
        <w:t xml:space="preserve">, </w:t>
      </w:r>
      <w:r w:rsidR="00A12689" w:rsidRPr="00A12689">
        <w:rPr>
          <w:rFonts w:ascii="Times New Roman" w:hAnsi="Times New Roman" w:cs="Times New Roman"/>
          <w:i/>
          <w:iCs/>
        </w:rPr>
        <w:t>14</w:t>
      </w:r>
      <w:r w:rsidR="00A12689" w:rsidRPr="00A12689">
        <w:rPr>
          <w:rFonts w:ascii="Times New Roman" w:hAnsi="Times New Roman" w:cs="Times New Roman"/>
        </w:rPr>
        <w:t>(1), 319–335. https://doi.org/10.3758/s13415-013-0208-0</w:t>
      </w:r>
    </w:p>
    <w:p w14:paraId="74C745B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Avneon, M. (2018). Reexamining unconscious response priming_ A liminal-prime paradigm. </w:t>
      </w:r>
      <w:r w:rsidRPr="00A12689">
        <w:rPr>
          <w:rFonts w:ascii="Times New Roman" w:hAnsi="Times New Roman" w:cs="Times New Roman"/>
          <w:i/>
          <w:iCs/>
        </w:rPr>
        <w:t>Consciousness and Cognition</w:t>
      </w:r>
      <w:r w:rsidRPr="00A12689">
        <w:rPr>
          <w:rFonts w:ascii="Times New Roman" w:hAnsi="Times New Roman" w:cs="Times New Roman"/>
        </w:rPr>
        <w:t>, 17.</w:t>
      </w:r>
    </w:p>
    <w:p w14:paraId="1BCB3AB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Ben-Shachar, M., Lüdecke, D., &amp; Makowski, D. (2020). effectsize: Estimation of Effect Size Indices and Standardized Parameters. </w:t>
      </w:r>
      <w:r w:rsidRPr="00A12689">
        <w:rPr>
          <w:rFonts w:ascii="Times New Roman" w:hAnsi="Times New Roman" w:cs="Times New Roman"/>
          <w:i/>
          <w:iCs/>
        </w:rPr>
        <w:t>Journal of Open Source Software</w:t>
      </w:r>
      <w:r w:rsidRPr="00A12689">
        <w:rPr>
          <w:rFonts w:ascii="Times New Roman" w:hAnsi="Times New Roman" w:cs="Times New Roman"/>
        </w:rPr>
        <w:t xml:space="preserve">, </w:t>
      </w:r>
      <w:r w:rsidRPr="00A12689">
        <w:rPr>
          <w:rFonts w:ascii="Times New Roman" w:hAnsi="Times New Roman" w:cs="Times New Roman"/>
          <w:i/>
          <w:iCs/>
        </w:rPr>
        <w:t>5</w:t>
      </w:r>
      <w:r w:rsidRPr="00A12689">
        <w:rPr>
          <w:rFonts w:ascii="Times New Roman" w:hAnsi="Times New Roman" w:cs="Times New Roman"/>
        </w:rPr>
        <w:t>(56), 2815. https://doi.org/10.21105/joss.02815</w:t>
      </w:r>
    </w:p>
    <w:p w14:paraId="5E98CE1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Bogomolov, M., Peterson, C. B., Benjamini, Y., &amp; Sabatti, C. (2021). Hypotheses on a tree: New error rates and testing strategies. </w:t>
      </w:r>
      <w:r w:rsidRPr="00A12689">
        <w:rPr>
          <w:rFonts w:ascii="Times New Roman" w:hAnsi="Times New Roman" w:cs="Times New Roman"/>
          <w:i/>
          <w:iCs/>
        </w:rPr>
        <w:t>Biometrika</w:t>
      </w:r>
      <w:r w:rsidRPr="00A12689">
        <w:rPr>
          <w:rFonts w:ascii="Times New Roman" w:hAnsi="Times New Roman" w:cs="Times New Roman"/>
        </w:rPr>
        <w:t xml:space="preserve">, </w:t>
      </w:r>
      <w:r w:rsidRPr="00A12689">
        <w:rPr>
          <w:rFonts w:ascii="Times New Roman" w:hAnsi="Times New Roman" w:cs="Times New Roman"/>
          <w:i/>
          <w:iCs/>
        </w:rPr>
        <w:t>108</w:t>
      </w:r>
      <w:r w:rsidRPr="00A12689">
        <w:rPr>
          <w:rFonts w:ascii="Times New Roman" w:hAnsi="Times New Roman" w:cs="Times New Roman"/>
        </w:rPr>
        <w:t>(3), 575–590. https://doi.org/10.1093/biomet/asaa086</w:t>
      </w:r>
    </w:p>
    <w:p w14:paraId="2727C82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Brainard, D. H. (1997). The Psychophysics Toolbox. </w:t>
      </w:r>
      <w:r w:rsidRPr="00A12689">
        <w:rPr>
          <w:rFonts w:ascii="Times New Roman" w:hAnsi="Times New Roman" w:cs="Times New Roman"/>
          <w:i/>
          <w:iCs/>
        </w:rPr>
        <w:t>Spatial Vision</w:t>
      </w:r>
      <w:r w:rsidRPr="00A12689">
        <w:rPr>
          <w:rFonts w:ascii="Times New Roman" w:hAnsi="Times New Roman" w:cs="Times New Roman"/>
        </w:rPr>
        <w:t xml:space="preserve">, </w:t>
      </w:r>
      <w:r w:rsidRPr="00A12689">
        <w:rPr>
          <w:rFonts w:ascii="Times New Roman" w:hAnsi="Times New Roman" w:cs="Times New Roman"/>
          <w:i/>
          <w:iCs/>
        </w:rPr>
        <w:t>10</w:t>
      </w:r>
      <w:r w:rsidRPr="00A12689">
        <w:rPr>
          <w:rFonts w:ascii="Times New Roman" w:hAnsi="Times New Roman" w:cs="Times New Roman"/>
        </w:rPr>
        <w:t>(4), 433–436. https://doi.org/10.1163/156856897X00357</w:t>
      </w:r>
    </w:p>
    <w:p w14:paraId="3C36AB6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Burk, D., Ingram, J. N., Franklin, D. W., Shadlen, M. N., &amp; Wolpert, D. M. (2014). Motor Effort Alters Changes of Mind in Sensorimotor Decision Making.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9</w:t>
      </w:r>
      <w:r w:rsidRPr="00A12689">
        <w:rPr>
          <w:rFonts w:ascii="Times New Roman" w:hAnsi="Times New Roman" w:cs="Times New Roman"/>
        </w:rPr>
        <w:t>(3), e92681. https://doi.org/10.1371/journal.pone.0092681</w:t>
      </w:r>
    </w:p>
    <w:p w14:paraId="185983F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Cressman, E. K., Franks, I. M., Enns, J. T., &amp; Chua, R. (2007). On-line control of pointing is modiﬁed by unseen visual shapes. </w:t>
      </w:r>
      <w:r w:rsidRPr="00A12689">
        <w:rPr>
          <w:rFonts w:ascii="Times New Roman" w:hAnsi="Times New Roman" w:cs="Times New Roman"/>
          <w:i/>
          <w:iCs/>
        </w:rPr>
        <w:t>Consciousness and Cognition</w:t>
      </w:r>
      <w:r w:rsidRPr="00A12689">
        <w:rPr>
          <w:rFonts w:ascii="Times New Roman" w:hAnsi="Times New Roman" w:cs="Times New Roman"/>
        </w:rPr>
        <w:t>, 11.</w:t>
      </w:r>
    </w:p>
    <w:p w14:paraId="3D27E7B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Dehaene, S., Naccache, L., Cohen, L., Bihan, D. L., Mangin, J.-F., Poline, J.-B., &amp; Rivière, D. (2001). Cerebral mechanisms of word masking and unconscious repetition priming. </w:t>
      </w:r>
      <w:r w:rsidRPr="00A12689">
        <w:rPr>
          <w:rFonts w:ascii="Times New Roman" w:hAnsi="Times New Roman" w:cs="Times New Roman"/>
          <w:i/>
          <w:iCs/>
        </w:rPr>
        <w:t>Nature Neuroscience</w:t>
      </w:r>
      <w:r w:rsidRPr="00A12689">
        <w:rPr>
          <w:rFonts w:ascii="Times New Roman" w:hAnsi="Times New Roman" w:cs="Times New Roman"/>
        </w:rPr>
        <w:t xml:space="preserve">, </w:t>
      </w:r>
      <w:r w:rsidRPr="00A12689">
        <w:rPr>
          <w:rFonts w:ascii="Times New Roman" w:hAnsi="Times New Roman" w:cs="Times New Roman"/>
          <w:i/>
          <w:iCs/>
        </w:rPr>
        <w:t>4</w:t>
      </w:r>
      <w:r w:rsidRPr="00A12689">
        <w:rPr>
          <w:rFonts w:ascii="Times New Roman" w:hAnsi="Times New Roman" w:cs="Times New Roman"/>
        </w:rPr>
        <w:t>(7), 752–758. https://doi.org/10.1038/89551</w:t>
      </w:r>
    </w:p>
    <w:p w14:paraId="3EF0C9D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D’Errico, J. (2022). </w:t>
      </w:r>
      <w:r w:rsidRPr="00A12689">
        <w:rPr>
          <w:rFonts w:ascii="Times New Roman" w:hAnsi="Times New Roman" w:cs="Times New Roman"/>
          <w:i/>
          <w:iCs/>
        </w:rPr>
        <w:t>Inpaint_nans</w:t>
      </w:r>
      <w:r w:rsidRPr="00A12689">
        <w:rPr>
          <w:rFonts w:ascii="Times New Roman" w:hAnsi="Times New Roman" w:cs="Times New Roman"/>
        </w:rPr>
        <w:t>. MATLAB Central File Exchange. https://www.mathworks.com/matlabcentral/fileexchange/4551-inpaint_nans</w:t>
      </w:r>
    </w:p>
    <w:p w14:paraId="367C3B1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Eriksen, C. W. (1960). Discrimination and learning without awareness: A methodological survey and evaluation. </w:t>
      </w:r>
      <w:r w:rsidRPr="00A12689">
        <w:rPr>
          <w:rFonts w:ascii="Times New Roman" w:hAnsi="Times New Roman" w:cs="Times New Roman"/>
          <w:i/>
          <w:iCs/>
        </w:rPr>
        <w:t>Psychological Review</w:t>
      </w:r>
      <w:r w:rsidRPr="00A12689">
        <w:rPr>
          <w:rFonts w:ascii="Times New Roman" w:hAnsi="Times New Roman" w:cs="Times New Roman"/>
        </w:rPr>
        <w:t xml:space="preserve">, </w:t>
      </w:r>
      <w:r w:rsidRPr="00A12689">
        <w:rPr>
          <w:rFonts w:ascii="Times New Roman" w:hAnsi="Times New Roman" w:cs="Times New Roman"/>
          <w:i/>
          <w:iCs/>
        </w:rPr>
        <w:t>67</w:t>
      </w:r>
      <w:r w:rsidRPr="00A12689">
        <w:rPr>
          <w:rFonts w:ascii="Times New Roman" w:hAnsi="Times New Roman" w:cs="Times New Roman"/>
        </w:rPr>
        <w:t>(5), 279–300. https://doi.org/10.1037/h0041622</w:t>
      </w:r>
    </w:p>
    <w:p w14:paraId="56F2954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Buchner, A., &amp; Lang, A.-G. (2009). Statistical power analyses using G*Power 3.1: Tests for correlation and regression analyses.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41</w:t>
      </w:r>
      <w:r w:rsidRPr="00A12689">
        <w:rPr>
          <w:rFonts w:ascii="Times New Roman" w:hAnsi="Times New Roman" w:cs="Times New Roman"/>
        </w:rPr>
        <w:t>(4), 1149–1160. https://doi.org/10.3758/BRM.41.4.1149</w:t>
      </w:r>
    </w:p>
    <w:p w14:paraId="33549A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Lang, A.-G., &amp; Buchner, A. (2007). G*Power 3: A flexible statistical power analysis program for the social, behavioral, and biomedical sciences.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39</w:t>
      </w:r>
      <w:r w:rsidRPr="00A12689">
        <w:rPr>
          <w:rFonts w:ascii="Times New Roman" w:hAnsi="Times New Roman" w:cs="Times New Roman"/>
        </w:rPr>
        <w:t>(2), 175–191. https://doi.org/10.3758/BF03193146</w:t>
      </w:r>
    </w:p>
    <w:p w14:paraId="4FABC00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&amp; Friedman, J. (2011). The Flexibility of Nonconsciously Deployed Cognitive Processes: Evidence from Masked Congruence Priming.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(2), e17095. https://doi.org/10.1371/journal.pone.0017095</w:t>
      </w:r>
    </w:p>
    <w:p w14:paraId="0AF3E82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Song, J.-H., Nakayama, K., &amp; Caramazza, A. (2008). Engaging the motor system with masked orthographic primes: A kinematic analysis. </w:t>
      </w:r>
      <w:r w:rsidRPr="00A12689">
        <w:rPr>
          <w:rFonts w:ascii="Times New Roman" w:hAnsi="Times New Roman" w:cs="Times New Roman"/>
          <w:i/>
          <w:iCs/>
        </w:rPr>
        <w:t>Visual Cognition</w:t>
      </w:r>
      <w:r w:rsidRPr="00A12689">
        <w:rPr>
          <w:rFonts w:ascii="Times New Roman" w:hAnsi="Times New Roman" w:cs="Times New Roman"/>
        </w:rPr>
        <w:t xml:space="preserve">, </w:t>
      </w:r>
      <w:r w:rsidRPr="00A12689">
        <w:rPr>
          <w:rFonts w:ascii="Times New Roman" w:hAnsi="Times New Roman" w:cs="Times New Roman"/>
          <w:i/>
          <w:iCs/>
        </w:rPr>
        <w:t>16</w:t>
      </w:r>
      <w:r w:rsidRPr="00A12689">
        <w:rPr>
          <w:rFonts w:ascii="Times New Roman" w:hAnsi="Times New Roman" w:cs="Times New Roman"/>
        </w:rPr>
        <w:t>(1), 11–22. https://doi.org/10.1080/13506280701203838</w:t>
      </w:r>
    </w:p>
    <w:p w14:paraId="4A1CE3F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Freeman, J. B., Dale, R., &amp; Farmer, T. A. (2011). Hand in Motion Reveals Mind in Motion.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2</w:t>
      </w:r>
      <w:r w:rsidRPr="00A12689">
        <w:rPr>
          <w:rFonts w:ascii="Times New Roman" w:hAnsi="Times New Roman" w:cs="Times New Roman"/>
        </w:rPr>
        <w:t>. https://doi.org/10.3389/fpsyg.2011.00059</w:t>
      </w:r>
    </w:p>
    <w:p w14:paraId="5161B05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Friedman, J., &amp; Finkbeiner, M. (2010). Temporal dynamics of masked congruence priming: Evidence from reaching trajectories. </w:t>
      </w:r>
      <w:r w:rsidRPr="00A12689">
        <w:rPr>
          <w:rFonts w:ascii="Times New Roman" w:hAnsi="Times New Roman" w:cs="Times New Roman"/>
          <w:i/>
          <w:iCs/>
        </w:rPr>
        <w:t>Proceedings of the 9th Conference of the Australasian Society for Cognitive Science</w:t>
      </w:r>
      <w:r w:rsidRPr="00A12689">
        <w:rPr>
          <w:rFonts w:ascii="Times New Roman" w:hAnsi="Times New Roman" w:cs="Times New Roman"/>
        </w:rPr>
        <w:t>, 98–105. https://doi.org/10.5096/ASCS200916</w:t>
      </w:r>
    </w:p>
    <w:p w14:paraId="2BB6523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Frost, R., &amp; Plaut, D. (2005). </w:t>
      </w:r>
      <w:r w:rsidRPr="00A12689">
        <w:rPr>
          <w:rFonts w:ascii="Times New Roman" w:hAnsi="Times New Roman" w:cs="Times New Roman"/>
          <w:i/>
          <w:iCs/>
        </w:rPr>
        <w:t>The word-frequency database for printed Hebrew</w:t>
      </w:r>
      <w:r w:rsidRPr="00A12689">
        <w:rPr>
          <w:rFonts w:ascii="Times New Roman" w:hAnsi="Times New Roman" w:cs="Times New Roman"/>
        </w:rPr>
        <w:t>. http://word-freq.huji.ac.il/index.html</w:t>
      </w:r>
    </w:p>
    <w:p w14:paraId="0C7C0D2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12689">
        <w:rPr>
          <w:rFonts w:ascii="Times New Roman" w:hAnsi="Times New Roman" w:cs="Times New Roman"/>
          <w:i/>
          <w:iCs/>
        </w:rPr>
        <w:t>Frontiers in Neuroscience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https://doi.org/10.3389/fnins.2014.00215</w:t>
      </w:r>
    </w:p>
    <w:p w14:paraId="0E1235F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Goldstein, A., &amp; Hassin, R. R. (2017). Commentary: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1230. https://doi.org/10.3389/fpsyg.2017.01230</w:t>
      </w:r>
    </w:p>
    <w:p w14:paraId="6BADFF0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Greenwald, A. G., Draine, S. C., &amp; Abrams, R. L. (1996). Three Cognitive Markers of Unconscious Semantic Activation. </w:t>
      </w:r>
      <w:r w:rsidRPr="00A12689">
        <w:rPr>
          <w:rFonts w:ascii="Times New Roman" w:hAnsi="Times New Roman" w:cs="Times New Roman"/>
          <w:i/>
          <w:iCs/>
        </w:rPr>
        <w:t>Science</w:t>
      </w:r>
      <w:r w:rsidRPr="00A12689">
        <w:rPr>
          <w:rFonts w:ascii="Times New Roman" w:hAnsi="Times New Roman" w:cs="Times New Roman"/>
        </w:rPr>
        <w:t xml:space="preserve">, </w:t>
      </w:r>
      <w:r w:rsidRPr="00A12689">
        <w:rPr>
          <w:rFonts w:ascii="Times New Roman" w:hAnsi="Times New Roman" w:cs="Times New Roman"/>
          <w:i/>
          <w:iCs/>
        </w:rPr>
        <w:t>273</w:t>
      </w:r>
      <w:r w:rsidRPr="00A12689">
        <w:rPr>
          <w:rFonts w:ascii="Times New Roman" w:hAnsi="Times New Roman" w:cs="Times New Roman"/>
        </w:rPr>
        <w:t>(5282), 1699–1702. https://doi.org/10.1126/science.273.5282.1699</w:t>
      </w:r>
    </w:p>
    <w:p w14:paraId="0D1E954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Hassin, R. R. (2013). Yes It Can: On the Functional Abilities of the Human Unconscious. </w:t>
      </w:r>
      <w:r w:rsidRPr="00A12689">
        <w:rPr>
          <w:rFonts w:ascii="Times New Roman" w:hAnsi="Times New Roman" w:cs="Times New Roman"/>
          <w:i/>
          <w:iCs/>
        </w:rPr>
        <w:t>Perspectives on Psychological 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(2), 195–207. https://doi.org/10.1177/1745691612460684</w:t>
      </w:r>
    </w:p>
    <w:p w14:paraId="6950981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Hesselmann, G., &amp; Moors, P. (2015).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 https://doi.org/10.3389/fpsyg.2015.00584</w:t>
      </w:r>
    </w:p>
    <w:p w14:paraId="53E743A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Kouider, S., &amp; Dehaene, S. (2007). Levels of processing during non-conscious perception: A critical review of visual masking. </w:t>
      </w:r>
      <w:r w:rsidRPr="00A12689">
        <w:rPr>
          <w:rFonts w:ascii="Times New Roman" w:hAnsi="Times New Roman" w:cs="Times New Roman"/>
          <w:i/>
          <w:iCs/>
        </w:rPr>
        <w:t>Philosophical Transactions of the Royal Society B: Biological Sciences</w:t>
      </w:r>
      <w:r w:rsidRPr="00A12689">
        <w:rPr>
          <w:rFonts w:ascii="Times New Roman" w:hAnsi="Times New Roman" w:cs="Times New Roman"/>
        </w:rPr>
        <w:t xml:space="preserve">, </w:t>
      </w:r>
      <w:r w:rsidRPr="00A12689">
        <w:rPr>
          <w:rFonts w:ascii="Times New Roman" w:hAnsi="Times New Roman" w:cs="Times New Roman"/>
          <w:i/>
          <w:iCs/>
        </w:rPr>
        <w:t>362</w:t>
      </w:r>
      <w:r w:rsidRPr="00A12689">
        <w:rPr>
          <w:rFonts w:ascii="Times New Roman" w:hAnsi="Times New Roman" w:cs="Times New Roman"/>
        </w:rPr>
        <w:t>(1481), 857–875. https://doi.org/10.1098/rstb.2007.2093</w:t>
      </w:r>
    </w:p>
    <w:p w14:paraId="6A1C53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Mair, P., &amp; Wilcox, R. (2020). Robust statistical methods in R using the WRS2 package.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52</w:t>
      </w:r>
      <w:r w:rsidRPr="00A12689">
        <w:rPr>
          <w:rFonts w:ascii="Times New Roman" w:hAnsi="Times New Roman" w:cs="Times New Roman"/>
        </w:rPr>
        <w:t>(2), 464–488. https://doi.org/10.3758/s13428-019-01246-w</w:t>
      </w:r>
    </w:p>
    <w:p w14:paraId="5BB01E4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MATLAB</w:t>
      </w:r>
      <w:r w:rsidRPr="00A12689">
        <w:rPr>
          <w:rFonts w:ascii="Times New Roman" w:hAnsi="Times New Roman" w:cs="Times New Roman"/>
        </w:rPr>
        <w:t xml:space="preserve"> (9.9.0.14677003 (R2020b)). (2020). [Computer software]. The MathWorks Inc.</w:t>
      </w:r>
    </w:p>
    <w:p w14:paraId="0E86220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Moher, J., &amp; Song, J.-H. (2014). Perceptual decision processes flexibly adapt to avoid change-of-mind motor costs. </w:t>
      </w:r>
      <w:r w:rsidRPr="00A12689">
        <w:rPr>
          <w:rFonts w:ascii="Times New Roman" w:hAnsi="Times New Roman" w:cs="Times New Roman"/>
          <w:i/>
          <w:iCs/>
        </w:rPr>
        <w:t>Journal of Vision</w:t>
      </w:r>
      <w:r w:rsidRPr="00A12689">
        <w:rPr>
          <w:rFonts w:ascii="Times New Roman" w:hAnsi="Times New Roman" w:cs="Times New Roman"/>
        </w:rPr>
        <w:t xml:space="preserve">, </w:t>
      </w:r>
      <w:r w:rsidRPr="00A12689">
        <w:rPr>
          <w:rFonts w:ascii="Times New Roman" w:hAnsi="Times New Roman" w:cs="Times New Roman"/>
          <w:i/>
          <w:iCs/>
        </w:rPr>
        <w:t>14</w:t>
      </w:r>
      <w:r w:rsidRPr="00A12689">
        <w:rPr>
          <w:rFonts w:ascii="Times New Roman" w:hAnsi="Times New Roman" w:cs="Times New Roman"/>
        </w:rPr>
        <w:t>(8), 1–1. https://doi.org/10.1167/14.8.1</w:t>
      </w:r>
    </w:p>
    <w:p w14:paraId="4AD300D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lastRenderedPageBreak/>
        <w:t>Motive</w:t>
      </w:r>
      <w:r w:rsidRPr="00A12689">
        <w:rPr>
          <w:rFonts w:ascii="Times New Roman" w:hAnsi="Times New Roman" w:cs="Times New Roman"/>
        </w:rPr>
        <w:t xml:space="preserve"> (2.3.0). (2021). [Computer software]. NaturalPoint, Inc. https://optitrack.com/software/motive/</w:t>
      </w:r>
    </w:p>
    <w:p w14:paraId="1BD308D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NatNet SDK</w:t>
      </w:r>
      <w:r w:rsidRPr="00A12689">
        <w:rPr>
          <w:rFonts w:ascii="Times New Roman" w:hAnsi="Times New Roman" w:cs="Times New Roman"/>
        </w:rPr>
        <w:t xml:space="preserve"> (4.0.0). (2021). [Computer software]. NaturalPoint, Inc. https://optitrack.com/software/motive/</w:t>
      </w:r>
    </w:p>
    <w:p w14:paraId="0A074C2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Newell, B. R., &amp; Shanks, D. R. (2014). Unconscious influences on decision making: A critical review. </w:t>
      </w:r>
      <w:r w:rsidRPr="00A12689">
        <w:rPr>
          <w:rFonts w:ascii="Times New Roman" w:hAnsi="Times New Roman" w:cs="Times New Roman"/>
          <w:i/>
          <w:iCs/>
        </w:rPr>
        <w:t>Behavioral and Brain Sciences</w:t>
      </w:r>
      <w:r w:rsidRPr="00A12689">
        <w:rPr>
          <w:rFonts w:ascii="Times New Roman" w:hAnsi="Times New Roman" w:cs="Times New Roman"/>
        </w:rPr>
        <w:t xml:space="preserve">, </w:t>
      </w:r>
      <w:r w:rsidRPr="00A12689">
        <w:rPr>
          <w:rFonts w:ascii="Times New Roman" w:hAnsi="Times New Roman" w:cs="Times New Roman"/>
          <w:i/>
          <w:iCs/>
        </w:rPr>
        <w:t>37</w:t>
      </w:r>
      <w:r w:rsidRPr="00A12689">
        <w:rPr>
          <w:rFonts w:ascii="Times New Roman" w:hAnsi="Times New Roman" w:cs="Times New Roman"/>
        </w:rPr>
        <w:t>(1), 1–19. https://doi.org/10.1017/S0140525X12003214</w:t>
      </w:r>
    </w:p>
    <w:p w14:paraId="5500DCB7"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Kentridge, R. W., Phillips, I., &amp; Block, N. (2017). Does unconscious perception really exist? Continuing the ASSC20 debate. </w:t>
      </w:r>
      <w:r w:rsidRPr="00A12689">
        <w:rPr>
          <w:rFonts w:ascii="Times New Roman" w:hAnsi="Times New Roman" w:cs="Times New Roman"/>
          <w:i/>
          <w:iCs/>
        </w:rPr>
        <w:t>Neuroscience of Consciousness</w:t>
      </w:r>
      <w:r w:rsidRPr="00A12689">
        <w:rPr>
          <w:rFonts w:ascii="Times New Roman" w:hAnsi="Times New Roman" w:cs="Times New Roman"/>
        </w:rPr>
        <w:t xml:space="preserve">, </w:t>
      </w:r>
      <w:r w:rsidRPr="00A12689">
        <w:rPr>
          <w:rFonts w:ascii="Times New Roman" w:hAnsi="Times New Roman" w:cs="Times New Roman"/>
          <w:i/>
          <w:iCs/>
        </w:rPr>
        <w:t>2017</w:t>
      </w:r>
      <w:r w:rsidRPr="00A12689">
        <w:rPr>
          <w:rFonts w:ascii="Times New Roman" w:hAnsi="Times New Roman" w:cs="Times New Roman"/>
        </w:rPr>
        <w:t>(1). https://doi.org/10.1093/nc/nix015</w:t>
      </w:r>
    </w:p>
    <w:p w14:paraId="1D2037F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&amp; Lau, H. (2015). </w:t>
      </w:r>
      <w:r w:rsidRPr="00A12689">
        <w:rPr>
          <w:rFonts w:ascii="Times New Roman" w:hAnsi="Times New Roman" w:cs="Times New Roman"/>
          <w:i/>
          <w:iCs/>
        </w:rPr>
        <w:t>Human observers have optimal introspective access to perceptual processes even for visually masked stimuli</w:t>
      </w:r>
      <w:r w:rsidRPr="00A12689">
        <w:rPr>
          <w:rFonts w:ascii="Times New Roman" w:hAnsi="Times New Roman" w:cs="Times New Roman"/>
        </w:rPr>
        <w:t>. 30.</w:t>
      </w:r>
    </w:p>
    <w:p w14:paraId="780EDBC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Pratte, M. S., &amp; Rouder, J. N. (2009). A task-difficulty artifact in subliminal priming. </w:t>
      </w:r>
      <w:r w:rsidRPr="00A12689">
        <w:rPr>
          <w:rFonts w:ascii="Times New Roman" w:hAnsi="Times New Roman" w:cs="Times New Roman"/>
          <w:i/>
          <w:iCs/>
        </w:rPr>
        <w:t>Attention, Perception, &amp; Psychophysics</w:t>
      </w:r>
      <w:r w:rsidRPr="00A12689">
        <w:rPr>
          <w:rFonts w:ascii="Times New Roman" w:hAnsi="Times New Roman" w:cs="Times New Roman"/>
        </w:rPr>
        <w:t xml:space="preserve">, </w:t>
      </w:r>
      <w:r w:rsidRPr="00A12689">
        <w:rPr>
          <w:rFonts w:ascii="Times New Roman" w:hAnsi="Times New Roman" w:cs="Times New Roman"/>
          <w:i/>
          <w:iCs/>
        </w:rPr>
        <w:t>71</w:t>
      </w:r>
      <w:r w:rsidRPr="00A12689">
        <w:rPr>
          <w:rFonts w:ascii="Times New Roman" w:hAnsi="Times New Roman" w:cs="Times New Roman"/>
        </w:rPr>
        <w:t>(6), 1276–1283. https://doi.org/10.3758/APP.71.6.1276</w:t>
      </w:r>
    </w:p>
    <w:p w14:paraId="6D119F0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Quilty-Dunn, J. (2019). Unconscious perception and phenomenal coherence. </w:t>
      </w:r>
      <w:r w:rsidRPr="00A12689">
        <w:rPr>
          <w:rFonts w:ascii="Times New Roman" w:hAnsi="Times New Roman" w:cs="Times New Roman"/>
          <w:i/>
          <w:iCs/>
        </w:rPr>
        <w:t>Analysis</w:t>
      </w:r>
      <w:r w:rsidRPr="00A12689">
        <w:rPr>
          <w:rFonts w:ascii="Times New Roman" w:hAnsi="Times New Roman" w:cs="Times New Roman"/>
        </w:rPr>
        <w:t xml:space="preserve">, </w:t>
      </w:r>
      <w:r w:rsidRPr="00A12689">
        <w:rPr>
          <w:rFonts w:ascii="Times New Roman" w:hAnsi="Times New Roman" w:cs="Times New Roman"/>
          <w:i/>
          <w:iCs/>
        </w:rPr>
        <w:t>79</w:t>
      </w:r>
      <w:r w:rsidRPr="00A12689">
        <w:rPr>
          <w:rFonts w:ascii="Times New Roman" w:hAnsi="Times New Roman" w:cs="Times New Roman"/>
        </w:rPr>
        <w:t>(3), 461–469. https://doi.org/10.1093/analys/any022</w:t>
      </w:r>
    </w:p>
    <w:p w14:paraId="580FC66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Reingold, E. M., &amp; Merikle, P. M. (1988). Using direct and indirect measures to study perception without awareness. </w:t>
      </w:r>
      <w:r w:rsidRPr="00A12689">
        <w:rPr>
          <w:rFonts w:ascii="Times New Roman" w:hAnsi="Times New Roman" w:cs="Times New Roman"/>
          <w:i/>
          <w:iCs/>
        </w:rPr>
        <w:t>Perception &amp; Psychophysics</w:t>
      </w:r>
      <w:r w:rsidRPr="00A12689">
        <w:rPr>
          <w:rFonts w:ascii="Times New Roman" w:hAnsi="Times New Roman" w:cs="Times New Roman"/>
        </w:rPr>
        <w:t xml:space="preserve">, </w:t>
      </w:r>
      <w:r w:rsidRPr="00A12689">
        <w:rPr>
          <w:rFonts w:ascii="Times New Roman" w:hAnsi="Times New Roman" w:cs="Times New Roman"/>
          <w:i/>
          <w:iCs/>
        </w:rPr>
        <w:t>44</w:t>
      </w:r>
      <w:r w:rsidRPr="00A12689">
        <w:rPr>
          <w:rFonts w:ascii="Times New Roman" w:hAnsi="Times New Roman" w:cs="Times New Roman"/>
        </w:rPr>
        <w:t>(6), 563–575. https://doi.org/10.3758/BF03207490</w:t>
      </w:r>
    </w:p>
    <w:p w14:paraId="703B7A6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Rohr, M., &amp; Wentura, D. (2021). Degree and Complexity of Non-conscious Emotional Information Processing – A Review of Masked Priming Studies. </w:t>
      </w:r>
      <w:r w:rsidRPr="00A12689">
        <w:rPr>
          <w:rFonts w:ascii="Times New Roman" w:hAnsi="Times New Roman" w:cs="Times New Roman"/>
          <w:i/>
          <w:iCs/>
        </w:rPr>
        <w:t>Frontiers in Human Neuroscience</w:t>
      </w:r>
      <w:r w:rsidRPr="00A12689">
        <w:rPr>
          <w:rFonts w:ascii="Times New Roman" w:hAnsi="Times New Roman" w:cs="Times New Roman"/>
        </w:rPr>
        <w:t xml:space="preserve">, </w:t>
      </w:r>
      <w:r w:rsidRPr="00A12689">
        <w:rPr>
          <w:rFonts w:ascii="Times New Roman" w:hAnsi="Times New Roman" w:cs="Times New Roman"/>
          <w:i/>
          <w:iCs/>
        </w:rPr>
        <w:t>15</w:t>
      </w:r>
      <w:r w:rsidRPr="00A12689">
        <w:rPr>
          <w:rFonts w:ascii="Times New Roman" w:hAnsi="Times New Roman" w:cs="Times New Roman"/>
        </w:rPr>
        <w:t>, 689369. https://doi.org/10.3389/fnhum.2021.689369</w:t>
      </w:r>
    </w:p>
    <w:p w14:paraId="34D33CC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Sandberg, K., &amp; Overgaard, M. (2015). Using the perceptual awareness scale (PAS). In M. Overgaard (Ed.), </w:t>
      </w:r>
      <w:r w:rsidRPr="00A12689">
        <w:rPr>
          <w:rFonts w:ascii="Times New Roman" w:hAnsi="Times New Roman" w:cs="Times New Roman"/>
          <w:i/>
          <w:iCs/>
        </w:rPr>
        <w:t>Behavioral Methods in Consciousness Research</w:t>
      </w:r>
      <w:r w:rsidRPr="00A12689">
        <w:rPr>
          <w:rFonts w:ascii="Times New Roman" w:hAnsi="Times New Roman" w:cs="Times New Roman"/>
        </w:rPr>
        <w:t xml:space="preserve"> (pp. 181–196). Oxford University Press. https://doi.org/10.1093/acprof:oso/9780199688890.003.0011</w:t>
      </w:r>
    </w:p>
    <w:p w14:paraId="26CF47E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Schmidt, T. (2002). The Finger in Flight: Real-Time Motor Control by Visually Masked Color Stimuli. </w:t>
      </w:r>
      <w:r w:rsidRPr="00A12689">
        <w:rPr>
          <w:rFonts w:ascii="Times New Roman" w:hAnsi="Times New Roman" w:cs="Times New Roman"/>
          <w:i/>
          <w:iCs/>
        </w:rPr>
        <w:t>Psychological Science</w:t>
      </w:r>
      <w:r w:rsidRPr="00A12689">
        <w:rPr>
          <w:rFonts w:ascii="Times New Roman" w:hAnsi="Times New Roman" w:cs="Times New Roman"/>
        </w:rPr>
        <w:t xml:space="preserve">, </w:t>
      </w:r>
      <w:r w:rsidRPr="00A12689">
        <w:rPr>
          <w:rFonts w:ascii="Times New Roman" w:hAnsi="Times New Roman" w:cs="Times New Roman"/>
          <w:i/>
          <w:iCs/>
        </w:rPr>
        <w:t>13</w:t>
      </w:r>
      <w:r w:rsidRPr="00A12689">
        <w:rPr>
          <w:rFonts w:ascii="Times New Roman" w:hAnsi="Times New Roman" w:cs="Times New Roman"/>
        </w:rPr>
        <w:t>(2), 112–118. https://doi.org/10.1111/1467-9280.00421</w:t>
      </w:r>
    </w:p>
    <w:p w14:paraId="7905554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Shanks, D. R. (2017). Regressive research: The pitfalls of post hoc data selection in the study of unconscious mental processes.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24</w:t>
      </w:r>
      <w:r w:rsidRPr="00A12689">
        <w:rPr>
          <w:rFonts w:ascii="Times New Roman" w:hAnsi="Times New Roman" w:cs="Times New Roman"/>
        </w:rPr>
        <w:t>(3), 752–775. https://doi.org/10.3758/s13423-016-1170-y</w:t>
      </w:r>
    </w:p>
    <w:p w14:paraId="5CA697F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Sklar, A. Y., Goldstein, A., &amp; Hassin, R. R. (2021). Regression to the Mean Does Not Explain Away Nonconscious Processing: A Critical Review of Shanks 2017. </w:t>
      </w:r>
      <w:r w:rsidRPr="00A12689">
        <w:rPr>
          <w:rFonts w:ascii="Times New Roman" w:hAnsi="Times New Roman" w:cs="Times New Roman"/>
          <w:i/>
          <w:iCs/>
        </w:rPr>
        <w:t>Experimental Psychology</w:t>
      </w:r>
      <w:r w:rsidRPr="00A12689">
        <w:rPr>
          <w:rFonts w:ascii="Times New Roman" w:hAnsi="Times New Roman" w:cs="Times New Roman"/>
        </w:rPr>
        <w:t xml:space="preserve">, </w:t>
      </w:r>
      <w:r w:rsidRPr="00A12689">
        <w:rPr>
          <w:rFonts w:ascii="Times New Roman" w:hAnsi="Times New Roman" w:cs="Times New Roman"/>
          <w:i/>
          <w:iCs/>
        </w:rPr>
        <w:t>68</w:t>
      </w:r>
      <w:r w:rsidRPr="00A12689">
        <w:rPr>
          <w:rFonts w:ascii="Times New Roman" w:hAnsi="Times New Roman" w:cs="Times New Roman"/>
        </w:rPr>
        <w:t>(3), 130–136. https://doi.org/10.1027/1618-3169/a000518</w:t>
      </w:r>
    </w:p>
    <w:p w14:paraId="7E2161C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Vadillo, M. A., Konstantinidis, E., &amp; Shanks, D. R. (2016). Underpowered samples, false negatives, and unconscious learning.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23</w:t>
      </w:r>
      <w:r w:rsidRPr="00A12689">
        <w:rPr>
          <w:rFonts w:ascii="Times New Roman" w:hAnsi="Times New Roman" w:cs="Times New Roman"/>
        </w:rPr>
        <w:t>(1), 87–102. https://doi.org/10.3758/s13423-015-0892-6</w:t>
      </w:r>
    </w:p>
    <w:p w14:paraId="61B026B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Van den Bussche, E., Van den Noortgate, W., &amp; Reynvoet, B. (2009). Mechanisms of masked priming: A meta-analysis. </w:t>
      </w:r>
      <w:r w:rsidRPr="00A12689">
        <w:rPr>
          <w:rFonts w:ascii="Times New Roman" w:hAnsi="Times New Roman" w:cs="Times New Roman"/>
          <w:i/>
          <w:iCs/>
        </w:rPr>
        <w:t>Psychological Bulletin</w:t>
      </w:r>
      <w:r w:rsidRPr="00A12689">
        <w:rPr>
          <w:rFonts w:ascii="Times New Roman" w:hAnsi="Times New Roman" w:cs="Times New Roman"/>
        </w:rPr>
        <w:t xml:space="preserve">, </w:t>
      </w:r>
      <w:r w:rsidRPr="00A12689">
        <w:rPr>
          <w:rFonts w:ascii="Times New Roman" w:hAnsi="Times New Roman" w:cs="Times New Roman"/>
          <w:i/>
          <w:iCs/>
        </w:rPr>
        <w:t>135</w:t>
      </w:r>
      <w:r w:rsidRPr="00A12689">
        <w:rPr>
          <w:rFonts w:ascii="Times New Roman" w:hAnsi="Times New Roman" w:cs="Times New Roman"/>
        </w:rPr>
        <w:t>(3), 452–477. https://doi.org/10.1037/a0015329</w:t>
      </w:r>
    </w:p>
    <w:p w14:paraId="3DC93EA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Vermeiren, A., &amp; Cleeremans, A. (2012). The Validity of d′ Measures.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7</w:t>
      </w:r>
      <w:r w:rsidRPr="00A12689">
        <w:rPr>
          <w:rFonts w:ascii="Times New Roman" w:hAnsi="Times New Roman" w:cs="Times New Roman"/>
        </w:rPr>
        <w:t>(2), e31595. https://doi.org/10.1371/journal.pone.0031595</w:t>
      </w:r>
    </w:p>
    <w:p w14:paraId="6C74504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(2014). Semantic priming revealed by mouse movement trajectories.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27</w:t>
      </w:r>
      <w:r w:rsidRPr="00A12689">
        <w:rPr>
          <w:rFonts w:ascii="Times New Roman" w:hAnsi="Times New Roman" w:cs="Times New Roman"/>
        </w:rPr>
        <w:t>, 42–52. https://doi.org/10.1016/j.concog.2014.04.004</w:t>
      </w:r>
    </w:p>
    <w:p w14:paraId="45395B1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Xiao, K., &amp; Yamauchi, T. (2015). Subliminal semantic priming in near absence of attention: A cursor motion study.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38</w:t>
      </w:r>
      <w:r w:rsidRPr="00A12689">
        <w:rPr>
          <w:rFonts w:ascii="Times New Roman" w:hAnsi="Times New Roman" w:cs="Times New Roman"/>
        </w:rPr>
        <w:t>, 88–98. https://doi.org/10.1016/j.concog.2015.09.013</w:t>
      </w:r>
    </w:p>
    <w:p w14:paraId="44682EF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(2017). The role of attention in subliminal semantic processing: A mouse tracking study.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12</w:t>
      </w:r>
      <w:r w:rsidRPr="00A12689">
        <w:rPr>
          <w:rFonts w:ascii="Times New Roman" w:hAnsi="Times New Roman" w:cs="Times New Roman"/>
        </w:rPr>
        <w:t>(6), e0178740. https://doi.org/10.1371/journal.pone.0178740</w:t>
      </w:r>
    </w:p>
    <w:p w14:paraId="6BDF6B2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Yamauchi, T., &amp; Bowman, C. (2015). </w:t>
      </w:r>
      <w:r w:rsidRPr="00A12689">
        <w:rPr>
          <w:rFonts w:ascii="Times New Roman" w:hAnsi="Times New Roman" w:cs="Times New Roman"/>
          <w:i/>
          <w:iCs/>
        </w:rPr>
        <w:t>Assessing Masked Semantic Priming: Cursor Trajectory versus Response Time Measures</w:t>
      </w:r>
      <w:r w:rsidRPr="00A12689">
        <w:rPr>
          <w:rFonts w:ascii="Times New Roman" w:hAnsi="Times New Roman" w:cs="Times New Roman"/>
        </w:rPr>
        <w:t>. 7.</w:t>
      </w:r>
    </w:p>
    <w:p w14:paraId="6004E406" w14:textId="1BCB3C06" w:rsidR="00E81978" w:rsidRDefault="00603522" w:rsidP="0013696E">
      <w:pPr>
        <w:pStyle w:val="Bibliography"/>
      </w:pPr>
      <w:r>
        <w:fldChar w:fldCharType="end"/>
      </w:r>
    </w:p>
    <w:sectPr w:rsidR="00E8197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1727" w14:textId="77777777" w:rsidR="002A41DA" w:rsidRDefault="002A41DA">
      <w:pPr>
        <w:spacing w:line="240" w:lineRule="auto"/>
      </w:pPr>
      <w:r>
        <w:separator/>
      </w:r>
    </w:p>
    <w:p w14:paraId="629533F8" w14:textId="77777777" w:rsidR="002A41DA" w:rsidRDefault="002A41DA"/>
  </w:endnote>
  <w:endnote w:type="continuationSeparator" w:id="0">
    <w:p w14:paraId="04FE3477" w14:textId="77777777" w:rsidR="002A41DA" w:rsidRDefault="002A41DA">
      <w:pPr>
        <w:spacing w:line="240" w:lineRule="auto"/>
      </w:pPr>
      <w:r>
        <w:continuationSeparator/>
      </w:r>
    </w:p>
    <w:p w14:paraId="272F5FF8" w14:textId="77777777" w:rsidR="002A41DA" w:rsidRDefault="002A4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DD9E" w14:textId="77777777" w:rsidR="002A41DA" w:rsidRDefault="002A41DA">
      <w:pPr>
        <w:spacing w:line="240" w:lineRule="auto"/>
      </w:pPr>
      <w:r>
        <w:separator/>
      </w:r>
    </w:p>
    <w:p w14:paraId="77D0BE07" w14:textId="77777777" w:rsidR="002A41DA" w:rsidRDefault="002A41DA"/>
  </w:footnote>
  <w:footnote w:type="continuationSeparator" w:id="0">
    <w:p w14:paraId="74319269" w14:textId="77777777" w:rsidR="002A41DA" w:rsidRDefault="002A41DA">
      <w:pPr>
        <w:spacing w:line="240" w:lineRule="auto"/>
      </w:pPr>
      <w:r>
        <w:continuationSeparator/>
      </w:r>
    </w:p>
    <w:p w14:paraId="2CCAB364" w14:textId="77777777" w:rsidR="002A41DA" w:rsidRDefault="002A41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3DA0F9B7" w:rsidR="00E81978" w:rsidRDefault="002A41DA">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3A7D04A2" w:rsidR="00E81978" w:rsidRDefault="002A41DA">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717779">
    <w:abstractNumId w:val="9"/>
  </w:num>
  <w:num w:numId="2" w16cid:durableId="7952213">
    <w:abstractNumId w:val="7"/>
  </w:num>
  <w:num w:numId="3" w16cid:durableId="68890579">
    <w:abstractNumId w:val="6"/>
  </w:num>
  <w:num w:numId="4" w16cid:durableId="452484388">
    <w:abstractNumId w:val="5"/>
  </w:num>
  <w:num w:numId="5" w16cid:durableId="2014260739">
    <w:abstractNumId w:val="4"/>
  </w:num>
  <w:num w:numId="6" w16cid:durableId="1878810304">
    <w:abstractNumId w:val="8"/>
  </w:num>
  <w:num w:numId="7" w16cid:durableId="1613976749">
    <w:abstractNumId w:val="3"/>
  </w:num>
  <w:num w:numId="8" w16cid:durableId="920217115">
    <w:abstractNumId w:val="2"/>
  </w:num>
  <w:num w:numId="9" w16cid:durableId="1293563453">
    <w:abstractNumId w:val="1"/>
  </w:num>
  <w:num w:numId="10" w16cid:durableId="873078545">
    <w:abstractNumId w:val="0"/>
  </w:num>
  <w:num w:numId="11" w16cid:durableId="991643033">
    <w:abstractNumId w:val="9"/>
    <w:lvlOverride w:ilvl="0">
      <w:startOverride w:val="1"/>
    </w:lvlOverride>
  </w:num>
  <w:num w:numId="12" w16cid:durableId="394551843">
    <w:abstractNumId w:val="21"/>
  </w:num>
  <w:num w:numId="13" w16cid:durableId="856845651">
    <w:abstractNumId w:val="18"/>
  </w:num>
  <w:num w:numId="14" w16cid:durableId="904878092">
    <w:abstractNumId w:val="17"/>
  </w:num>
  <w:num w:numId="15" w16cid:durableId="1246652210">
    <w:abstractNumId w:val="20"/>
  </w:num>
  <w:num w:numId="16" w16cid:durableId="1666667469">
    <w:abstractNumId w:val="12"/>
  </w:num>
  <w:num w:numId="17" w16cid:durableId="496002451">
    <w:abstractNumId w:val="13"/>
  </w:num>
  <w:num w:numId="18" w16cid:durableId="1185442228">
    <w:abstractNumId w:val="16"/>
  </w:num>
  <w:num w:numId="19" w16cid:durableId="512888573">
    <w:abstractNumId w:val="15"/>
  </w:num>
  <w:num w:numId="20" w16cid:durableId="265046440">
    <w:abstractNumId w:val="11"/>
  </w:num>
  <w:num w:numId="21" w16cid:durableId="68551247">
    <w:abstractNumId w:val="9"/>
  </w:num>
  <w:num w:numId="22" w16cid:durableId="1082337974">
    <w:abstractNumId w:val="8"/>
  </w:num>
  <w:num w:numId="23" w16cid:durableId="484902213">
    <w:abstractNumId w:val="14"/>
  </w:num>
  <w:num w:numId="24" w16cid:durableId="1215120586">
    <w:abstractNumId w:val="19"/>
  </w:num>
  <w:num w:numId="25" w16cid:durableId="886600561">
    <w:abstractNumId w:val="10"/>
  </w:num>
  <w:num w:numId="26" w16cid:durableId="774249314">
    <w:abstractNumId w:val="10"/>
    <w:lvlOverride w:ilvl="0">
      <w:startOverride w:val="1"/>
    </w:lvlOverride>
  </w:num>
  <w:num w:numId="27" w16cid:durableId="976758215">
    <w:abstractNumId w:val="10"/>
    <w:lvlOverride w:ilvl="0">
      <w:startOverride w:val="1"/>
    </w:lvlOverride>
  </w:num>
  <w:num w:numId="28" w16cid:durableId="555899485">
    <w:abstractNumId w:val="8"/>
    <w:lvlOverride w:ilvl="0">
      <w:startOverride w:val="1"/>
    </w:lvlOverride>
  </w:num>
  <w:num w:numId="29" w16cid:durableId="1405030127">
    <w:abstractNumId w:val="8"/>
    <w:lvlOverride w:ilvl="0">
      <w:startOverride w:val="1"/>
    </w:lvlOverride>
  </w:num>
  <w:num w:numId="30" w16cid:durableId="692077137">
    <w:abstractNumId w:val="8"/>
    <w:lvlOverride w:ilvl="0">
      <w:startOverride w:val="1"/>
    </w:lvlOverride>
  </w:num>
  <w:num w:numId="31" w16cid:durableId="466817684">
    <w:abstractNumId w:val="8"/>
    <w:lvlOverride w:ilvl="0">
      <w:startOverride w:val="1"/>
    </w:lvlOverride>
  </w:num>
  <w:num w:numId="32" w16cid:durableId="1407071067">
    <w:abstractNumId w:val="10"/>
    <w:lvlOverride w:ilvl="0">
      <w:startOverride w:val="1"/>
    </w:lvlOverride>
  </w:num>
  <w:num w:numId="33" w16cid:durableId="927731731">
    <w:abstractNumId w:val="10"/>
    <w:lvlOverride w:ilvl="0">
      <w:startOverride w:val="1"/>
    </w:lvlOverride>
  </w:num>
  <w:num w:numId="34" w16cid:durableId="1788161418">
    <w:abstractNumId w:val="10"/>
    <w:lvlOverride w:ilvl="0">
      <w:startOverride w:val="1"/>
    </w:lvlOverride>
  </w:num>
  <w:num w:numId="35" w16cid:durableId="2037660062">
    <w:abstractNumId w:val="8"/>
    <w:lvlOverride w:ilvl="0">
      <w:startOverride w:val="1"/>
    </w:lvlOverride>
  </w:num>
  <w:num w:numId="36" w16cid:durableId="91667308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32"/>
    <w:rsid w:val="00002B0F"/>
    <w:rsid w:val="00031FE9"/>
    <w:rsid w:val="00032C23"/>
    <w:rsid w:val="00034D2B"/>
    <w:rsid w:val="0007315D"/>
    <w:rsid w:val="000744BB"/>
    <w:rsid w:val="000762B5"/>
    <w:rsid w:val="00096D37"/>
    <w:rsid w:val="000A1132"/>
    <w:rsid w:val="000A2CF4"/>
    <w:rsid w:val="000A521F"/>
    <w:rsid w:val="000D20AC"/>
    <w:rsid w:val="000D3F41"/>
    <w:rsid w:val="0010515D"/>
    <w:rsid w:val="00106409"/>
    <w:rsid w:val="001102CA"/>
    <w:rsid w:val="001128C8"/>
    <w:rsid w:val="0013696E"/>
    <w:rsid w:val="0013784E"/>
    <w:rsid w:val="001429A2"/>
    <w:rsid w:val="00153440"/>
    <w:rsid w:val="00162735"/>
    <w:rsid w:val="00166E53"/>
    <w:rsid w:val="00177D67"/>
    <w:rsid w:val="0019773B"/>
    <w:rsid w:val="001A1B43"/>
    <w:rsid w:val="001A4EF4"/>
    <w:rsid w:val="001A6D2C"/>
    <w:rsid w:val="001C49FE"/>
    <w:rsid w:val="001D309E"/>
    <w:rsid w:val="001D71F0"/>
    <w:rsid w:val="001E5B58"/>
    <w:rsid w:val="001F0404"/>
    <w:rsid w:val="001F74BC"/>
    <w:rsid w:val="002050FE"/>
    <w:rsid w:val="002065AA"/>
    <w:rsid w:val="00214E92"/>
    <w:rsid w:val="00226F0E"/>
    <w:rsid w:val="00236C96"/>
    <w:rsid w:val="0025250E"/>
    <w:rsid w:val="002532F4"/>
    <w:rsid w:val="00257BA5"/>
    <w:rsid w:val="00282285"/>
    <w:rsid w:val="0029108B"/>
    <w:rsid w:val="002A2C99"/>
    <w:rsid w:val="002A41DA"/>
    <w:rsid w:val="002A4F18"/>
    <w:rsid w:val="002B10C6"/>
    <w:rsid w:val="002C03B0"/>
    <w:rsid w:val="002E0B92"/>
    <w:rsid w:val="002E6CE3"/>
    <w:rsid w:val="002F6D87"/>
    <w:rsid w:val="003026C5"/>
    <w:rsid w:val="003162C5"/>
    <w:rsid w:val="0032504F"/>
    <w:rsid w:val="003373E1"/>
    <w:rsid w:val="003418A3"/>
    <w:rsid w:val="00341C0A"/>
    <w:rsid w:val="0034297D"/>
    <w:rsid w:val="0035224A"/>
    <w:rsid w:val="00355DCA"/>
    <w:rsid w:val="0036695C"/>
    <w:rsid w:val="003819E9"/>
    <w:rsid w:val="00396338"/>
    <w:rsid w:val="00397BA2"/>
    <w:rsid w:val="003B10DE"/>
    <w:rsid w:val="003B1E98"/>
    <w:rsid w:val="003C157F"/>
    <w:rsid w:val="003C5597"/>
    <w:rsid w:val="003F4DD6"/>
    <w:rsid w:val="0041384E"/>
    <w:rsid w:val="00424E7A"/>
    <w:rsid w:val="00426BDA"/>
    <w:rsid w:val="00426BEB"/>
    <w:rsid w:val="00442474"/>
    <w:rsid w:val="00443BF9"/>
    <w:rsid w:val="004676D6"/>
    <w:rsid w:val="004777FB"/>
    <w:rsid w:val="004D5BBE"/>
    <w:rsid w:val="005023EA"/>
    <w:rsid w:val="00510C52"/>
    <w:rsid w:val="00535990"/>
    <w:rsid w:val="00551A02"/>
    <w:rsid w:val="00551E31"/>
    <w:rsid w:val="005534FA"/>
    <w:rsid w:val="00555638"/>
    <w:rsid w:val="005624F4"/>
    <w:rsid w:val="00573F6E"/>
    <w:rsid w:val="00597139"/>
    <w:rsid w:val="005A0E06"/>
    <w:rsid w:val="005B1093"/>
    <w:rsid w:val="005B4204"/>
    <w:rsid w:val="005D3A03"/>
    <w:rsid w:val="00603522"/>
    <w:rsid w:val="00626612"/>
    <w:rsid w:val="00642C87"/>
    <w:rsid w:val="00655094"/>
    <w:rsid w:val="006550E4"/>
    <w:rsid w:val="00657638"/>
    <w:rsid w:val="00660FF6"/>
    <w:rsid w:val="0067243A"/>
    <w:rsid w:val="00686E20"/>
    <w:rsid w:val="006955BA"/>
    <w:rsid w:val="006B01B7"/>
    <w:rsid w:val="006D6EF5"/>
    <w:rsid w:val="006F0D1E"/>
    <w:rsid w:val="00700962"/>
    <w:rsid w:val="00703484"/>
    <w:rsid w:val="007076A1"/>
    <w:rsid w:val="007107E2"/>
    <w:rsid w:val="007119BC"/>
    <w:rsid w:val="00713019"/>
    <w:rsid w:val="0071737B"/>
    <w:rsid w:val="00725B9E"/>
    <w:rsid w:val="0073150C"/>
    <w:rsid w:val="00745BD4"/>
    <w:rsid w:val="0075680F"/>
    <w:rsid w:val="00764D5F"/>
    <w:rsid w:val="007764FB"/>
    <w:rsid w:val="00782536"/>
    <w:rsid w:val="00796528"/>
    <w:rsid w:val="007A649B"/>
    <w:rsid w:val="007A7739"/>
    <w:rsid w:val="007B02D8"/>
    <w:rsid w:val="007B3757"/>
    <w:rsid w:val="007D05C9"/>
    <w:rsid w:val="007D76A0"/>
    <w:rsid w:val="007E1F72"/>
    <w:rsid w:val="008002C0"/>
    <w:rsid w:val="0081142B"/>
    <w:rsid w:val="00816937"/>
    <w:rsid w:val="0082437F"/>
    <w:rsid w:val="00831C88"/>
    <w:rsid w:val="00842771"/>
    <w:rsid w:val="008436B2"/>
    <w:rsid w:val="00845669"/>
    <w:rsid w:val="0086789F"/>
    <w:rsid w:val="0087399F"/>
    <w:rsid w:val="00880837"/>
    <w:rsid w:val="0088666F"/>
    <w:rsid w:val="008A38D1"/>
    <w:rsid w:val="008C5323"/>
    <w:rsid w:val="008D55B7"/>
    <w:rsid w:val="008D7AFA"/>
    <w:rsid w:val="008F3023"/>
    <w:rsid w:val="008F5DAA"/>
    <w:rsid w:val="00905DB5"/>
    <w:rsid w:val="00915B63"/>
    <w:rsid w:val="0092735A"/>
    <w:rsid w:val="009510F4"/>
    <w:rsid w:val="00951D8D"/>
    <w:rsid w:val="00960D95"/>
    <w:rsid w:val="00991169"/>
    <w:rsid w:val="00991EBF"/>
    <w:rsid w:val="009A2CE2"/>
    <w:rsid w:val="009A6A3B"/>
    <w:rsid w:val="009B3058"/>
    <w:rsid w:val="009B5C6C"/>
    <w:rsid w:val="009C1DF3"/>
    <w:rsid w:val="009C282D"/>
    <w:rsid w:val="009D0B1F"/>
    <w:rsid w:val="009D3CC3"/>
    <w:rsid w:val="009E7B80"/>
    <w:rsid w:val="009F6C2B"/>
    <w:rsid w:val="00A06338"/>
    <w:rsid w:val="00A10BB3"/>
    <w:rsid w:val="00A12689"/>
    <w:rsid w:val="00A31996"/>
    <w:rsid w:val="00A35A93"/>
    <w:rsid w:val="00A4042C"/>
    <w:rsid w:val="00A425E2"/>
    <w:rsid w:val="00A426BA"/>
    <w:rsid w:val="00A431EC"/>
    <w:rsid w:val="00A74787"/>
    <w:rsid w:val="00A84020"/>
    <w:rsid w:val="00A90218"/>
    <w:rsid w:val="00A942E7"/>
    <w:rsid w:val="00AA3A71"/>
    <w:rsid w:val="00AB0CE4"/>
    <w:rsid w:val="00AD0104"/>
    <w:rsid w:val="00AD3475"/>
    <w:rsid w:val="00AD4D99"/>
    <w:rsid w:val="00AD72F5"/>
    <w:rsid w:val="00AD78BA"/>
    <w:rsid w:val="00AE3F7D"/>
    <w:rsid w:val="00AF3FAE"/>
    <w:rsid w:val="00B04244"/>
    <w:rsid w:val="00B0647D"/>
    <w:rsid w:val="00B12586"/>
    <w:rsid w:val="00B13AA3"/>
    <w:rsid w:val="00B16590"/>
    <w:rsid w:val="00B26380"/>
    <w:rsid w:val="00B44A0E"/>
    <w:rsid w:val="00B45D24"/>
    <w:rsid w:val="00B76829"/>
    <w:rsid w:val="00B823AA"/>
    <w:rsid w:val="00B92C54"/>
    <w:rsid w:val="00BA339C"/>
    <w:rsid w:val="00BA45DB"/>
    <w:rsid w:val="00BA5C90"/>
    <w:rsid w:val="00BB04E2"/>
    <w:rsid w:val="00BB4A9B"/>
    <w:rsid w:val="00BB4F70"/>
    <w:rsid w:val="00BF4184"/>
    <w:rsid w:val="00BF5AF6"/>
    <w:rsid w:val="00C0601E"/>
    <w:rsid w:val="00C140DD"/>
    <w:rsid w:val="00C16074"/>
    <w:rsid w:val="00C160AF"/>
    <w:rsid w:val="00C222B3"/>
    <w:rsid w:val="00C2727A"/>
    <w:rsid w:val="00C31D30"/>
    <w:rsid w:val="00C35770"/>
    <w:rsid w:val="00C457BA"/>
    <w:rsid w:val="00C55B9C"/>
    <w:rsid w:val="00C71F2F"/>
    <w:rsid w:val="00C919D7"/>
    <w:rsid w:val="00CB6D92"/>
    <w:rsid w:val="00CC2CE0"/>
    <w:rsid w:val="00CC62A0"/>
    <w:rsid w:val="00CD6E39"/>
    <w:rsid w:val="00CE3867"/>
    <w:rsid w:val="00CF36CD"/>
    <w:rsid w:val="00CF6E91"/>
    <w:rsid w:val="00CF7D94"/>
    <w:rsid w:val="00D02C94"/>
    <w:rsid w:val="00D37EF8"/>
    <w:rsid w:val="00D5049B"/>
    <w:rsid w:val="00D53187"/>
    <w:rsid w:val="00D56CA2"/>
    <w:rsid w:val="00D65DC0"/>
    <w:rsid w:val="00D73E14"/>
    <w:rsid w:val="00D84702"/>
    <w:rsid w:val="00D85B68"/>
    <w:rsid w:val="00D86C88"/>
    <w:rsid w:val="00D951AE"/>
    <w:rsid w:val="00DA5377"/>
    <w:rsid w:val="00DC0085"/>
    <w:rsid w:val="00DF1B50"/>
    <w:rsid w:val="00E526F1"/>
    <w:rsid w:val="00E6004D"/>
    <w:rsid w:val="00E760C7"/>
    <w:rsid w:val="00E807B7"/>
    <w:rsid w:val="00E81978"/>
    <w:rsid w:val="00E85363"/>
    <w:rsid w:val="00EB3F6A"/>
    <w:rsid w:val="00EC0B9C"/>
    <w:rsid w:val="00EC46B1"/>
    <w:rsid w:val="00ED77BA"/>
    <w:rsid w:val="00EE3015"/>
    <w:rsid w:val="00EE6B27"/>
    <w:rsid w:val="00F06283"/>
    <w:rsid w:val="00F07C2B"/>
    <w:rsid w:val="00F23576"/>
    <w:rsid w:val="00F379B7"/>
    <w:rsid w:val="00F42D48"/>
    <w:rsid w:val="00F525FA"/>
    <w:rsid w:val="00F56DA3"/>
    <w:rsid w:val="00F6071B"/>
    <w:rsid w:val="00F66DF6"/>
    <w:rsid w:val="00F73392"/>
    <w:rsid w:val="00F743CC"/>
    <w:rsid w:val="00F97935"/>
    <w:rsid w:val="00FA68AD"/>
    <w:rsid w:val="00FF2002"/>
    <w:rsid w:val="00FF2C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 w:type="paragraph" w:styleId="Revision">
    <w:name w:val="Revision"/>
    <w:hidden/>
    <w:uiPriority w:val="99"/>
    <w:semiHidden/>
    <w:rsid w:val="00D65DC0"/>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1B"/>
    <w:rsid w:val="002B711B"/>
    <w:rsid w:val="002D77AF"/>
    <w:rsid w:val="0035176E"/>
    <w:rsid w:val="003807F4"/>
    <w:rsid w:val="005C1A00"/>
    <w:rsid w:val="00642408"/>
    <w:rsid w:val="0080069B"/>
    <w:rsid w:val="00A70F23"/>
    <w:rsid w:val="00DD1C00"/>
    <w:rsid w:val="00ED4C46"/>
    <w:rsid w:val="00F95EAF"/>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1156</TotalTime>
  <Pages>23</Pages>
  <Words>17148</Words>
  <Characters>85742</Characters>
  <Application>Microsoft Office Word</Application>
  <DocSecurity>0</DocSecurity>
  <Lines>714</Lines>
  <Paragraphs>205</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Chen Heller</cp:lastModifiedBy>
  <cp:revision>56</cp:revision>
  <dcterms:created xsi:type="dcterms:W3CDTF">2022-06-21T11:35:00Z</dcterms:created>
  <dcterms:modified xsi:type="dcterms:W3CDTF">2022-06-26T05:55:00Z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id="emOthuMY"/&gt;&lt;style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