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 Flow v1.1 Canonical (2026-03-07)</w:t>
      </w:r>
    </w:p>
    <w:p>
      <w:pPr>
        <w:pStyle w:val="Heading2"/>
      </w:pPr>
      <w:r>
        <w:t>Purpose</w:t>
      </w:r>
    </w:p>
    <w:p>
      <w:r>
        <w:t xml:space="preserve">This document reconciles </w:t>
      </w:r>
      <w:r>
        <w:rPr>
          <w:rFonts w:ascii="Consolas" w:hAnsi="Consolas"/>
        </w:rPr>
        <w:t>HGR_Mission_Flow.docx</w:t>
      </w:r>
      <w:r>
        <w:t xml:space="preserve"> with the canonical runtime implementation and the 35-agent registry.</w:t>
      </w:r>
    </w:p>
    <w:p>
      <w:pPr>
        <w:pStyle w:val="Heading2"/>
      </w:pPr>
      <w:r>
        <w:t>Canonical Mission Chain of Command</w:t>
      </w:r>
    </w:p>
    <w:p>
      <w:pPr>
        <w:pStyle w:val="ListNumber"/>
      </w:pPr>
      <w:r>
        <w:t>User mission intake enters Gateway (</w:t>
      </w:r>
      <w:r>
        <w:rPr>
          <w:rFonts w:ascii="Consolas" w:hAnsi="Consolas"/>
        </w:rPr>
        <w:t>POST /v1/missions</w:t>
      </w:r>
      <w:r>
        <w:t>) and is normalized/idempotency-checked.</w:t>
      </w:r>
    </w:p>
    <w:p>
      <w:pPr>
        <w:pStyle w:val="ListNumber"/>
      </w:pPr>
      <w:r>
        <w:rPr>
          <w:rFonts w:ascii="Consolas" w:hAnsi="Consolas"/>
        </w:rPr>
        <w:t>AGENT-01-PM</w:t>
      </w:r>
      <w:r>
        <w:t xml:space="preserve"> (interface tier) is the user-facing mission lead and intake translator.</w:t>
      </w:r>
    </w:p>
    <w:p>
      <w:pPr>
        <w:pStyle w:val="ListNumber"/>
      </w:pPr>
      <w:r>
        <w:rPr>
          <w:rFonts w:ascii="Consolas" w:hAnsi="Consolas"/>
        </w:rPr>
        <w:t>AGENT-02-CEO</w:t>
      </w:r>
      <w:r>
        <w:t xml:space="preserve"> (executive tier) decomposes mission scope and orchestrates support + pod execution.</w:t>
      </w:r>
    </w:p>
    <w:p>
      <w:pPr>
        <w:pStyle w:val="ListNumber"/>
      </w:pPr>
      <w:r>
        <w:t>Pod managers (</w:t>
      </w:r>
      <w:r>
        <w:rPr>
          <w:rFonts w:ascii="Consolas" w:hAnsi="Consolas"/>
        </w:rPr>
        <w:t>AGENT-12</w:t>
      </w:r>
      <w:r>
        <w:t xml:space="preserve">, </w:t>
      </w:r>
      <w:r>
        <w:rPr>
          <w:rFonts w:ascii="Consolas" w:hAnsi="Consolas"/>
        </w:rPr>
        <w:t>18</w:t>
      </w:r>
      <w:r>
        <w:t xml:space="preserve">, </w:t>
      </w:r>
      <w:r>
        <w:rPr>
          <w:rFonts w:ascii="Consolas" w:hAnsi="Consolas"/>
        </w:rPr>
        <w:t>24</w:t>
      </w:r>
      <w:r>
        <w:t xml:space="preserve">, </w:t>
      </w:r>
      <w:r>
        <w:rPr>
          <w:rFonts w:ascii="Consolas" w:hAnsi="Consolas"/>
        </w:rPr>
        <w:t>30</w:t>
      </w:r>
      <w:r>
        <w:t>) coordinate specialists in Pods A-D.</w:t>
      </w:r>
    </w:p>
    <w:p>
      <w:pPr>
        <w:pStyle w:val="ListNumber"/>
      </w:pPr>
      <w:r>
        <w:t>Pod audit roles (</w:t>
      </w:r>
      <w:r>
        <w:rPr>
          <w:rFonts w:ascii="Consolas" w:hAnsi="Consolas"/>
        </w:rPr>
        <w:t>AGENT-13</w:t>
      </w:r>
      <w:r>
        <w:t xml:space="preserve">, </w:t>
      </w:r>
      <w:r>
        <w:rPr>
          <w:rFonts w:ascii="Consolas" w:hAnsi="Consolas"/>
        </w:rPr>
        <w:t>19</w:t>
      </w:r>
      <w:r>
        <w:t xml:space="preserve">, </w:t>
      </w:r>
      <w:r>
        <w:rPr>
          <w:rFonts w:ascii="Consolas" w:hAnsi="Consolas"/>
        </w:rPr>
        <w:t>25</w:t>
      </w:r>
      <w:r>
        <w:t xml:space="preserve">, </w:t>
      </w:r>
      <w:r>
        <w:rPr>
          <w:rFonts w:ascii="Consolas" w:hAnsi="Consolas"/>
        </w:rPr>
        <w:t>31</w:t>
      </w:r>
      <w:r>
        <w:t>) and support-ring controls validate quality/compliance.</w:t>
      </w:r>
    </w:p>
    <w:p>
      <w:pPr>
        <w:pStyle w:val="ListNumber"/>
      </w:pPr>
      <w:r>
        <w:t>Orchestrator lifecycle advances mission states and emits timeline events used by Mission Control.</w:t>
      </w:r>
    </w:p>
    <w:p>
      <w:pPr>
        <w:pStyle w:val="ListNumber"/>
      </w:pPr>
      <w:r>
        <w:t>Completion rolls up through executive/interface surfaces and is presented back to the user.</w:t>
      </w:r>
    </w:p>
    <w:p>
      <w:pPr>
        <w:pStyle w:val="Heading2"/>
      </w:pPr>
      <w:r>
        <w:t>Canonical ID Corrections vs Word-Doc Aliases</w:t>
      </w:r>
    </w:p>
    <w:p>
      <w:pPr>
        <w:pStyle w:val="Heading3"/>
      </w:pPr>
      <w:r>
        <w:t>Support Ring (critical remap)</w:t>
      </w:r>
    </w:p>
    <w:p>
      <w:pPr>
        <w:pStyle w:val="ListBullet"/>
      </w:pPr>
      <w:r>
        <w:rPr>
          <w:rFonts w:ascii="Consolas" w:hAnsi="Consolas"/>
        </w:rPr>
        <w:t>AGENT-03</w:t>
      </w:r>
      <w:r>
        <w:t xml:space="preserve"> = </w:t>
      </w:r>
      <w:r>
        <w:rPr>
          <w:rFonts w:ascii="Consolas" w:hAnsi="Consolas"/>
        </w:rPr>
        <w:t>API Broker</w:t>
      </w:r>
      <w:r>
        <w:t xml:space="preserve"> (not IS)</w:t>
      </w:r>
    </w:p>
    <w:p>
      <w:pPr>
        <w:pStyle w:val="ListBullet"/>
      </w:pPr>
      <w:r>
        <w:rPr>
          <w:rFonts w:ascii="Consolas" w:hAnsi="Consolas"/>
        </w:rPr>
        <w:t>AGENT-04</w:t>
      </w:r>
      <w:r>
        <w:t xml:space="preserve"> = </w:t>
      </w:r>
      <w:r>
        <w:rPr>
          <w:rFonts w:ascii="Consolas" w:hAnsi="Consolas"/>
        </w:rPr>
        <w:t>Accountant</w:t>
      </w:r>
      <w:r>
        <w:t xml:space="preserve"> (not API Broker)</w:t>
      </w:r>
    </w:p>
    <w:p>
      <w:pPr>
        <w:pStyle w:val="ListBullet"/>
      </w:pPr>
      <w:r>
        <w:rPr>
          <w:rFonts w:ascii="Consolas" w:hAnsi="Consolas"/>
        </w:rPr>
        <w:t>AGENT-05</w:t>
      </w:r>
      <w:r>
        <w:t xml:space="preserve"> = </w:t>
      </w:r>
      <w:r>
        <w:rPr>
          <w:rFonts w:ascii="Consolas" w:hAnsi="Consolas"/>
        </w:rPr>
        <w:t>Security Agent</w:t>
      </w:r>
      <w:r>
        <w:t xml:space="preserve"> (not IS)</w:t>
      </w:r>
    </w:p>
    <w:p>
      <w:pPr>
        <w:pStyle w:val="ListBullet"/>
      </w:pPr>
      <w:r>
        <w:rPr>
          <w:rFonts w:ascii="Consolas" w:hAnsi="Consolas"/>
        </w:rPr>
        <w:t>AGENT-06</w:t>
      </w:r>
      <w:r>
        <w:t xml:space="preserve"> = </w:t>
      </w:r>
      <w:r>
        <w:rPr>
          <w:rFonts w:ascii="Consolas" w:hAnsi="Consolas"/>
        </w:rPr>
        <w:t>IS Agent</w:t>
      </w:r>
      <w:r>
        <w:t xml:space="preserve"> (not Accountant)</w:t>
      </w:r>
    </w:p>
    <w:p>
      <w:pPr>
        <w:pStyle w:val="ListBullet"/>
      </w:pPr>
      <w:r>
        <w:rPr>
          <w:rFonts w:ascii="Consolas" w:hAnsi="Consolas"/>
        </w:rPr>
        <w:t>AGENT-07</w:t>
      </w:r>
      <w:r>
        <w:t xml:space="preserve"> = </w:t>
      </w:r>
      <w:r>
        <w:rPr>
          <w:rFonts w:ascii="Consolas" w:hAnsi="Consolas"/>
        </w:rPr>
        <w:t>Version Control Agent</w:t>
      </w:r>
      <w:r>
        <w:t xml:space="preserve"> (not Compliance)</w:t>
      </w:r>
    </w:p>
    <w:p>
      <w:pPr>
        <w:pStyle w:val="ListBullet"/>
      </w:pPr>
      <w:r>
        <w:rPr>
          <w:rFonts w:ascii="Consolas" w:hAnsi="Consolas"/>
        </w:rPr>
        <w:t>AGENT-08</w:t>
      </w:r>
      <w:r>
        <w:t xml:space="preserve"> = </w:t>
      </w:r>
      <w:r>
        <w:rPr>
          <w:rFonts w:ascii="Consolas" w:hAnsi="Consolas"/>
        </w:rPr>
        <w:t>Compliance Agent</w:t>
      </w:r>
      <w:r>
        <w:t xml:space="preserve"> (not Data Architect)</w:t>
      </w:r>
    </w:p>
    <w:p>
      <w:pPr>
        <w:pStyle w:val="ListBullet"/>
      </w:pPr>
      <w:r>
        <w:rPr>
          <w:rFonts w:ascii="Consolas" w:hAnsi="Consolas"/>
        </w:rPr>
        <w:t>AGENT-09</w:t>
      </w:r>
      <w:r>
        <w:t xml:space="preserve"> = </w:t>
      </w:r>
      <w:r>
        <w:rPr>
          <w:rFonts w:ascii="Consolas" w:hAnsi="Consolas"/>
        </w:rPr>
        <w:t>Hardware-Mapping Injector</w:t>
      </w:r>
      <w:r>
        <w:t xml:space="preserve"> (not Version Control)</w:t>
      </w:r>
    </w:p>
    <w:p>
      <w:pPr>
        <w:pStyle w:val="ListBullet"/>
      </w:pPr>
      <w:r>
        <w:rPr>
          <w:rFonts w:ascii="Consolas" w:hAnsi="Consolas"/>
        </w:rPr>
        <w:t>AGENT-11</w:t>
      </w:r>
      <w:r>
        <w:t xml:space="preserve"> = </w:t>
      </w:r>
      <w:r>
        <w:rPr>
          <w:rFonts w:ascii="Consolas" w:hAnsi="Consolas"/>
        </w:rPr>
        <w:t>Deployment Agent</w:t>
      </w:r>
      <w:r>
        <w:t xml:space="preserve"> (DevOps capability is runtime/service behavior, not a separate canonical registry name)</w:t>
      </w:r>
    </w:p>
    <w:p>
      <w:pPr>
        <w:pStyle w:val="Heading3"/>
      </w:pPr>
      <w:r>
        <w:t>Pod alias remap</w:t>
      </w:r>
    </w:p>
    <w:p>
      <w:pPr>
        <w:pStyle w:val="ListBullet"/>
      </w:pPr>
      <w:r>
        <w:rPr>
          <w:rFonts w:ascii="Consolas" w:hAnsi="Consolas"/>
        </w:rPr>
        <w:t>MGR-POD-A/B/C/D</w:t>
      </w:r>
      <w:r>
        <w:t xml:space="preserve"> -&gt; </w:t>
      </w:r>
      <w:r>
        <w:rPr>
          <w:rFonts w:ascii="Consolas" w:hAnsi="Consolas"/>
        </w:rPr>
        <w:t>AGENT-12/18/24/30</w:t>
      </w:r>
    </w:p>
    <w:p>
      <w:pPr>
        <w:pStyle w:val="ListBullet"/>
      </w:pPr>
      <w:r>
        <w:rPr>
          <w:rFonts w:ascii="Consolas" w:hAnsi="Consolas"/>
        </w:rPr>
        <w:t>AGENT-PY/JS/RUBY/PHP</w:t>
      </w:r>
      <w:r>
        <w:t xml:space="preserve"> -&gt; </w:t>
      </w:r>
      <w:r>
        <w:rPr>
          <w:rFonts w:ascii="Consolas" w:hAnsi="Consolas"/>
        </w:rPr>
        <w:t>AGENT-14/15/16/17</w:t>
      </w:r>
    </w:p>
    <w:p>
      <w:pPr>
        <w:pStyle w:val="ListBullet"/>
      </w:pPr>
      <w:r>
        <w:rPr>
          <w:rFonts w:ascii="Consolas" w:hAnsi="Consolas"/>
        </w:rPr>
        <w:t>AGENT-C/CPP/RUST/ZIG</w:t>
      </w:r>
      <w:r>
        <w:t xml:space="preserve"> -&gt; </w:t>
      </w:r>
      <w:r>
        <w:rPr>
          <w:rFonts w:ascii="Consolas" w:hAnsi="Consolas"/>
        </w:rPr>
        <w:t>AGENT-20/21/22/23</w:t>
      </w:r>
    </w:p>
    <w:p>
      <w:pPr>
        <w:pStyle w:val="ListBullet"/>
      </w:pPr>
      <w:r>
        <w:rPr>
          <w:rFonts w:ascii="Consolas" w:hAnsi="Consolas"/>
        </w:rPr>
        <w:t>AGENT-JAVA/CS/SCALA/KOTLIN</w:t>
      </w:r>
      <w:r>
        <w:t xml:space="preserve"> -&gt; </w:t>
      </w:r>
      <w:r>
        <w:rPr>
          <w:rFonts w:ascii="Consolas" w:hAnsi="Consolas"/>
        </w:rPr>
        <w:t>AGENT-26/27/28/29</w:t>
      </w:r>
    </w:p>
    <w:p>
      <w:pPr>
        <w:pStyle w:val="ListBullet"/>
      </w:pPr>
      <w:r>
        <w:rPr>
          <w:rFonts w:ascii="Consolas" w:hAnsi="Consolas"/>
        </w:rPr>
        <w:t>AGENT-MATLAB/R/JULIA/MATH</w:t>
      </w:r>
      <w:r>
        <w:t xml:space="preserve"> -&gt; </w:t>
      </w:r>
      <w:r>
        <w:rPr>
          <w:rFonts w:ascii="Consolas" w:hAnsi="Consolas"/>
        </w:rPr>
        <w:t>AGENT-32/33/34/35</w:t>
      </w:r>
    </w:p>
    <w:p>
      <w:pPr>
        <w:pStyle w:val="Heading2"/>
      </w:pPr>
      <w:r>
        <w:t>Audit Model Reconciliation</w:t>
      </w:r>
    </w:p>
    <w:p>
      <w:r>
        <w:t>The Word document describes four global audit personas (</w:t>
      </w:r>
      <w:r>
        <w:rPr>
          <w:rFonts w:ascii="Consolas" w:hAnsi="Consolas"/>
        </w:rPr>
        <w:t>AUDIT-CORRECT</w:t>
      </w:r>
      <w:r>
        <w:t xml:space="preserve">, </w:t>
      </w:r>
      <w:r>
        <w:rPr>
          <w:rFonts w:ascii="Consolas" w:hAnsi="Consolas"/>
        </w:rPr>
        <w:t>AUDIT-PERF</w:t>
      </w:r>
      <w:r>
        <w:t xml:space="preserve">, </w:t>
      </w:r>
      <w:r>
        <w:rPr>
          <w:rFonts w:ascii="Consolas" w:hAnsi="Consolas"/>
        </w:rPr>
        <w:t>AUDIT-LEAD</w:t>
      </w:r>
      <w:r>
        <w:t xml:space="preserve">, </w:t>
      </w:r>
      <w:r>
        <w:rPr>
          <w:rFonts w:ascii="Consolas" w:hAnsi="Consolas"/>
        </w:rPr>
        <w:t>AUDIT-COMP</w:t>
      </w:r>
      <w:r>
        <w:t>).</w:t>
      </w:r>
    </w:p>
    <w:p>
      <w:r>
        <w:t>In current implementation these are represented as:</w:t>
      </w:r>
    </w:p>
    <w:p>
      <w:pPr>
        <w:pStyle w:val="ListBullet"/>
      </w:pPr>
      <w:r>
        <w:t>Pod-level audit ownership (</w:t>
      </w:r>
      <w:r>
        <w:rPr>
          <w:rFonts w:ascii="Consolas" w:hAnsi="Consolas"/>
        </w:rPr>
        <w:t>AGENT-13/19/25/31</w:t>
      </w:r>
      <w:r>
        <w:t>)</w:t>
      </w:r>
    </w:p>
    <w:p>
      <w:pPr>
        <w:pStyle w:val="ListBullet"/>
      </w:pPr>
      <w:r>
        <w:t>Support controls (</w:t>
      </w:r>
      <w:r>
        <w:rPr>
          <w:rFonts w:ascii="Consolas" w:hAnsi="Consolas"/>
        </w:rPr>
        <w:t>AGENT-05 Security</w:t>
      </w:r>
      <w:r>
        <w:t xml:space="preserve">, </w:t>
      </w:r>
      <w:r>
        <w:rPr>
          <w:rFonts w:ascii="Consolas" w:hAnsi="Consolas"/>
        </w:rPr>
        <w:t>AGENT-08 Compliance</w:t>
      </w:r>
      <w:r>
        <w:t xml:space="preserve">, </w:t>
      </w:r>
      <w:r>
        <w:rPr>
          <w:rFonts w:ascii="Consolas" w:hAnsi="Consolas"/>
        </w:rPr>
        <w:t>AGENT-10 Tester</w:t>
      </w:r>
      <w:r>
        <w:t>)</w:t>
      </w:r>
    </w:p>
    <w:p>
      <w:pPr>
        <w:pStyle w:val="ListBullet"/>
      </w:pPr>
      <w:r>
        <w:t>Audit worker runtime service behavior</w:t>
      </w:r>
    </w:p>
    <w:p>
      <w:r>
        <w:t>Treat the four audit personas as quality dimensions, not additional canonical registry IDs.</w:t>
      </w:r>
    </w:p>
    <w:p>
      <w:pPr>
        <w:pStyle w:val="Heading2"/>
      </w:pPr>
      <w:r>
        <w:t>Runtime Truth for Mission Phases</w:t>
      </w:r>
    </w:p>
    <w:p>
      <w:pPr>
        <w:pStyle w:val="ListBullet"/>
      </w:pPr>
      <w:r>
        <w:t xml:space="preserve">Authoritative mission states remain: </w:t>
      </w:r>
      <w:r>
        <w:rPr>
          <w:rFonts w:ascii="Consolas" w:hAnsi="Consolas"/>
        </w:rPr>
        <w:t>QUEUED -&gt; RUNNING -&gt; VERIFIED -&gt; COMPLETE</w:t>
      </w:r>
      <w:r>
        <w:t>.</w:t>
      </w:r>
    </w:p>
    <w:p>
      <w:pPr>
        <w:pStyle w:val="ListBullet"/>
      </w:pPr>
      <w:r>
        <w:t xml:space="preserve">Smelt-cycle UX phases are derived from timeline events (including running checkpoints like </w:t>
      </w:r>
      <w:r>
        <w:rPr>
          <w:rFonts w:ascii="Consolas" w:hAnsi="Consolas"/>
        </w:rPr>
        <w:t>MISSION_GATING</w:t>
      </w:r>
      <w:r>
        <w:t xml:space="preserve">, </w:t>
      </w:r>
      <w:r>
        <w:rPr>
          <w:rFonts w:ascii="Consolas" w:hAnsi="Consolas"/>
        </w:rPr>
        <w:t>MISSION_FUSION</w:t>
      </w:r>
      <w:r>
        <w:t>) and not a separate hardcoded 7-state backend machine.</w:t>
      </w:r>
    </w:p>
    <w:p>
      <w:pPr>
        <w:pStyle w:val="Heading2"/>
      </w:pPr>
      <w:r>
        <w:t>Enforcement Requirement for Strict PM -&gt; CEO Routing</w:t>
      </w:r>
    </w:p>
    <w:p>
      <w:r>
        <w:t>To enforce strict per-agent routing (instead of shared-worker handling):</w:t>
      </w:r>
    </w:p>
    <w:p>
      <w:pPr>
        <w:pStyle w:val="ListNumber"/>
      </w:pPr>
      <w:r>
        <w:t xml:space="preserve">Run dedicated profile: </w:t>
      </w:r>
      <w:r>
        <w:rPr>
          <w:rFonts w:ascii="Consolas" w:hAnsi="Consolas"/>
        </w:rPr>
        <w:t>--profile dedicated-agents</w:t>
      </w:r>
    </w:p>
    <w:p>
      <w:pPr>
        <w:pStyle w:val="ListNumber"/>
      </w:pPr>
      <w:r>
        <w:t xml:space="preserve">Set </w:t>
      </w:r>
      <w:r>
        <w:rPr>
          <w:rFonts w:ascii="Consolas" w:hAnsi="Consolas"/>
        </w:rPr>
        <w:t>AGENT_BINDING</w:t>
      </w:r>
      <w:r>
        <w:t xml:space="preserve"> on dedicated workers</w:t>
      </w:r>
    </w:p>
    <w:p>
      <w:pPr>
        <w:pStyle w:val="ListNumber"/>
      </w:pPr>
      <w:r>
        <w:t>Pass mission target metadata (</w:t>
      </w:r>
      <w:r>
        <w:rPr>
          <w:rFonts w:ascii="Consolas" w:hAnsi="Consolas"/>
        </w:rPr>
        <w:t>agent_id</w:t>
      </w:r>
      <w:r>
        <w:t xml:space="preserve"> / </w:t>
      </w:r>
      <w:r>
        <w:rPr>
          <w:rFonts w:ascii="Consolas" w:hAnsi="Consolas"/>
        </w:rPr>
        <w:t>selected_agent_id</w:t>
      </w:r>
      <w:r>
        <w:t>) for scheduler matching</w:t>
      </w:r>
    </w:p>
    <w:p>
      <w:r>
        <w:t>Without dedicated binding, default shared workers can process missions without strict PM-&gt;CEO gate enforcement.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