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8A6D2A"/>
          <w:sz w:val="52"/>
        </w:rPr>
        <w:t>MISSION CTRL · SÉNÉGAL</w:t>
      </w:r>
    </w:p>
    <w:p>
      <w:pPr>
        <w:jc w:val="left"/>
      </w:pPr>
      <w:r>
        <w:rPr>
          <w:b/>
          <w:color w:val="8A6D2A"/>
          <w:sz w:val="36"/>
        </w:rPr>
        <w:t>Stratégie de commercialisation à d'autres structures</w:t>
      </w:r>
    </w:p>
    <w:p>
      <w:r>
        <w:rPr>
          <w:i/>
          <w:color w:val="555555"/>
          <w:sz w:val="24"/>
        </w:rPr>
        <w:t>Note de synthèse — comment adapter et vendre l'application, à qui, et comment convaincre</w:t>
      </w:r>
    </w:p>
    <w:p>
      <w:r>
        <w:rPr>
          <w:color w:val="555555"/>
          <w:sz w:val="18"/>
        </w:rPr>
        <w:t>Document confidentiel — usage interne</w:t>
      </w:r>
    </w:p>
    <w:p/>
    <w:p>
      <w:pPr>
        <w:spacing w:before="440" w:after="160"/>
        <w:pBdr>
          <w:bottom w:val="single" w:sz="6" w:space="4" w:color="8A6D2A"/>
        </w:pBdr>
      </w:pPr>
      <w:r>
        <w:rPr>
          <w:b/>
          <w:color w:val="8A6D2A"/>
          <w:sz w:val="32"/>
        </w:rPr>
        <w:t>1. Rappel du produit</w:t>
      </w:r>
    </w:p>
    <w:p>
      <w:pPr>
        <w:spacing w:after="120"/>
      </w:pPr>
      <w:r>
        <w:rPr>
          <w:sz w:val="22"/>
        </w:rPr>
        <w:t>MISSION CTRL SÉNÉGAL V3 est une PWA (application web installable) de pilotage de mission documentaire photographique multi-sites : 17 modules (« agents ») couvrant coordination (COO), finances, terrain/GPS, juridique (autorisations par site), logistique, éditorial/artistique (IA), commercial, crowdfunding, gestion des risques, météo, achats, distribution, digital, etc. Architecture offline-first (IndexedDB) avec synchronisation cloud (Supabase), fonctionnelle sans connexion réseau — pensée pour du terrain en zone peu connectée.</w:t>
      </w:r>
    </w:p>
    <w:p>
      <w:pPr>
        <w:spacing w:after="120"/>
      </w:pPr>
      <w:r>
        <w:rPr>
          <w:sz w:val="22"/>
        </w:rPr>
        <w:t>Le cœur de l'outil (coordination logistique + juridique + financière + éditoriale, multi-sites, hors-ligne) n'a rien de spécifique au Sénégal : c'est le contenu (liste de sites, prompts IA, branding) qui l'est. C'est ce qui rend une commercialisation à d'autres structures réaliste.</w:t>
      </w:r>
    </w:p>
    <w:p>
      <w:pPr>
        <w:spacing w:before="440" w:after="160"/>
        <w:pBdr>
          <w:bottom w:val="single" w:sz="6" w:space="4" w:color="8A6D2A"/>
        </w:pBdr>
      </w:pPr>
      <w:r>
        <w:rPr>
          <w:b/>
          <w:color w:val="8A6D2A"/>
          <w:sz w:val="32"/>
        </w:rPr>
        <w:t>2. Ce qu'il faut changer pour le vendre</w:t>
      </w:r>
    </w:p>
    <w:p>
      <w:pPr>
        <w:pStyle w:val="ListBullet"/>
        <w:spacing w:after="60"/>
      </w:pPr>
      <w:r>
        <w:rPr>
          <w:b/>
        </w:rPr>
        <w:t xml:space="preserve">Sortir la donnée du code. </w:t>
      </w:r>
      <w:r>
        <w:t>Aujourd'hui la liste des sites, le budget, les 17 modules sont codés en dur dans index.html. Il faut que ce soit configurable par client sans toucher au code.</w:t>
      </w:r>
    </w:p>
    <w:p>
      <w:pPr>
        <w:pStyle w:val="ListBullet"/>
        <w:spacing w:after="60"/>
      </w:pPr>
      <w:r>
        <w:rPr>
          <w:b/>
        </w:rPr>
        <w:t xml:space="preserve">Choisir un modèle de déploiement. </w:t>
      </w:r>
      <w:r>
        <w:t>Le plus réaliste pour un développeur solo : un déploiement Vercel + un projet Supabase par client, forkés depuis un template propre (« white-label » à l'instance). Un vrai multi-tenant (une seule appli, plusieurs clients isolés) serait plus scalable mais représente un chantier à n'envisager que si la demande est forte.</w:t>
      </w:r>
    </w:p>
    <w:p>
      <w:pPr>
        <w:pStyle w:val="ListBullet"/>
        <w:spacing w:after="60"/>
      </w:pPr>
      <w:r>
        <w:rPr>
          <w:b/>
        </w:rPr>
        <w:t xml:space="preserve">Génériser les 17 modules. </w:t>
      </w:r>
      <w:r>
        <w:t>Tous les modules ne s'appliquent pas à tous les clients : un socle commun (Financier, Logistique, Juridique, Terrain, Risk Manager, sync offline) + des modules optionnels activables selon le secteur.</w:t>
      </w:r>
    </w:p>
    <w:p>
      <w:pPr>
        <w:pStyle w:val="ListBullet"/>
        <w:spacing w:after="60"/>
      </w:pPr>
      <w:r>
        <w:rPr>
          <w:b/>
        </w:rPr>
        <w:t xml:space="preserve">Dépersonnaliser les contenus IA. </w:t>
      </w:r>
      <w:r>
        <w:t>Les prompts IA sont actuellement écrits pour une mission documentaire photographique Sénégal ; à réécrire par verticale.</w:t>
      </w:r>
    </w:p>
    <w:p>
      <w:pPr>
        <w:pStyle w:val="ListBullet"/>
        <w:spacing w:after="60"/>
      </w:pPr>
      <w:r>
        <w:rPr>
          <w:b/>
        </w:rPr>
        <w:t xml:space="preserve">Nettoyer les secrets. </w:t>
      </w:r>
      <w:r>
        <w:t>Retirer les identifiants (Twilio, webhook Make.com) du template de base avant tout fork client.</w:t>
      </w:r>
    </w:p>
    <w:p>
      <w:pPr>
        <w:spacing w:before="440" w:after="160"/>
        <w:pBdr>
          <w:bottom w:val="single" w:sz="6" w:space="4" w:color="8A6D2A"/>
        </w:pBdr>
      </w:pPr>
      <w:r>
        <w:rPr>
          <w:b/>
          <w:color w:val="8A6D2A"/>
          <w:sz w:val="32"/>
        </w:rPr>
        <w:t>3. Structures cibles, par catégorie</w:t>
      </w:r>
    </w:p>
    <w:p>
      <w:pPr>
        <w:spacing w:before="280" w:after="80"/>
      </w:pPr>
      <w:r>
        <w:rPr>
          <w:b/>
          <w:color w:val="1A1A1A"/>
          <w:sz w:val="26"/>
        </w:rPr>
        <w:t>3.1 Productions documentaires / photo multi-sites</w:t>
      </w:r>
    </w:p>
    <w:p>
      <w:pPr>
        <w:spacing w:after="120"/>
      </w:pPr>
      <w:r>
        <w:rPr>
          <w:sz w:val="22"/>
        </w:rPr>
        <w:t>Fit natif ~90 %, quasi tous les modules. C'est le cas d'usage d'origine — effort de conversion minimal. Priorité n°1.</w:t>
      </w:r>
    </w:p>
    <w:p>
      <w:r>
        <w:rPr>
          <w:b/>
          <w:sz w:val="21"/>
        </w:rPr>
        <w:t xml:space="preserve">Modules à garder : </w:t>
      </w:r>
      <w:r>
        <w:rPr>
          <w:sz w:val="21"/>
        </w:rPr>
        <w:t>COO, Terrain, Artistique, Éditorial, Correcteur, Distribution, Digital, Météo, Logistique, Achats, Financial, Vault, Commercial, Crowdfunding, Risk Manager, Juridique.</w:t>
      </w:r>
    </w:p>
    <w:p>
      <w:r>
        <w:rPr>
          <w:b/>
          <w:sz w:val="21"/>
        </w:rPr>
        <w:t xml:space="preserve">Modules à désactiver : </w:t>
      </w:r>
      <w:r>
        <w:rPr>
          <w:color w:val="555555"/>
          <w:sz w:val="21"/>
        </w:rPr>
        <w:t>aucun</w:t>
      </w:r>
    </w:p>
    <w:p>
      <w:pPr>
        <w:spacing w:before="280" w:after="80"/>
      </w:pPr>
      <w:r>
        <w:rPr>
          <w:b/>
          <w:color w:val="1A1A1A"/>
          <w:sz w:val="26"/>
        </w:rPr>
        <w:t>3.2 Confréries religieuses / grands pèlerinages</w:t>
      </w:r>
    </w:p>
    <w:p>
      <w:pPr>
        <w:spacing w:after="120"/>
      </w:pPr>
      <w:r>
        <w:rPr>
          <w:sz w:val="22"/>
        </w:rPr>
        <w:t>Fit structurel très fort : le module Juridique gère déjà des autorisations par confrérie (Tivaouane, Médina Baye). Priorité n°1 également — conversion quasi nulle.</w:t>
      </w:r>
    </w:p>
    <w:p>
      <w:r>
        <w:rPr>
          <w:b/>
          <w:sz w:val="21"/>
        </w:rPr>
        <w:t xml:space="preserve">Modules à garder : </w:t>
      </w:r>
      <w:r>
        <w:rPr>
          <w:sz w:val="21"/>
        </w:rPr>
        <w:t>Juridique (autorisations/coordination autorités), Logistique, Financial, Terrain (GPS/flux), Risk Manager, Météo, CM.</w:t>
      </w:r>
    </w:p>
    <w:p>
      <w:r>
        <w:rPr>
          <w:b/>
          <w:sz w:val="21"/>
        </w:rPr>
        <w:t xml:space="preserve">Modules à désactiver : </w:t>
      </w:r>
      <w:r>
        <w:rPr>
          <w:color w:val="555555"/>
          <w:sz w:val="21"/>
        </w:rPr>
        <w:t>Artistique, Éditorial, Distribution (sauf si livre-souvenir prévu).</w:t>
      </w:r>
    </w:p>
    <w:p>
      <w:r>
        <w:rPr>
          <w:b/>
          <w:sz w:val="21"/>
        </w:rPr>
        <w:t xml:space="preserve">Structures identifiées : </w:t>
      </w:r>
      <w:r>
        <w:rPr>
          <w:sz w:val="21"/>
        </w:rPr>
        <w:t xml:space="preserve">Comité d'organisation du Grand Magal de Touba (mandaté par le Khalife général des Mourides, Serigne Mountakha Mbacké ; présidé par Serigne Bassirou Mbacké ibn Serigne Abdou Khadre Mbacké) ; </w:t>
      </w:r>
      <w:r>
        <w:rPr>
          <w:sz w:val="21"/>
        </w:rPr>
        <w:t xml:space="preserve">Khalifat général de Tivaouane (Tidianes) ; </w:t>
      </w:r>
      <w:r>
        <w:rPr>
          <w:sz w:val="21"/>
        </w:rPr>
        <w:t>Khalifat général de Médina Baye (Niassène)</w:t>
      </w:r>
    </w:p>
    <w:p>
      <w:pPr>
        <w:spacing w:before="280" w:after="80"/>
      </w:pPr>
      <w:r>
        <w:rPr>
          <w:b/>
          <w:color w:val="1A1A1A"/>
          <w:sz w:val="26"/>
        </w:rPr>
        <w:t>3.3 ONG / agences de développement</w:t>
      </w:r>
    </w:p>
    <w:p>
      <w:pPr>
        <w:spacing w:after="120"/>
      </w:pPr>
      <w:r>
        <w:rPr>
          <w:sz w:val="22"/>
        </w:rPr>
        <w:t>Marché plus large que la photo, budget institutionnel plus solide. L'argument clé n'est pas le contenu créatif mais le offline-first + sync en zone rurale. Priorité n°2.</w:t>
      </w:r>
    </w:p>
    <w:p>
      <w:r>
        <w:rPr>
          <w:b/>
          <w:sz w:val="21"/>
        </w:rPr>
        <w:t xml:space="preserve">Modules à garder : </w:t>
      </w:r>
      <w:r>
        <w:rPr>
          <w:sz w:val="21"/>
        </w:rPr>
        <w:t>COO, Financial, Terrain, Logistique, Achats, Juridique (autorisations locales), Risk Manager, Météo, Vault (données sensibles).</w:t>
      </w:r>
    </w:p>
    <w:p>
      <w:r>
        <w:rPr>
          <w:b/>
          <w:sz w:val="21"/>
        </w:rPr>
        <w:t xml:space="preserve">Modules à désactiver : </w:t>
      </w:r>
      <w:r>
        <w:rPr>
          <w:color w:val="555555"/>
          <w:sz w:val="21"/>
        </w:rPr>
        <w:t>Artistique, Éditorial/Correcteur, Distribution, Crowdfunding, Commercial (sauf reporting bailleurs).</w:t>
      </w:r>
    </w:p>
    <w:p>
      <w:r>
        <w:rPr>
          <w:b/>
          <w:sz w:val="21"/>
        </w:rPr>
        <w:t xml:space="preserve">Structures identifiées : </w:t>
      </w:r>
      <w:r>
        <w:rPr>
          <w:sz w:val="21"/>
        </w:rPr>
        <w:t xml:space="preserve">La Chaîne de l'Espoir (projets médicaux/biomédicaux multi-sites au Sénégal) ; </w:t>
      </w:r>
      <w:r>
        <w:rPr>
          <w:sz w:val="21"/>
        </w:rPr>
        <w:t xml:space="preserve">Secours Islamique France (coordination de programmes terrain) ; </w:t>
      </w:r>
      <w:r>
        <w:rPr>
          <w:sz w:val="21"/>
        </w:rPr>
        <w:t xml:space="preserve">ALIMA (missions médicales/humanitaires, base Dakar) ; </w:t>
      </w:r>
      <w:r>
        <w:rPr>
          <w:sz w:val="21"/>
        </w:rPr>
        <w:t>Points d'entrée groupés : CONGAD (plateforme des ONG sénégalaises), Plateforme des ONG européennes au Sénégal (PFONGUE)</w:t>
      </w:r>
    </w:p>
    <w:p>
      <w:pPr>
        <w:spacing w:before="280" w:after="80"/>
      </w:pPr>
      <w:r>
        <w:rPr>
          <w:b/>
          <w:color w:val="1A1A1A"/>
          <w:sz w:val="26"/>
        </w:rPr>
        <w:t>3.4 Ministères / agences du patrimoine et de la culture</w:t>
      </w:r>
    </w:p>
    <w:p>
      <w:pPr>
        <w:spacing w:after="120"/>
      </w:pPr>
      <w:r>
        <w:rPr>
          <w:sz w:val="22"/>
        </w:rPr>
        <w:t>Mandat légal actif (décret 2001-1065) jamais totalement rempli depuis 2001, seuls 255 sites classés sur des milliers identifiés. L'UNESCO a déjà financé un appui à l'inventaire — partenaire de financement potentiel déjà identifié.</w:t>
      </w:r>
    </w:p>
    <w:p>
      <w:r>
        <w:rPr>
          <w:b/>
          <w:sz w:val="21"/>
        </w:rPr>
        <w:t xml:space="preserve">Modules à garder : </w:t>
      </w:r>
      <w:r>
        <w:rPr>
          <w:sz w:val="21"/>
        </w:rPr>
        <w:t>Terrain, Juridique (statut classé/à classer par site), Vault (fiches techniques), Financial, Logistique, Éditorial/Correcteur (fiches patrimoniales), Distribution.</w:t>
      </w:r>
    </w:p>
    <w:p>
      <w:r>
        <w:rPr>
          <w:b/>
          <w:sz w:val="21"/>
        </w:rPr>
        <w:t xml:space="preserve">Modules à désactiver : </w:t>
      </w:r>
      <w:r>
        <w:rPr>
          <w:color w:val="555555"/>
          <w:sz w:val="21"/>
        </w:rPr>
        <w:t>Commercial, Crowdfunding, Artistique (sauf mission photographique associée).</w:t>
      </w:r>
    </w:p>
    <w:p>
      <w:r>
        <w:rPr>
          <w:b/>
          <w:sz w:val="21"/>
        </w:rPr>
        <w:t xml:space="preserve">Structures identifiées : </w:t>
      </w:r>
      <w:r>
        <w:rPr>
          <w:sz w:val="21"/>
        </w:rPr>
        <w:t>Direction du Patrimoine culturel — Secrétariat d'État à la Culture, aux Industries créatives et au Patrimoine Historique (Sénégal)</w:t>
      </w:r>
    </w:p>
    <w:p>
      <w:pPr>
        <w:spacing w:before="280" w:after="80"/>
      </w:pPr>
      <w:r>
        <w:rPr>
          <w:b/>
          <w:color w:val="1A1A1A"/>
          <w:sz w:val="26"/>
        </w:rPr>
        <w:t>3.5 Productions audiovisuelles (repérages tournage)</w:t>
      </w:r>
    </w:p>
    <w:p>
      <w:pPr>
        <w:spacing w:after="120"/>
      </w:pPr>
      <w:r>
        <w:rPr>
          <w:sz w:val="22"/>
        </w:rPr>
        <w:t>Juridique + Logistique + Financial se transposent presque tel quel à la gestion de permis de tournage multi-lieux.</w:t>
      </w:r>
    </w:p>
    <w:p>
      <w:r>
        <w:rPr>
          <w:b/>
          <w:sz w:val="21"/>
        </w:rPr>
        <w:t xml:space="preserve">Modules à garder : </w:t>
      </w:r>
      <w:r>
        <w:rPr>
          <w:sz w:val="21"/>
        </w:rPr>
        <w:t>Terrain (GPS multi-lieux), Juridique (permis de tournage par lieu), Logistique, Achats, Financial, Risk Manager, Météo, Commercial, CM/Digital.</w:t>
      </w:r>
    </w:p>
    <w:p>
      <w:r>
        <w:rPr>
          <w:b/>
          <w:sz w:val="21"/>
        </w:rPr>
        <w:t xml:space="preserve">Modules à désactiver : </w:t>
      </w:r>
      <w:r>
        <w:rPr>
          <w:color w:val="555555"/>
          <w:sz w:val="21"/>
        </w:rPr>
        <w:t>Éditorial, Correcteur, Distribution (sauf making-of).</w:t>
      </w:r>
    </w:p>
    <w:p>
      <w:pPr>
        <w:spacing w:before="280" w:after="80"/>
      </w:pPr>
      <w:r>
        <w:rPr>
          <w:b/>
          <w:color w:val="1A1A1A"/>
          <w:sz w:val="26"/>
        </w:rPr>
        <w:t>3.6 Expéditions scientifiques / instituts de recherche</w:t>
      </w:r>
    </w:p>
    <w:p>
      <w:pPr>
        <w:spacing w:after="120"/>
      </w:pPr>
      <w:r>
        <w:rPr>
          <w:sz w:val="22"/>
        </w:rPr>
        <w:t>Budget public contraint — le bon levier est l'échange valeur/visibilité (licence gratuite contre étude de cas publiable) plutôt que la vente directe.</w:t>
      </w:r>
    </w:p>
    <w:p>
      <w:r>
        <w:rPr>
          <w:b/>
          <w:sz w:val="21"/>
        </w:rPr>
        <w:t xml:space="preserve">Modules à garder : </w:t>
      </w:r>
      <w:r>
        <w:rPr>
          <w:sz w:val="21"/>
        </w:rPr>
        <w:t>Terrain, Financial, Logistique, Achats, Juridique (permis d'accès/recherche), Risk Manager, Météo, Vault, Éditorial/Correcteur.</w:t>
      </w:r>
    </w:p>
    <w:p>
      <w:r>
        <w:rPr>
          <w:b/>
          <w:sz w:val="21"/>
        </w:rPr>
        <w:t xml:space="preserve">Modules à désactiver : </w:t>
      </w:r>
      <w:r>
        <w:rPr>
          <w:color w:val="555555"/>
          <w:sz w:val="21"/>
        </w:rPr>
        <w:t>Commercial, Distribution, Artistique.</w:t>
      </w:r>
    </w:p>
    <w:p>
      <w:r>
        <w:rPr>
          <w:b/>
          <w:sz w:val="21"/>
        </w:rPr>
        <w:t xml:space="preserve">Structures identifiées : </w:t>
      </w:r>
      <w:r>
        <w:rPr>
          <w:sz w:val="21"/>
        </w:rPr>
        <w:t>IFAN Cheikh Anta Diop (Institut Fondamental d'Afrique Noire, Dakar) — recherche de terrain sur tout le territoire</w:t>
      </w:r>
    </w:p>
    <w:p>
      <w:pPr>
        <w:spacing w:before="280" w:after="80"/>
      </w:pPr>
      <w:r>
        <w:rPr>
          <w:b/>
          <w:color w:val="1A1A1A"/>
          <w:sz w:val="26"/>
        </w:rPr>
        <w:t>3.7 Éditeurs (beaux-livres / reportages avec expédition terrain)</w:t>
      </w:r>
    </w:p>
    <w:p>
      <w:pPr>
        <w:spacing w:after="120"/>
      </w:pPr>
      <w:r>
        <w:rPr>
          <w:sz w:val="22"/>
        </w:rPr>
        <w:t>Fit très proche du cas d'origine — vous avez déjà le pipeline complet de production d'un livre collector.</w:t>
      </w:r>
    </w:p>
    <w:p>
      <w:r>
        <w:rPr>
          <w:b/>
          <w:sz w:val="21"/>
        </w:rPr>
        <w:t xml:space="preserve">Modules à garder : </w:t>
      </w:r>
      <w:r>
        <w:rPr>
          <w:sz w:val="21"/>
        </w:rPr>
        <w:t>Éditorial, Correcteur, Artistique, Distribution, Financial, Vault, Commercial, Crowdfunding, Terrain, Logistique.</w:t>
      </w:r>
    </w:p>
    <w:p>
      <w:r>
        <w:rPr>
          <w:b/>
          <w:sz w:val="21"/>
        </w:rPr>
        <w:t xml:space="preserve">Modules à désactiver : </w:t>
      </w:r>
      <w:r>
        <w:rPr>
          <w:color w:val="555555"/>
          <w:sz w:val="21"/>
        </w:rPr>
        <w:t>aucun</w:t>
      </w:r>
    </w:p>
    <w:p>
      <w:pPr>
        <w:spacing w:before="40"/>
      </w:pPr>
      <w:r>
        <w:rPr>
          <w:i/>
          <w:color w:val="555555"/>
          <w:sz w:val="17"/>
        </w:rPr>
        <w:t>Sources vérifiées (recherche web, juillet 2026) : RTS.sn, magal-touba.org, culture.gouv.sn, whc.unesco.org (UNESCO), coordinationsud.org, congad.sn, pfongue.org. Les structures citées sont des cibles de prospection identifiées à partir de sources publiques — aucune démarche commerciale n'a été engagée auprès d'elles à ce stade.</w:t>
      </w:r>
    </w:p>
    <w:p>
      <w:pPr>
        <w:spacing w:before="440" w:after="160"/>
        <w:pBdr>
          <w:bottom w:val="single" w:sz="6" w:space="4" w:color="8A6D2A"/>
        </w:pBdr>
      </w:pPr>
      <w:r>
        <w:rPr>
          <w:b/>
          <w:color w:val="8A6D2A"/>
          <w:sz w:val="32"/>
        </w:rPr>
        <w:t>4. Comment les convaincre</w:t>
      </w:r>
    </w:p>
    <w:p>
      <w:pPr>
        <w:spacing w:before="280" w:after="80"/>
      </w:pPr>
      <w:r>
        <w:rPr>
          <w:b/>
          <w:color w:val="1A1A1A"/>
          <w:sz w:val="26"/>
        </w:rPr>
        <w:t>Principes transversaux</w:t>
      </w:r>
    </w:p>
    <w:p>
      <w:pPr>
        <w:pStyle w:val="ListBullet"/>
        <w:spacing w:after="60"/>
      </w:pPr>
      <w:r>
        <w:t>Ne jamais pitcher générique : démo pré-remplie avec les données réelles du prospect, pas la démo Sénégal.</w:t>
      </w:r>
    </w:p>
    <w:p>
      <w:pPr>
        <w:pStyle w:val="ListBullet"/>
        <w:spacing w:after="60"/>
      </w:pPr>
      <w:r>
        <w:t>Utiliser la preuve existante : mission réelle déjà pilotée (36 sites, 56 jours, 100 M FCFA, sync offline validée) comme démonstration, pas un concept.</w:t>
      </w:r>
    </w:p>
    <w:p>
      <w:pPr>
        <w:pStyle w:val="ListBullet"/>
        <w:spacing w:after="60"/>
      </w:pPr>
      <w:r>
        <w:t>Vendre un pilote gratuit sur un périmètre réduit avant toute licence payante — personne ne signe sur un outil inconnu.</w:t>
      </w:r>
    </w:p>
    <w:p>
      <w:pPr>
        <w:pStyle w:val="ListBullet"/>
        <w:spacing w:after="60"/>
      </w:pPr>
      <w:r>
        <w:t>Insister sur la souveraineté des données : projet Supabase dédié et isolé par client, argument fort pour le religieux/gouvernemental/humanitaire.</w:t>
      </w:r>
    </w:p>
    <w:p>
      <w:pPr>
        <w:spacing w:before="280" w:after="80"/>
      </w:pPr>
      <w:r>
        <w:rPr>
          <w:b/>
          <w:color w:val="1A1A1A"/>
          <w:sz w:val="26"/>
        </w:rPr>
        <w:t>Grand Magal de Touba</w:t>
      </w:r>
    </w:p>
    <w:p>
      <w:pPr>
        <w:pStyle w:val="ListBullet"/>
        <w:spacing w:after="60"/>
      </w:pPr>
      <w:r>
        <w:t>Angle : ils gèrent déjà, avec des milliers de bénévoles Baye Fall, une coordination eau/santé/sécurité/énergie sur plusieurs sites — exactement la structure Terrain+Juridique+Logistique de l'outil, mais actuellement à la main.</w:t>
      </w:r>
    </w:p>
    <w:p>
      <w:pPr>
        <w:pStyle w:val="ListBullet"/>
        <w:spacing w:after="60"/>
      </w:pPr>
      <w:r>
        <w:t>Entrée : pas de démarchage direct — passer par un intermédiaire de confiance. Une approche froide sur une autorité religieuse/administrative ne fonctionne pas.</w:t>
      </w:r>
    </w:p>
    <w:p>
      <w:pPr>
        <w:pStyle w:val="ListBullet"/>
        <w:spacing w:after="60"/>
      </w:pPr>
      <w:r>
        <w:t>Pilote proposé : suivi gratuit d'UN seul chantier prioritaire (ex. réseau hydraulique) lors d'une prochaine édition, puis élargir si adopté.</w:t>
      </w:r>
    </w:p>
    <w:p>
      <w:pPr>
        <w:spacing w:before="280" w:after="80"/>
      </w:pPr>
      <w:r>
        <w:rPr>
          <w:b/>
          <w:color w:val="1A1A1A"/>
          <w:sz w:val="26"/>
        </w:rPr>
        <w:t>Direction du Patrimoine culturel</w:t>
      </w:r>
    </w:p>
    <w:p>
      <w:pPr>
        <w:pStyle w:val="ListBullet"/>
        <w:spacing w:after="60"/>
      </w:pPr>
      <w:r>
        <w:t>Entrée : dossier technique formel + proposition de partenariat, pas un pitch commercial classique. Vérifier l'existence d'un appel d'offres ou d'un programme de coopération actif (UNESCO, coopération française/allemande).</w:t>
      </w:r>
    </w:p>
    <w:p>
      <w:pPr>
        <w:pStyle w:val="ListBullet"/>
        <w:spacing w:after="60"/>
      </w:pPr>
      <w:r>
        <w:t>Pilote proposé : inventaire pilote gratuit sur une région (ex. Saint-Louis, où 80 % des sites classés sont concentrés) présenté comme contribution à leur mandat légal.</w:t>
      </w:r>
    </w:p>
    <w:p>
      <w:pPr>
        <w:spacing w:before="280" w:after="80"/>
      </w:pPr>
      <w:r>
        <w:rPr>
          <w:b/>
          <w:color w:val="1A1A1A"/>
          <w:sz w:val="26"/>
        </w:rPr>
        <w:t>ONG internationales</w:t>
      </w:r>
    </w:p>
    <w:p>
      <w:pPr>
        <w:pStyle w:val="ListBullet"/>
        <w:spacing w:after="60"/>
      </w:pPr>
      <w:r>
        <w:t>Cibler le département MEAL (Monitoring, Evaluation, Accountability, Learning) ou le/la coordinateur·rice programmes, pas le siège directement.</w:t>
      </w:r>
    </w:p>
    <w:p>
      <w:pPr>
        <w:pStyle w:val="ListBullet"/>
        <w:spacing w:after="60"/>
      </w:pPr>
      <w:r>
        <w:t>Chiffrer le gain concret (temps de reporting, incidents évités, disponibilité des données sans réseau) — les ONG répondent à des indicateurs, pas à des arguments techniques.</w:t>
      </w:r>
    </w:p>
    <w:p>
      <w:pPr>
        <w:pStyle w:val="ListBullet"/>
        <w:spacing w:after="60"/>
      </w:pPr>
      <w:r>
        <w:t>Pilote proposé : un seul programme/une seule région pendant une saison, en parallèle de l'outil existant.</w:t>
      </w:r>
    </w:p>
    <w:p>
      <w:pPr>
        <w:spacing w:before="280" w:after="80"/>
      </w:pPr>
      <w:r>
        <w:rPr>
          <w:b/>
          <w:color w:val="1A1A1A"/>
          <w:sz w:val="26"/>
        </w:rPr>
        <w:t>Institut de recherche (IFAN)</w:t>
      </w:r>
    </w:p>
    <w:p>
      <w:pPr>
        <w:pStyle w:val="ListBullet"/>
        <w:spacing w:after="60"/>
      </w:pPr>
      <w:r>
        <w:t>Licence gratuite ou très réduite pour une mission en échange d'un cas d'étude publiable — bâtit la crédibilité pour les prospects suivants à moindre coût.</w:t>
      </w:r>
    </w:p>
    <w:p>
      <w:pPr>
        <w:spacing w:before="440" w:after="160"/>
        <w:pBdr>
          <w:bottom w:val="single" w:sz="6" w:space="4" w:color="8A6D2A"/>
        </w:pBdr>
      </w:pPr>
      <w:r>
        <w:rPr>
          <w:b/>
          <w:color w:val="8A6D2A"/>
          <w:sz w:val="32"/>
        </w:rPr>
        <w:t>5. Valeur de Mission Ctrl elle-même</w:t>
      </w:r>
    </w:p>
    <w:p>
      <w:pPr>
        <w:spacing w:after="120"/>
      </w:pPr>
      <w:r>
        <w:rPr>
          <w:sz w:val="22"/>
        </w:rPr>
        <w:t>L'appli couvre 17 modules fonctionnels (financier, juridique, logistique, GPS/routage, génération IA de contenu, génération de documents Word natifs, QR codes, notifications push, synchronisation multi-appareils offline-first, etc.) — un périmètre comparable à une petite plateforme ERP/terrain sur-mesure, pas une simple application vitrine.</w:t>
      </w:r>
    </w:p>
    <w:p>
      <w:pPr>
        <w:spacing w:after="120"/>
      </w:pPr>
      <w:r>
        <w:rPr>
          <w:sz w:val="22"/>
        </w:rPr>
        <w:t>Coût de reconstruction (valeur de remplacement) si commandée à une agence :</w:t>
      </w:r>
    </w:p>
    <w:p>
      <w:pPr>
        <w:pStyle w:val="ListBullet"/>
        <w:spacing w:after="60"/>
      </w:pPr>
      <w:r>
        <w:t>Agence Dakar / Afrique de l'Ouest : 20 - 40 M FCFA (~35 000 - 65 000 USD), 4 à 8 mois, équipe de 2-3 développeurs.</w:t>
      </w:r>
    </w:p>
    <w:p>
      <w:pPr>
        <w:pStyle w:val="ListBullet"/>
        <w:spacing w:after="60"/>
      </w:pPr>
      <w:r>
        <w:t>Agence internationale (Europe / USA) pour un périmètre équivalent : 50 - 120 M FCFA (~80 000 - 180 000 USD).</w:t>
      </w:r>
    </w:p>
    <w:p>
      <w:pPr>
        <w:spacing w:after="120"/>
      </w:pPr>
      <w:r>
        <w:rPr>
          <w:sz w:val="22"/>
        </w:rPr>
        <w:t>L'application a été construite en solo avec assistance IA, donc le coût réellement engagé est très inférieur à cette fourchette — mais c'est bien 20-40 M FCFA qui représente sa valeur de marché en cas de vente ou de chiffrage par un tiers.</w:t>
      </w:r>
    </w:p>
    <w:p>
      <w:pPr>
        <w:spacing w:before="40"/>
      </w:pPr>
      <w:r>
        <w:rPr>
          <w:i/>
          <w:color w:val="555555"/>
          <w:sz w:val="17"/>
        </w:rPr>
        <w:t>Conversion approximative utilisée dans tout le document : 1 USD ≈ 600 FCFA.</w:t>
      </w:r>
    </w:p>
    <w:p>
      <w:pPr>
        <w:spacing w:before="440" w:after="160"/>
        <w:pBdr>
          <w:bottom w:val="single" w:sz="6" w:space="4" w:color="8A6D2A"/>
        </w:pBdr>
      </w:pPr>
      <w:r>
        <w:rPr>
          <w:b/>
          <w:color w:val="8A6D2A"/>
          <w:sz w:val="32"/>
        </w:rPr>
        <w:t>6. Grille tarifaire indicative par client</w:t>
      </w:r>
    </w:p>
    <w:p>
      <w:pPr>
        <w:spacing w:after="120"/>
      </w:pPr>
      <w:r>
        <w:rPr>
          <w:sz w:val="22"/>
        </w:rPr>
        <w:t>Modèle retenu : frais de mise en place unique (adaptation + déploiement de l'instance dédiée) + abonnement récurrent (voir section 7 pour le détail de ce qu'il couvre). Fourchettes basées sur les réalités budgétaires de chaque secteur, à ajuster après échange réel avec chaque prospect.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8A6D2A"/>
          </w:tcPr>
          <w:p>
            <w:r/>
            <w:r>
              <w:rPr>
                <w:b/>
                <w:color w:val="FFFFFF"/>
                <w:sz w:val="20"/>
              </w:rPr>
              <w:t>Structure</w:t>
            </w:r>
          </w:p>
        </w:tc>
        <w:tc>
          <w:tcPr>
            <w:tcW w:type="dxa" w:w="2160"/>
            <w:shd w:fill="8A6D2A"/>
          </w:tcPr>
          <w:p>
            <w:r/>
            <w:r>
              <w:rPr>
                <w:b/>
                <w:color w:val="FFFFFF"/>
                <w:sz w:val="20"/>
              </w:rPr>
              <w:t>Mise en place (unique)</w:t>
            </w:r>
          </w:p>
        </w:tc>
        <w:tc>
          <w:tcPr>
            <w:tcW w:type="dxa" w:w="2160"/>
            <w:shd w:fill="8A6D2A"/>
          </w:tcPr>
          <w:p>
            <w:r/>
            <w:r>
              <w:rPr>
                <w:b/>
                <w:color w:val="FFFFFF"/>
                <w:sz w:val="20"/>
              </w:rPr>
              <w:t>Récurrent</w:t>
            </w:r>
          </w:p>
        </w:tc>
        <w:tc>
          <w:tcPr>
            <w:tcW w:type="dxa" w:w="2160"/>
            <w:shd w:fill="8A6D2A"/>
          </w:tcPr>
          <w:p>
            <w:r/>
            <w:r>
              <w:rPr>
                <w:b/>
                <w:color w:val="FFFFFF"/>
                <w:sz w:val="20"/>
              </w:rPr>
              <w:t>Logique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Productions documentaires/photo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800 k - 2 M FCFA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400 k - 1 M FCFA/an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Petites structures, budget limité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Grand Magal de Touba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 M - 10 M FCFA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 M - 6 M FCFA/édition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Enjeu sécurité publique majeur ; après le pilote gratuit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ONG internationales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1,8 M - 4,8 M FCFA (3-8 k$)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2,4 M - 9 M FCFA/an (4-15 k$)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Budgets institutionnels solides, funded USD/EUR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Direction du Patrimoine culturel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Devis projet 10 M - 25 M FCFA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— (marché public)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Cofinancement UNESCO / coopération possible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Productions audiovisuelles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M - 3 M FCFA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500 k - 2 M FCFA/tournage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Budget variable selon taille production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IFAN / recherche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Symbolique ou gratuit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500 k - 1,5 M FCFA/mission si funded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Échange contre étude de cas publiable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Éditeurs (beaux livres)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M - 2 M FCFA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500 k - 1 M FCFA/an ou par projet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Proche du cas d'origine</w:t>
            </w:r>
          </w:p>
        </w:tc>
      </w:tr>
    </w:tbl>
    <w:p/>
    <w:p>
      <w:pPr>
        <w:spacing w:after="120"/>
      </w:pPr>
      <w:r>
        <w:rPr>
          <w:sz w:val="22"/>
        </w:rPr>
        <w:t>Recommandation : ne pas figer un tarif unique dès maintenant. Utiliser les pilotes gratuits déjà proposés (section 4) pour calibrer ce que chaque structure est réellement prête à payer avant de fixer une grille définitive.</w:t>
      </w:r>
    </w:p>
    <w:p>
      <w:pPr>
        <w:spacing w:before="440" w:after="160"/>
        <w:pBdr>
          <w:bottom w:val="single" w:sz="6" w:space="4" w:color="8A6D2A"/>
        </w:pBdr>
      </w:pPr>
      <w:r>
        <w:rPr>
          <w:b/>
          <w:color w:val="8A6D2A"/>
          <w:sz w:val="32"/>
        </w:rPr>
        <w:t>7. Développer la récurrence</w:t>
      </w:r>
    </w:p>
    <w:p>
      <w:pPr>
        <w:spacing w:before="280" w:after="80"/>
      </w:pPr>
      <w:r>
        <w:rPr>
          <w:b/>
          <w:color w:val="1A1A1A"/>
          <w:sz w:val="26"/>
        </w:rPr>
        <w:t>7.1 Ce que couvre l'abonnement récurrent</w:t>
      </w:r>
    </w:p>
    <w:p>
      <w:pPr>
        <w:spacing w:after="120"/>
      </w:pPr>
      <w:r>
        <w:rPr>
          <w:sz w:val="22"/>
        </w:rPr>
        <w:t>La récurrence ne doit pas être un simple droit d'usage : elle doit correspondre à un service réel et continu, sans quoi un client cessera de payer dès que le déploiement initial le satisfait. Cinq éléments doivent être explicitement couverts et communiqués comme tels :</w:t>
      </w:r>
    </w:p>
    <w:p>
      <w:pPr>
        <w:pStyle w:val="ListBullet"/>
        <w:spacing w:after="60"/>
      </w:pPr>
      <w:r>
        <w:rPr>
          <w:b/>
        </w:rPr>
        <w:t xml:space="preserve">Hébergement — </w:t>
      </w:r>
      <w:r>
        <w:t>Hébergement dédié : instance Vercel + projet Supabase isolés pour ce client (coût réel détaillé ci-dessous).</w:t>
      </w:r>
    </w:p>
    <w:p>
      <w:pPr>
        <w:pStyle w:val="ListBullet"/>
        <w:spacing w:after="60"/>
      </w:pPr>
      <w:r>
        <w:rPr>
          <w:b/>
        </w:rPr>
        <w:t xml:space="preserve">Maintenance corrective — </w:t>
      </w:r>
      <w:r>
        <w:t>Corrections de bugs et mises à jour de sécurité sur le socle commun.</w:t>
      </w:r>
    </w:p>
    <w:p>
      <w:pPr>
        <w:pStyle w:val="ListBullet"/>
        <w:spacing w:after="60"/>
      </w:pPr>
      <w:r>
        <w:rPr>
          <w:b/>
        </w:rPr>
        <w:t xml:space="preserve">Évolutions du socle commun — </w:t>
      </w:r>
      <w:r>
        <w:t>Le client bénéficie des améliorations apportées au tronc commun (nouveaux modules génériques, optimisations) sans surcoût — pas des développements sur-mesure d'un autre client.</w:t>
      </w:r>
    </w:p>
    <w:p>
      <w:pPr>
        <w:pStyle w:val="ListBullet"/>
        <w:spacing w:after="60"/>
      </w:pPr>
      <w:r>
        <w:rPr>
          <w:b/>
        </w:rPr>
        <w:t xml:space="preserve">Support — </w:t>
      </w:r>
      <w:r>
        <w:t>Canal direct (WhatsApp/email) avec un volume d'heures ou un délai de réponse défini selon le niveau souscrit.</w:t>
      </w:r>
    </w:p>
    <w:p>
      <w:pPr>
        <w:pStyle w:val="ListBullet"/>
        <w:spacing w:after="60"/>
      </w:pPr>
      <w:r>
        <w:rPr>
          <w:b/>
        </w:rPr>
        <w:t xml:space="preserve">Sauvegardes — </w:t>
      </w:r>
      <w:r>
        <w:t>Sauvegardes régulières des données du client, restaurables en cas d'incident.</w:t>
      </w:r>
    </w:p>
    <w:p>
      <w:pPr>
        <w:spacing w:before="280" w:after="80"/>
      </w:pPr>
      <w:r>
        <w:rPr>
          <w:b/>
          <w:color w:val="1A1A1A"/>
          <w:sz w:val="26"/>
        </w:rPr>
        <w:t>7.2 Coût d'infrastructure réel par client (marge)</w:t>
      </w:r>
    </w:p>
    <w:p>
      <w:pPr>
        <w:spacing w:after="120"/>
      </w:pPr>
      <w:r>
        <w:rPr>
          <w:sz w:val="22"/>
        </w:rPr>
        <w:t>À déduire de chaque abonnement pour connaître la marge réelle, indépendamment du prix facturé :</w:t>
      </w:r>
    </w:p>
    <w:p>
      <w:pPr>
        <w:pStyle w:val="ListBullet"/>
        <w:spacing w:after="60"/>
      </w:pPr>
      <w:r>
        <w:t>Vercel : gratuit (plan Hobby) tant que le trafic reste faible ; ~20 USD/mois (~12 000 FCFA) si passage au plan Pro devient nécessaire.</w:t>
      </w:r>
    </w:p>
    <w:p>
      <w:pPr>
        <w:pStyle w:val="ListBullet"/>
        <w:spacing w:after="60"/>
      </w:pPr>
      <w:r>
        <w:t>Supabase : gratuit jusqu'à 500 Mo de base de données ; ~25 USD/mois (~15 000 FCFA) en plan Pro pour plus de capacité et des sauvegardes automatiques.</w:t>
      </w:r>
    </w:p>
    <w:p>
      <w:pPr>
        <w:pStyle w:val="ListBullet"/>
        <w:spacing w:after="60"/>
      </w:pPr>
      <w:r>
        <w:t>Coût d'infrastructure total par client actif : entre 0 et ~45 USD/mois (0 - 27 000 FCFA/mois, soit 0 - 324 000 FCFA/an) selon le palier — la marge sur les abonnements de la section 6 reste très confortable même au palier Pro des deux services.</w:t>
      </w:r>
    </w:p>
    <w:p>
      <w:pPr>
        <w:spacing w:before="280" w:after="80"/>
      </w:pPr>
      <w:r>
        <w:rPr>
          <w:b/>
          <w:color w:val="1A1A1A"/>
          <w:sz w:val="26"/>
        </w:rPr>
        <w:t>7.3 Trois niveaux de service (proposition)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8A6D2A"/>
          </w:tcPr>
          <w:p>
            <w:r/>
            <w:r>
              <w:rPr>
                <w:b/>
                <w:color w:val="FFFFFF"/>
                <w:sz w:val="20"/>
              </w:rPr>
              <w:t>Niveau</w:t>
            </w:r>
          </w:p>
        </w:tc>
        <w:tc>
          <w:tcPr>
            <w:tcW w:type="dxa" w:w="2160"/>
            <w:shd w:fill="8A6D2A"/>
          </w:tcPr>
          <w:p>
            <w:r/>
            <w:r>
              <w:rPr>
                <w:b/>
                <w:color w:val="FFFFFF"/>
                <w:sz w:val="20"/>
              </w:rPr>
              <w:t>Support</w:t>
            </w:r>
          </w:p>
        </w:tc>
        <w:tc>
          <w:tcPr>
            <w:tcW w:type="dxa" w:w="2160"/>
            <w:shd w:fill="8A6D2A"/>
          </w:tcPr>
          <w:p>
            <w:r/>
            <w:r>
              <w:rPr>
                <w:b/>
                <w:color w:val="FFFFFF"/>
                <w:sz w:val="20"/>
              </w:rPr>
              <w:t>Mises à jour</w:t>
            </w:r>
          </w:p>
        </w:tc>
        <w:tc>
          <w:tcPr>
            <w:tcW w:type="dxa" w:w="2160"/>
            <w:shd w:fill="8A6D2A"/>
          </w:tcPr>
          <w:p>
            <w:r/>
            <w:r>
              <w:rPr>
                <w:b/>
                <w:color w:val="FFFFFF"/>
                <w:sz w:val="20"/>
              </w:rPr>
              <w:t>Cible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Essentiel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Email, réponse sous 5 jours ouvrés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Sécurité uniquement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Petites structures (documentaires, éditeurs)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Standard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WhatsApp/email, réponse sous 48 h, 2 h de support/mois incluses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Socle commun inclus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ONG, productions audiovisuelles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Premium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Ligne directe, réponse sous 24 h, 6 h de support/mois incluses, astreinte en période critique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Socle commun + priorité sur demandes spécifiques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Grand Magal (période de l'édition), Ministère</w:t>
            </w:r>
          </w:p>
        </w:tc>
      </w:tr>
    </w:tbl>
    <w:p/>
    <w:p>
      <w:pPr>
        <w:spacing w:after="120"/>
      </w:pPr>
      <w:r>
        <w:rPr>
          <w:sz w:val="22"/>
        </w:rPr>
        <w:t>Le niveau Premium se justifie particulièrement pour le Grand Magal : l'astreinte doit couvrir spécifiquement les quelques jours de l'événement, où une panne a un impact réel sur la coordination terrain.</w:t>
      </w:r>
    </w:p>
    <w:p>
      <w:pPr>
        <w:spacing w:before="280" w:after="80"/>
      </w:pPr>
      <w:r>
        <w:rPr>
          <w:b/>
          <w:color w:val="1A1A1A"/>
          <w:sz w:val="26"/>
        </w:rPr>
        <w:t>7.4 Projection illustrative (hypothèse, non un engagement)</w:t>
      </w:r>
    </w:p>
    <w:p>
      <w:pPr>
        <w:spacing w:after="120"/>
      </w:pPr>
      <w:r>
        <w:rPr>
          <w:sz w:val="22"/>
        </w:rPr>
        <w:t>Scénario conservateur si un client de chaque type ou deux est signé d'ici 2-3 ans (hors devis de projet ponctuel du Ministère, non récurrent par nature)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8A6D2A"/>
          </w:tcPr>
          <w:p>
            <w:r/>
            <w:r>
              <w:rPr>
                <w:b/>
                <w:color w:val="FFFFFF"/>
                <w:sz w:val="20"/>
              </w:rPr>
              <w:t>Segment</w:t>
            </w:r>
          </w:p>
        </w:tc>
        <w:tc>
          <w:tcPr>
            <w:tcW w:type="dxa" w:w="2880"/>
            <w:shd w:fill="8A6D2A"/>
          </w:tcPr>
          <w:p>
            <w:r/>
            <w:r>
              <w:rPr>
                <w:b/>
                <w:color w:val="FFFFFF"/>
                <w:sz w:val="20"/>
              </w:rPr>
              <w:t>Hypothèse</w:t>
            </w:r>
          </w:p>
        </w:tc>
        <w:tc>
          <w:tcPr>
            <w:tcW w:type="dxa" w:w="2880"/>
            <w:shd w:fill="8A6D2A"/>
          </w:tcPr>
          <w:p>
            <w:r/>
            <w:r>
              <w:rPr>
                <w:b/>
                <w:color w:val="FFFFFF"/>
                <w:sz w:val="20"/>
              </w:rPr>
              <w:t>Revenu annuel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Productions documentaires/photo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3 clients x 700 k FCFA/an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2,1 M FCFA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Grand Magal de Touba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 client x 4 M FCFA/édition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4 M FCFA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ONG internationales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 clients x 6 M FCFA/an (moyenne)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12 M FCFA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Productions audiovisuelles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 clients x 1 M FCFA/tournage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 M FCFA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IFAN / recherche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 mission x 1 M FCFA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 M FCFA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Éditeurs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 client x 750 k FCFA/an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0,75 M FCFA</w:t>
            </w:r>
          </w:p>
        </w:tc>
      </w:tr>
      <w:tr>
        <w:tc>
          <w:tcPr>
            <w:tcW w:type="dxa" w:w="2880"/>
            <w:shd w:fill="F0D080"/>
          </w:tcPr>
          <w:p>
            <w:r/>
            <w:r>
              <w:rPr>
                <w:b/>
                <w:sz w:val="19"/>
              </w:rPr>
              <w:t>TOTAL (scénario conservateur)</w:t>
            </w:r>
          </w:p>
        </w:tc>
        <w:tc>
          <w:tcPr>
            <w:tcW w:type="dxa" w:w="2880"/>
            <w:shd w:fill="F0D080"/>
          </w:tcPr>
          <w:p>
            <w:r/>
            <w:r>
              <w:rPr>
                <w:b/>
                <w:sz w:val="19"/>
              </w:rPr>
            </w:r>
          </w:p>
        </w:tc>
        <w:tc>
          <w:tcPr>
            <w:tcW w:type="dxa" w:w="2880"/>
            <w:shd w:fill="F0D080"/>
          </w:tcPr>
          <w:p>
            <w:r/>
            <w:r>
              <w:rPr>
                <w:b/>
                <w:sz w:val="19"/>
              </w:rPr>
              <w:t>≈ 21,85 M FCFA/an (~36 000 USD/an)</w:t>
            </w:r>
          </w:p>
        </w:tc>
      </w:tr>
    </w:tbl>
    <w:p/>
    <w:p>
      <w:pPr>
        <w:spacing w:after="120"/>
      </w:pPr>
      <w:r>
        <w:rPr>
          <w:sz w:val="22"/>
        </w:rPr>
        <w:t>Ce chiffre exclut le coût d'infrastructure réel (section 7.2), à déduire pour obtenir la marge nette, et exclut tout revenu ponctuel de type marché public (Ministère du Patrimoine).</w:t>
      </w:r>
    </w:p>
    <w:p>
      <w:pPr>
        <w:spacing w:before="440" w:after="160"/>
        <w:pBdr>
          <w:bottom w:val="single" w:sz="6" w:space="4" w:color="8A6D2A"/>
        </w:pBdr>
      </w:pPr>
      <w:r>
        <w:rPr>
          <w:b/>
          <w:color w:val="8A6D2A"/>
          <w:sz w:val="32"/>
        </w:rPr>
        <w:t>8. Page de pitch réalisée et déploiement</w:t>
      </w:r>
    </w:p>
    <w:p>
      <w:pPr>
        <w:spacing w:after="120"/>
      </w:pPr>
      <w:r>
        <w:rPr>
          <w:sz w:val="22"/>
        </w:rPr>
        <w:t>Une première page de démonstration a été créée pour le Grand Magal de Touba (priorité n°1), reprenant la charte graphique des documents existants (Presentation.html / investisseur.html) : constat, modules retenus (Terrain, Risk Manager, Logistique, Juridique), preuve par l'usage existant, offre de pilote sans engagement.</w:t>
      </w:r>
    </w:p>
    <w:p>
      <w:pPr>
        <w:pStyle w:val="ListBullet"/>
        <w:spacing w:after="60"/>
      </w:pPr>
      <w:r>
        <w:t>Fichier source : Senegal/pitch-magal.html</w:t>
      </w:r>
    </w:p>
    <w:p>
      <w:pPr>
        <w:pStyle w:val="ListBullet"/>
        <w:spacing w:after="60"/>
      </w:pPr>
      <w:r>
        <w:t>Lien public déployé (Vercel, aucun compte requis pour l'ouvrir) : https://mission-ctrl-pitch-magal.vercel.app</w:t>
      </w:r>
    </w:p>
    <w:p>
      <w:pPr>
        <w:pStyle w:val="ListBullet"/>
        <w:spacing w:after="60"/>
      </w:pPr>
      <w:r>
        <w:t>Lien de prévisualisation (compte Claude, privé) : https://claude.ai/code/artifact/4092fe42-9d69-4820-b3e5-44a799e02121</w:t>
      </w:r>
    </w:p>
    <w:p>
      <w:pPr>
        <w:spacing w:after="120"/>
      </w:pPr>
      <w:r>
        <w:rPr>
          <w:sz w:val="22"/>
        </w:rPr>
        <w:t>Le lien Vercel est un projet séparé et indépendant de l'application de production Sénégal V3 — aucun risque de mélange entre le document commercial et l'outil livré aux équipes terrain.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