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sz w:val="36"/>
          <w:szCs w:val="36"/>
        </w:rPr>
        <w:t xml:space="preserve">한미 증시 일일 브리핑 (2026-10-08)</w:t>
      </w:r>
    </w:p>
    <w:p>
      <w:pPr>
        <w:spacing w:after="240"/>
        <w:jc w:val="center"/>
      </w:pPr>
      <w:r>
        <w:rPr>
          <w:i/>
          <w:iCs/>
          <w:sz w:val="20"/>
          <w:szCs w:val="20"/>
        </w:rPr>
        <w:t xml:space="preserve">국내 전일 마감(2026-10-07) · 미국 간밤 마감(2026-10-07) 기준</w:t>
      </w:r>
    </w:p>
    <w:p>
      <w:pPr>
        <w:pStyle w:val="Heading1"/>
      </w:pPr>
      <w:r>
        <w:t xml:space="preserve">1. 국내 증시</w:t>
      </w:r>
    </w:p>
    <w:p>
      <w:pPr>
        <w:pStyle w:val="Heading2"/>
      </w:pPr>
      <w:r>
        <w:t xml:space="preserve">1.1 코스피</w:t>
      </w:r>
    </w:p>
    <w:p>
      <w:pPr>
        <w:pStyle w:val="ListParagraph"/>
        <w:numPr>
          <w:ilvl w:val="0"/>
          <w:numId w:val="1"/>
        </w:numPr>
        <w:spacing w:after="80"/>
      </w:pPr>
      <w:r>
        <w:t xml:space="preserve">종가: 6,803.90pt (-137.49pt, -1.98%)</w:t>
      </w:r>
    </w:p>
    <w:p>
      <w:pPr>
        <w:pStyle w:val="ListParagraph"/>
        <w:numPr>
          <w:ilvl w:val="0"/>
          <w:numId w:val="1"/>
        </w:numPr>
        <w:spacing w:after="80"/>
      </w:pPr>
      <w:r>
        <w:t xml:space="preserve">거래대금: 확인 필요</w:t>
      </w:r>
    </w:p>
    <w:p>
      <w:pPr>
        <w:pStyle w:val="ListParagraph"/>
        <w:numPr>
          <w:ilvl w:val="0"/>
          <w:numId w:val="1"/>
        </w:numPr>
        <w:spacing w:after="80"/>
      </w:pPr>
      <w:r>
        <w:t xml:space="preserve">매매 주체별 동향: 외국인·기관 쌍끌이 매도, 개인 순매수 방어. 외국인 순매도 약 3조원대로 추정되는 보도 존재(뉴시스 "외인 3兆 매물 폭탄") — 확정 금액 확인 필요</w:t>
      </w:r>
    </w:p>
    <w:p>
      <w:pPr>
        <w:pStyle w:val="ListParagraph"/>
        <w:numPr>
          <w:ilvl w:val="0"/>
          <w:numId w:val="1"/>
        </w:numPr>
        <w:spacing w:after="80"/>
      </w:pPr>
      <w:r>
        <w:t xml:space="preserve">주도 섹터: 반도체 대형주(삼성전자·SK하이닉스) 중심 급락. 전일 뉴욕증시에서 S&amp;P500·나스닥 사상 최고치 경신에도 차익 실현 매물과 투자심리 악화로 반도체 섹터 전반 하락 압력 수용</w:t>
      </w:r>
    </w:p>
    <w:p>
      <w:pPr>
        <w:pStyle w:val="Heading2"/>
      </w:pPr>
      <w:r>
        <w:t xml:space="preserve">1.2 코스닥</w:t>
      </w:r>
    </w:p>
    <w:p>
      <w:pPr>
        <w:pStyle w:val="ListParagraph"/>
        <w:numPr>
          <w:ilvl w:val="0"/>
          <w:numId w:val="1"/>
        </w:numPr>
        <w:spacing w:after="80"/>
      </w:pPr>
      <w:r>
        <w:t xml:space="preserve">종가: 898.43pt (-21.49pt, -2.34%)로 900선 하회</w:t>
      </w:r>
    </w:p>
    <w:p>
      <w:pPr>
        <w:pStyle w:val="ListParagraph"/>
        <w:numPr>
          <w:ilvl w:val="0"/>
          <w:numId w:val="1"/>
        </w:numPr>
        <w:spacing w:after="80"/>
      </w:pPr>
      <w:r>
        <w:t xml:space="preserve">특징주: 외국인·기관 동반 순매도 전환. 기관은 6거래일 만에 순매도 전환하였고, 외국인도 전일 매수에서 매도로 돌아섬</w:t>
      </w:r>
    </w:p>
    <w:p>
      <w:pPr>
        <w:pStyle w:val="ListParagraph"/>
        <w:numPr>
          <w:ilvl w:val="0"/>
          <w:numId w:val="1"/>
        </w:numPr>
        <w:spacing w:after="80"/>
      </w:pPr>
      <w:r>
        <w:t xml:space="preserve">반도체 중소형주 및 코스닥 시가총액 상위 성장주 전반 조정</w:t>
      </w:r>
    </w:p>
    <w:p>
      <w:pPr>
        <w:pStyle w:val="Heading1"/>
      </w:pPr>
      <w:r>
        <w:t xml:space="preserve">2. 미국 증시 (전일 마감, 10/7 뉴욕 기준)</w:t>
      </w:r>
    </w:p>
    <w:p>
      <w:pPr>
        <w:pStyle w:val="Heading2"/>
      </w:pPr>
      <w:r>
        <w:t xml:space="preserve">2.1 3대 지수</w:t>
      </w:r>
    </w:p>
    <w:p>
      <w:pPr>
        <w:pStyle w:val="ListParagraph"/>
        <w:numPr>
          <w:ilvl w:val="0"/>
          <w:numId w:val="1"/>
        </w:numPr>
        <w:spacing w:after="80"/>
      </w:pPr>
      <w:r>
        <w:t xml:space="preserve">다우 산업평균: 51,179.87pt (-341.41pt, -0.66%)</w:t>
      </w:r>
    </w:p>
    <w:p>
      <w:pPr>
        <w:pStyle w:val="ListParagraph"/>
        <w:numPr>
          <w:ilvl w:val="0"/>
          <w:numId w:val="1"/>
        </w:numPr>
        <w:spacing w:after="80"/>
      </w:pPr>
      <w:r>
        <w:t xml:space="preserve">S&amp;P500: 7,801.77pt (-17.16pt, -0.22%) — 전일 사상 최고치(7,818.93) 경신 후 되밀림</w:t>
      </w:r>
    </w:p>
    <w:p>
      <w:pPr>
        <w:pStyle w:val="ListParagraph"/>
        <w:numPr>
          <w:ilvl w:val="0"/>
          <w:numId w:val="1"/>
        </w:numPr>
        <w:spacing w:after="80"/>
      </w:pPr>
      <w:r>
        <w:t xml:space="preserve">나스닥 종합: 27,538.69pt (-61.20pt, -0.22%)</w:t>
      </w:r>
    </w:p>
    <w:p>
      <w:pPr>
        <w:pStyle w:val="ListParagraph"/>
        <w:numPr>
          <w:ilvl w:val="0"/>
          <w:numId w:val="1"/>
        </w:numPr>
        <w:spacing w:after="80"/>
      </w:pPr>
      <w:r>
        <w:t xml:space="preserve">러셀 2000(중소형): 2,793.20pt (-37.09pt, -1.33%) — 금리 민감 중소형주 약세 두드러짐</w:t>
      </w:r>
    </w:p>
    <w:p>
      <w:pPr>
        <w:pStyle w:val="Heading2"/>
      </w:pPr>
      <w:r>
        <w:t xml:space="preserve">2.2 주요 섹터·종목</w:t>
      </w:r>
    </w:p>
    <w:p>
      <w:pPr>
        <w:pStyle w:val="ListParagraph"/>
        <w:numPr>
          <w:ilvl w:val="0"/>
          <w:numId w:val="1"/>
        </w:numPr>
        <w:spacing w:after="80"/>
      </w:pPr>
      <w:r>
        <w:t xml:space="preserve">기술주·반도체: 전일 사상 최고치 경신 후 차익 실현 매물. 금리 급등 부담에 밸류에이션 민감 성장주 중심 조정</w:t>
      </w:r>
    </w:p>
    <w:p>
      <w:pPr>
        <w:pStyle w:val="ListParagraph"/>
        <w:numPr>
          <w:ilvl w:val="0"/>
          <w:numId w:val="1"/>
        </w:numPr>
        <w:spacing w:after="80"/>
      </w:pPr>
      <w:r>
        <w:t xml:space="preserve">에너지: IEA의 비축유 조기 방출 합의로 국제유가 하락 반전, 에너지주 상대적 부진</w:t>
      </w:r>
    </w:p>
    <w:p>
      <w:pPr>
        <w:pStyle w:val="ListParagraph"/>
        <w:numPr>
          <w:ilvl w:val="0"/>
          <w:numId w:val="1"/>
        </w:numPr>
        <w:spacing w:after="80"/>
      </w:pPr>
      <w:r>
        <w:t xml:space="preserve">금융: 10월 13일 주요 금융사 3분기 실적 발표 앞두고 관망세</w:t>
      </w:r>
    </w:p>
    <w:p>
      <w:pPr>
        <w:pStyle w:val="Heading2"/>
      </w:pPr>
      <w:r>
        <w:t xml:space="preserve">2.3 채권·환율</w:t>
      </w:r>
    </w:p>
    <w:p>
      <w:pPr>
        <w:pStyle w:val="ListParagraph"/>
        <w:numPr>
          <w:ilvl w:val="0"/>
          <w:numId w:val="1"/>
        </w:numPr>
        <w:spacing w:after="80"/>
      </w:pPr>
      <w:r>
        <w:t xml:space="preserve">미 10년물 국채금리: 종가 약 5.30% (전일 대비 +0.6%p 수준). 2002년 4월 이후 최고 수준까지 상승. 390억 달러 10년물 입찰과 FOMC 의사록 연말 추가 인상 가능성 시사가 상승 재료</w:t>
      </w:r>
    </w:p>
    <w:p>
      <w:pPr>
        <w:pStyle w:val="ListParagraph"/>
        <w:numPr>
          <w:ilvl w:val="0"/>
          <w:numId w:val="1"/>
        </w:numPr>
        <w:spacing w:after="80"/>
      </w:pPr>
      <w:r>
        <w:t xml:space="preserve">달러인덱스(DXY): 확인 필요</w:t>
      </w:r>
    </w:p>
    <w:p>
      <w:pPr>
        <w:pStyle w:val="ListParagraph"/>
        <w:numPr>
          <w:ilvl w:val="0"/>
          <w:numId w:val="1"/>
        </w:numPr>
        <w:spacing w:after="80"/>
      </w:pPr>
      <w:r>
        <w:t xml:space="preserve">원/달러 환율: 서울외환 주간거래 종가 1,340.4원 (-3.2원). 외환시장은 안정 흐름 유지</w:t>
      </w:r>
    </w:p>
    <w:p>
      <w:pPr>
        <w:pStyle w:val="Heading1"/>
      </w:pPr>
      <w:r>
        <w:t xml:space="preserve">3. 오늘의 관전 포인트</w:t>
      </w:r>
    </w:p>
    <w:p>
      <w:pPr>
        <w:spacing w:after="100"/>
      </w:pPr>
      <w:r>
        <w:rPr>
          <w:b/>
          <w:bCs/>
        </w:rPr>
        <w:t xml:space="preserve">1) 미 장기금리 급등의 국내 전이 지속 여부: </w:t>
      </w:r>
      <w:r>
        <w:t xml:space="preserve">10년물 금리가 2002년 이후 최고치까지 오른 영향으로 전일 코스피·코스닥이 동반 급락. 추가 금리 상승 시 외국인 매도 압력이 지속될 가능성이 높아 수급 반전 여부가 핵심.</w:t>
      </w:r>
    </w:p>
    <w:p>
      <w:pPr>
        <w:spacing w:after="100"/>
      </w:pPr>
      <w:r>
        <w:rPr>
          <w:b/>
          <w:bCs/>
        </w:rPr>
        <w:t xml:space="preserve">2) 반도체 대형주의 저가 매수 유입 vs 추가 조정: </w:t>
      </w:r>
      <w:r>
        <w:t xml:space="preserve">삼성전자·SK하이닉스 중심 급락 이후 밸류에이션 메리트와 글로벌 반도체 사이클 기대 vs 미국 성장주 조정 연동에 따른 추가 하락 리스크가 공존. 전일 하락 폭을 되돌리는 반등이 나올지, 추세적 조정으로 이어질지 확인 필요.</w:t>
      </w:r>
    </w:p>
    <w:p>
      <w:pPr>
        <w:spacing w:after="100"/>
      </w:pPr>
      <w:r>
        <w:rPr>
          <w:b/>
          <w:bCs/>
        </w:rPr>
        <w:t xml:space="preserve">3) FOMC 의사록·실적 시즌 개막 영향: </w:t>
      </w:r>
      <w:r>
        <w:t xml:space="preserve">연말 추가 인상 가능성이 재부각되며 위험자산 전반에 할인율 상승 압력. 10월 13일 미국 금융주 실적 발표를 시작으로 3분기 실적 시즌이 열리는 만큼, 가이던스에 따라 글로벌 위험선호가 결정될 전망.</w:t>
      </w:r>
    </w:p>
    <w:p>
      <w:r>
        <w:t xml:space="preserve"/>
      </w:r>
    </w:p>
    <w:p>
      <w:pPr>
        <w:jc w:val="left"/>
      </w:pPr>
      <w:r>
        <w:rPr>
          <w:i/>
          <w:iCs/>
          <w:sz w:val="18"/>
          <w:szCs w:val="18"/>
        </w:rPr>
        <w:t xml:space="preserve">※ 데이터 출처: 네이버 뉴스 검색(머니투데이·뉴시스·대전일보·뉴스핌·AP via WTOP), Investing.com, 한국경제 데이터센터. 일부 수치는 "확인 필요"로 표기함.</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Malgun Gothic" w:cs="Malgun Gothic" w:eastAsia="Malgun Gothic" w:hAnsi="Malgun Gothi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2026-10-08T14:18:01.816Z</dcterms:created>
  <dcterms:modified xsi:type="dcterms:W3CDTF">2026-10-08T14:18:01.824Z</dcterms:modified>
</cp:coreProperties>
</file>

<file path=docProps/custom.xml><?xml version="1.0" encoding="utf-8"?>
<Properties xmlns="http://schemas.openxmlformats.org/officeDocument/2006/custom-properties" xmlns:vt="http://schemas.openxmlformats.org/officeDocument/2006/docPropsVTypes"/>
</file>