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&lt;title&gt;Solo Liberty Hub | The Silent Architect&lt;/title&gt;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&lt;header class="hero"&gt;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&lt;div class="logo"&gt;SOLO LIBERTY HUB&lt;/div&gt;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&lt;h1&gt;I build the floor.&lt;br&gt;You own the stage.&lt;/h1&gt;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&lt;p class="subtitle"&gt;A Synergy Hub for the Sovereign Founder.&lt;/p&gt;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&lt;section class="section"&gt;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&lt;h2 class="label"&gt;The Philosophy&lt;/h2&gt;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&lt;p class="main-text"&gt;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I am a physician and a systems-architect. I’ve seen too many brilliant founders get trapped in "Labor Prisons"—businesses that own them, rather than the other way around.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&lt;br&gt;&lt;br&gt;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Solo Liberty Hub is built for the &lt;strong&gt;Silent Expert&lt;/strong&gt;. We don't fund hustle; we fund systems.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class="section bg-light"&gt;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&lt;h2 class="label"&gt;The Three Engines&lt;/h2&gt;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&lt;div class="grid"&gt;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&lt;h3&gt;Distribution&lt;/h3&gt;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&lt;p&gt;Instant access to FMCG, pharmacy chains, and retail logistics. Scale without a warehouse.&lt;/p&gt;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&lt;h3&gt;Clinical&lt;/h3&gt;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&lt;p&gt;Validation through medical networks. Turning scientific claims into certified results.&lt;/p&gt;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&lt;div class="card"&gt;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&lt;h3&gt;Consultation&lt;/h3&gt;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&lt;p&gt;Professional trust. Direct penetration into specialist and pharmacy networks via P2P marketing.&lt;/p&gt;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&lt;section class="section"&gt;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&lt;h2 class="label"&gt;The Freehold Deal&lt;/h2&gt;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&lt;p&gt;Our partnership starts with a 20% stake, but the goal is for you to reclaim your company. We provide a clear path for you to buy back 15% at fair milestones. I remain a 5% silent partner to keep the engines running.&lt;/p&gt;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&lt;div class="math-box"&gt;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RM 10k—50k Investment &amp;bull; 95% Founder Ownership Goal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&lt;footer class="footer"&gt;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&lt;h2 class="label"&gt;Connect&lt;/h2&gt;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&lt;p&gt;If you prioritize systems over headcount, let’s talk.&lt;/p&gt;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&lt;a href="mailto:thekcsolo@gmail.com" class="email-link"&gt;thekcsolo@gmail.com&lt;/a&gt;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 class="legal"&gt;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&amp;copy; 2024 Solo Liberty Hub. Built for Sovereignty.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