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60" w:line="320" w:lineRule="auto"/>
      </w:pPr>
      <w:r>
        <w:rPr>
          <w:rFonts w:ascii="Times New Roman" w:hAnsi="Times New Roman"/>
          <w:b/>
          <w:sz w:val="34"/>
        </w:rPr>
        <w:t>CHANNEL-AWARE ADAPTIVE REED-SOLOMON ERROR CONTROL FOR A CSK-BASED VISIBLE LIGHT COMMUNICATION SYSTEM</w:t>
        <w:br/>
      </w:r>
    </w:p>
    <w:p>
      <w:pPr>
        <w:jc w:val="center"/>
        <w:spacing w:before="80" w:after="160"/>
      </w:pPr>
      <w:r>
        <w:rPr>
          <w:rFonts w:ascii="Times New Roman" w:hAnsi="Times New Roman"/>
          <w:b/>
          <w:sz w:val="28"/>
        </w:rPr>
        <w:t>A MINI PROJECT REPORT</w:t>
        <w:br/>
      </w:r>
    </w:p>
    <w:p>
      <w:pPr>
        <w:jc w:val="center"/>
        <w:spacing w:before="60" w:after="100"/>
      </w:pPr>
      <w:r>
        <w:rPr>
          <w:rFonts w:ascii="Times New Roman" w:hAnsi="Times New Roman"/>
          <w:b/>
          <w:sz w:val="26"/>
        </w:rPr>
        <w:t>SUBMITTED BY</w:t>
        <w:br/>
      </w:r>
    </w:p>
    <w:p>
      <w:pPr>
        <w:jc w:val="center"/>
        <w:spacing w:before="60" w:after="140" w:line="300" w:lineRule="auto"/>
      </w:pPr>
      <w:r>
        <w:rPr>
          <w:rFonts w:ascii="Times New Roman" w:hAnsi="Times New Roman"/>
          <w:b/>
          <w:sz w:val="30"/>
        </w:rPr>
        <w:t>KHIASUTHONG T</w:t>
        <w:br/>
      </w:r>
      <w:r>
        <w:rPr>
          <w:rFonts w:ascii="Times New Roman" w:hAnsi="Times New Roman"/>
          <w:b/>
          <w:sz w:val="28"/>
        </w:rPr>
        <w:t>(Reg. No.: 2306107010)</w:t>
        <w:br/>
      </w:r>
    </w:p>
    <w:p>
      <w:pPr>
        <w:jc w:val="center"/>
        <w:spacing w:before="60" w:after="100"/>
      </w:pPr>
      <w:r>
        <w:rPr>
          <w:rFonts w:ascii="Times New Roman" w:hAnsi="Times New Roman"/>
          <w:b/>
          <w:sz w:val="26"/>
        </w:rPr>
        <w:t>IN PARTIAL FULFILLMENT FOR THE AWARD OF THE DEGREE OF</w:t>
        <w:br/>
      </w:r>
    </w:p>
    <w:p>
      <w:pPr>
        <w:jc w:val="center"/>
        <w:spacing w:before="60" w:after="120"/>
      </w:pPr>
      <w:r>
        <w:rPr>
          <w:rFonts w:ascii="Times New Roman" w:hAnsi="Times New Roman"/>
          <w:b/>
          <w:sz w:val="30"/>
        </w:rPr>
        <w:t>B. TECH COMPUTER SCIENCE AND ENGINEERING</w:t>
        <w:br/>
      </w:r>
    </w:p>
    <w:p>
      <w:pPr>
        <w:spacing w:before="160" w:after="240"/>
        <w:jc w:val="center"/>
      </w:pPr>
      <w:r>
        <w:drawing>
          <wp:inline xmlns:a="http://schemas.openxmlformats.org/drawingml/2006/main" xmlns:pic="http://schemas.openxmlformats.org/drawingml/2006/picture">
            <wp:extent cx="1920240" cy="1876598"/>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920240" cy="1876598"/>
                    </a:xfrm>
                    <a:prstGeom prst="rect"/>
                  </pic:spPr>
                </pic:pic>
              </a:graphicData>
            </a:graphic>
          </wp:inline>
        </w:drawing>
      </w:r>
    </w:p>
    <w:p>
      <w:pPr>
        <w:jc w:val="center"/>
        <w:spacing w:before="60" w:after="40" w:line="280" w:lineRule="auto"/>
      </w:pPr>
      <w:r>
        <w:rPr>
          <w:rFonts w:ascii="Times New Roman" w:hAnsi="Times New Roman"/>
          <w:b/>
          <w:sz w:val="30"/>
        </w:rPr>
        <w:t>DEPARTMENT OF COMPUTER SCIENCE &amp; ENGINEERING</w:t>
        <w:br/>
      </w:r>
      <w:r>
        <w:rPr>
          <w:rFonts w:ascii="Times New Roman" w:hAnsi="Times New Roman"/>
          <w:b/>
          <w:sz w:val="30"/>
        </w:rPr>
        <w:t>ST. JOSEPH UNIVERSITY</w:t>
        <w:br/>
      </w:r>
      <w:r>
        <w:rPr>
          <w:rFonts w:ascii="Times New Roman" w:hAnsi="Times New Roman"/>
          <w:b/>
          <w:sz w:val="28"/>
        </w:rPr>
        <w:t>NAGALAND - 797115</w:t>
        <w:br/>
      </w:r>
    </w:p>
    <w:p>
      <w:pPr>
        <w:jc w:val="center"/>
        <w:spacing w:before="120" w:after="0"/>
      </w:pPr>
      <w:r>
        <w:rPr>
          <w:rFonts w:ascii="Times New Roman" w:hAnsi="Times New Roman"/>
          <w:sz w:val="28"/>
        </w:rPr>
        <w:t>NOVEMBER 2026</w:t>
      </w:r>
    </w:p>
    <w:p>
      <w:r>
        <w:br w:type="page"/>
      </w:r>
    </w:p>
    <w:p>
      <w:pPr>
        <w:jc w:val="center"/>
        <w:spacing w:before="200" w:after="300"/>
      </w:pPr>
      <w:r>
        <w:rPr>
          <w:rFonts w:ascii="Times New Roman" w:hAnsi="Times New Roman"/>
          <w:b/>
          <w:sz w:val="32"/>
        </w:rPr>
        <w:t>BONAFIDE CERTIFICATE</w:t>
      </w:r>
    </w:p>
    <w:p>
      <w:pPr>
        <w:jc w:val="both"/>
        <w:spacing w:before="240" w:after="500" w:line="420" w:lineRule="auto"/>
      </w:pPr>
      <w:r>
        <w:rPr>
          <w:rFonts w:ascii="Times New Roman" w:hAnsi="Times New Roman"/>
          <w:sz w:val="26"/>
        </w:rPr>
        <w:t>This Mini Project Report entitled "</w:t>
      </w:r>
      <w:r>
        <w:rPr>
          <w:rFonts w:ascii="Times New Roman" w:hAnsi="Times New Roman"/>
          <w:b/>
          <w:sz w:val="26"/>
        </w:rPr>
        <w:t>CHANNEL-AWARE ADAPTIVE REED-SOLOMON ERROR CONTROL FOR A CSK-BASED VISIBLE LIGHT COMMUNICATION SYSTEM</w:t>
      </w:r>
      <w:r>
        <w:rPr>
          <w:rFonts w:ascii="Times New Roman" w:hAnsi="Times New Roman"/>
          <w:sz w:val="26"/>
        </w:rPr>
        <w:t xml:space="preserve">" is the bonafide work of </w:t>
      </w:r>
      <w:r>
        <w:rPr>
          <w:rFonts w:ascii="Times New Roman" w:hAnsi="Times New Roman"/>
          <w:b/>
          <w:sz w:val="26"/>
        </w:rPr>
        <w:t>KHIASUTHONG T (Reg. No.: 2306107010) of DEPARTMENT OF COMPUTER SCIENCE AND ENGINEERING</w:t>
      </w:r>
      <w:r>
        <w:rPr>
          <w:rFonts w:ascii="Times New Roman" w:hAnsi="Times New Roman"/>
          <w:sz w:val="26"/>
        </w:rPr>
        <w:t xml:space="preserve"> who carried out the project work under my supervision. It is certified further that to the best of our knowledge the work reported herein is not the part of any other project report or submitted for the award of any other degree or diploma.</w:t>
      </w:r>
    </w:p>
    <w:p>
      <w:pPr>
        <w:jc w:val="left"/>
        <w:spacing w:before="200" w:after="400"/>
      </w:pPr>
      <w:r>
        <w:rPr>
          <w:rFonts w:ascii="Times New Roman" w:hAnsi="Times New Roman"/>
          <w:b/>
          <w:sz w:val="24"/>
        </w:rPr>
        <w:t>Date of Viva-Voce: ______________________</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4752"/>
          </w:tcPr>
          <w:p>
            <w:pPr>
              <w:spacing w:line="312" w:lineRule="auto"/>
              <w:jc w:val="left"/>
            </w:pPr>
            <w:r>
              <w:rPr>
                <w:rFonts w:ascii="Times New Roman" w:hAnsi="Times New Roman"/>
                <w:b/>
                <w:sz w:val="22"/>
              </w:rPr>
              <w:t>___________________________</w:t>
              <w:br/>
              <w:t>SUPERVISOR</w:t>
              <w:br/>
              <w:t>Ms. Alovi N Shohe</w:t>
              <w:br/>
              <w:t>Assistant Professor</w:t>
              <w:br/>
              <w:t>Department of Computer Science &amp; Engineering</w:t>
              <w:br/>
              <w:t>St. Joseph University</w:t>
            </w:r>
          </w:p>
        </w:tc>
        <w:tc>
          <w:tcPr>
            <w:tcW w:type="dxa" w:w="4752"/>
          </w:tcPr>
          <w:p>
            <w:pPr>
              <w:spacing w:line="312" w:lineRule="auto"/>
              <w:jc w:val="right"/>
            </w:pPr>
            <w:r>
              <w:rPr>
                <w:rFonts w:ascii="Times New Roman" w:hAnsi="Times New Roman"/>
                <w:b/>
                <w:sz w:val="22"/>
              </w:rPr>
              <w:t>___________________________</w:t>
              <w:br/>
              <w:t>HEAD OF DEPARTMENT</w:t>
              <w:br/>
              <w:t>Ms. Nempi</w:t>
              <w:br/>
              <w:t>Assistant Professor &amp; Head</w:t>
              <w:br/>
              <w:t>Department of Computer Science &amp; Engineering</w:t>
              <w:br/>
              <w:t>St. Joseph University</w:t>
            </w:r>
          </w:p>
        </w:tc>
      </w:tr>
    </w:tbl>
    <w:p>
      <w:pPr>
        <w:spacing w:before="720" w:after="480"/>
      </w:pP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4752"/>
          </w:tcPr>
          <w:p>
            <w:pPr>
              <w:jc w:val="left"/>
            </w:pPr>
            <w:r>
              <w:rPr>
                <w:rFonts w:ascii="Times New Roman" w:hAnsi="Times New Roman"/>
                <w:b/>
                <w:sz w:val="22"/>
              </w:rPr>
              <w:t>___________________________</w:t>
              <w:br/>
              <w:t>INTERNAL EXAMINER</w:t>
            </w:r>
          </w:p>
        </w:tc>
        <w:tc>
          <w:tcPr>
            <w:tcW w:type="dxa" w:w="4752"/>
          </w:tcPr>
          <w:p>
            <w:pPr>
              <w:jc w:val="right"/>
            </w:pPr>
            <w:r>
              <w:rPr>
                <w:rFonts w:ascii="Times New Roman" w:hAnsi="Times New Roman"/>
                <w:b/>
                <w:sz w:val="22"/>
              </w:rPr>
              <w:t>___________________________</w:t>
              <w:br/>
              <w:t>EXTERNAL EXAMINER</w:t>
            </w:r>
          </w:p>
        </w:tc>
      </w:tr>
    </w:tbl>
    <w:p>
      <w:pPr>
        <w:sectPr>
          <w:pgSz w:w="11909" w:h="16834"/>
          <w:pgMar w:top="1440" w:right="1440" w:bottom="1440" w:left="1440" w:header="720" w:footer="720" w:gutter="0"/>
          <w:cols w:space="720"/>
          <w:docGrid w:linePitch="360"/>
        </w:sectPr>
      </w:pPr>
    </w:p>
    <w:p>
      <w:pPr>
        <w:jc w:val="center"/>
        <w:spacing w:before="240" w:after="360"/>
      </w:pPr>
      <w:r>
        <w:rPr>
          <w:rFonts w:ascii="Times New Roman" w:hAnsi="Times New Roman"/>
          <w:b/>
          <w:sz w:val="28"/>
        </w:rPr>
        <w:t>ACKNOWLEDGEMENT</w:t>
      </w:r>
    </w:p>
    <w:p>
      <w:pPr>
        <w:jc w:val="both"/>
        <w:spacing w:before="0" w:after="120" w:line="360" w:lineRule="auto"/>
        <w:jc w:val="both"/>
      </w:pPr>
      <w:r>
        <w:rPr>
          <w:rFonts w:ascii="Times New Roman" w:hAnsi="Times New Roman"/>
          <w:sz w:val="24"/>
        </w:rPr>
        <w:t>First and foremost, I offer my profound gratitude to Almighty God for His divine grace, wisdom, health, and sustaining providence throughout the conceptualization, system modeling, simulation execution, and successful completion of this mini project.</w:t>
      </w:r>
    </w:p>
    <w:p>
      <w:pPr>
        <w:jc w:val="both"/>
        <w:spacing w:before="0" w:after="120" w:line="360" w:lineRule="auto"/>
        <w:jc w:val="both"/>
      </w:pPr>
      <w:r>
        <w:rPr>
          <w:rFonts w:ascii="Times New Roman" w:hAnsi="Times New Roman"/>
          <w:sz w:val="24"/>
        </w:rPr>
        <w:t>I express my deepest sense of gratitude and sincere indebtedness to my respected project supervisor, Ms. Alovi N Shohe, Assistant Professor, Department of Computer Science &amp; Engineering, St. Joseph University, Nagaland, for her patient mentorship, incisive technical suggestions, rigorous evaluations, and constant encouragement throughout this research. Her guidance in digital communication protocols, error control coding, physical layer simulation modeling, and academic manuscript organization was invaluable.</w:t>
      </w:r>
    </w:p>
    <w:p>
      <w:pPr>
        <w:jc w:val="both"/>
        <w:spacing w:before="0" w:after="120" w:line="360" w:lineRule="auto"/>
        <w:jc w:val="both"/>
      </w:pPr>
      <w:r>
        <w:rPr>
          <w:rFonts w:ascii="Times New Roman" w:hAnsi="Times New Roman"/>
          <w:sz w:val="24"/>
        </w:rPr>
        <w:t>I extend my heartfelt thanks to Ms. Nempi, Assistant Professor and Head of the Department, Department of Computer Science &amp; Engineering, for granting permission, providing departmental infrastructural facilities, and cultivating an academic environment conducive to advanced technical investigation and protocol development.</w:t>
      </w:r>
    </w:p>
    <w:p>
      <w:pPr>
        <w:jc w:val="both"/>
        <w:spacing w:before="0" w:after="120" w:line="360" w:lineRule="auto"/>
        <w:jc w:val="both"/>
      </w:pPr>
      <w:r>
        <w:rPr>
          <w:rFonts w:ascii="Times New Roman" w:hAnsi="Times New Roman"/>
          <w:sz w:val="24"/>
        </w:rPr>
        <w:t>I am sincerely grateful to the honorable Vice-Chancellor, the Registrar, and the university administration of St. Joseph University for providing access to the academic computing laboratories, simulation workbench resources, and institutional support required to execute this mini project.</w:t>
      </w:r>
    </w:p>
    <w:p>
      <w:pPr>
        <w:jc w:val="both"/>
        <w:spacing w:before="0" w:after="120" w:line="360" w:lineRule="auto"/>
        <w:jc w:val="both"/>
      </w:pPr>
      <w:r>
        <w:rPr>
          <w:rFonts w:ascii="Times New Roman" w:hAnsi="Times New Roman"/>
          <w:sz w:val="24"/>
        </w:rPr>
        <w:t>I also take this opportunity to thank all the faculty members and non-teaching staff of the Department of Computer Science &amp; Engineering for their direct and indirect cooperation throughout the semester. Finally, I owe an immense debt of love and gratitude to my parents, family members, and friends for their enduring patience, moral support, sacrifices, and prayers that sustained my focus throughout this endeavor.</w:t>
      </w:r>
    </w:p>
    <w:p>
      <w:pPr>
        <w:jc w:val="right"/>
        <w:spacing w:before="400" w:after="0" w:line="280" w:lineRule="auto"/>
      </w:pPr>
      <w:r>
        <w:rPr>
          <w:rFonts w:ascii="Times New Roman" w:hAnsi="Times New Roman"/>
          <w:b/>
          <w:sz w:val="22"/>
        </w:rPr>
        <w:t>KHIASUTHONG T</w:t>
        <w:br/>
        <w:t>(Reg. No.: 2306107010)</w:t>
        <w:br/>
        <w:t>Department of Computer Science &amp; Engineering</w:t>
        <w:br/>
        <w:t>St. Joseph University, Nagaland</w:t>
      </w:r>
    </w:p>
    <w:p>
      <w:r>
        <w:br w:type="page"/>
      </w:r>
    </w:p>
    <w:p>
      <w:pPr>
        <w:jc w:val="center"/>
        <w:spacing w:before="240" w:after="360"/>
      </w:pPr>
      <w:r>
        <w:rPr>
          <w:rFonts w:ascii="Times New Roman" w:hAnsi="Times New Roman"/>
          <w:b/>
          <w:sz w:val="28"/>
        </w:rPr>
        <w:t>ABSTRACT</w:t>
      </w:r>
    </w:p>
    <w:p>
      <w:pPr>
        <w:jc w:val="both"/>
        <w:spacing w:before="0" w:after="120" w:line="360" w:lineRule="auto"/>
        <w:jc w:val="both"/>
      </w:pPr>
      <w:r>
        <w:rPr>
          <w:rFonts w:ascii="Times New Roman" w:hAnsi="Times New Roman"/>
          <w:sz w:val="24"/>
        </w:rPr>
        <w:t>Visible Light Communication (VLC) has emerged as an indispensable complementary optical wireless technology to alleviate radio-frequency (RF) spectrum congestion in dense indoor environments. By utilizing the visible spectrum between 380 nm and 780 nm emitted by solid-state Light Emitting Diodes (LEDs), VLC achieves simultaneous room illumination and gigabit-class broadband data transmission. However, indoor optical channels are inherently non-stationary and subject to severe physical-layer impairments, including optical path loss, thermal receiver noise, ambient optical shot noise, LED non-linearities, optical dimming adjustments, and inter-channel crosstalk across tri-chromatic RGB emitter channels. Conventional VLC architectures rely on fixed Forward Error Correction (FEC) schemes, such as unvarying Reed-Solomon (RS) codes, which enforce a static design trade-off: aggressive error correction wastes substantial bandwidth under clear channel conditions, while conservative coding causes catastrophic frame loss and throughput collapse during sudden channel degradations.</w:t>
      </w:r>
    </w:p>
    <w:p>
      <w:pPr>
        <w:jc w:val="both"/>
        <w:spacing w:before="0" w:after="120" w:line="360" w:lineRule="auto"/>
        <w:jc w:val="both"/>
      </w:pPr>
      <w:r>
        <w:rPr>
          <w:rFonts w:ascii="Times New Roman" w:hAnsi="Times New Roman"/>
          <w:sz w:val="24"/>
        </w:rPr>
        <w:t>This mini project report presents the architectural design, mathematical formulation, software simulation, and empirical evaluation of an end-to-end Channel-Aware Adaptive Reed-Solomon Error Control framework over an IEEE 802.15.7 Color Shift Keying (4-CSK) optical wireless link. The framework integrates a complete physical and data-link layer pipeline, comprising rigorous application-layer data packetization, CRC32 frame checksumming, dynamic Reed-Solomon encoding across Galois Field GF(2^8) with five calibrated code rates (RS(255,255) uncoded up to RS(255,191) robust), Euclidean 4-CSK constellation mapping, indoor optical channel simulation with additive Gaussian noise, photodiode responsivity matrix crosstalk, and variable LED dimming attenuation.</w:t>
      </w:r>
    </w:p>
    <w:p>
      <w:pPr>
        <w:jc w:val="both"/>
        <w:spacing w:before="0" w:after="120" w:line="360" w:lineRule="auto"/>
        <w:jc w:val="both"/>
      </w:pPr>
      <w:r>
        <w:rPr>
          <w:rFonts w:ascii="Times New Roman" w:hAnsi="Times New Roman"/>
          <w:sz w:val="24"/>
        </w:rPr>
        <w:t>To eliminate the throughput penalties of static coding, a lightweight, explainable, rule-based adaptive controller is developed. The controller operates on sliding-window receiver feedback, computing Error Vector Magnitude (EVM) to derive real-time Signal-to-Noise Ratio (SNR) estimates alongside historical Frame Error Rates (FER) and consecutive error streaks. Using mathematically calibrated crossover boundaries derived from exhaustive offline Monte Carlo sweeps, the controller dynamically switches the operating Reed-Solomon profile. A dual-threshold hysteresis window of 0.8 dB prevents high-frequency oscillatory profile switching ('ping-pong effect'), while multi-indicator escalation triggers ensure immediate fallback to robust coding upon burst error detection.</w:t>
      </w:r>
    </w:p>
    <w:p>
      <w:pPr>
        <w:jc w:val="both"/>
        <w:spacing w:before="0" w:after="120" w:line="360" w:lineRule="auto"/>
        <w:jc w:val="both"/>
      </w:pPr>
      <w:r>
        <w:rPr>
          <w:rFonts w:ascii="Times New Roman" w:hAnsi="Times New Roman"/>
          <w:sz w:val="24"/>
        </w:rPr>
        <w:t>Empirical simulation results across 5,000 frames under dynamic channel profiles demonstrate that the rule-based adaptive controller achieves an effective goodput of 21.73 kB/s under 20 dB SNR while maintaining the Frame Error Rate strictly below the target threshold of 10^-3. Under severe 5 dB optical degradation, the controller automatically escalates to RS(255,191), preserving connection integrity with zero dropped frames. Benchmark comparisons across multiple random seeds confirm that adaptive error control yields a 14.8% to 32.4% goodput improvement over conservative fixed baselines across intermediate SNR regimes. Finally, the modular simulation engine establishes a formal Gymnasium-compliant state-action-reward interface, establishing the precise experimental workbench required for the upcoming Major Project phase.</w:t>
      </w:r>
    </w:p>
    <w:p>
      <w:pPr>
        <w:jc w:val="both"/>
        <w:spacing w:before="240" w:after="120" w:line="360" w:lineRule="auto"/>
      </w:pPr>
      <w:r>
        <w:rPr>
          <w:rFonts w:ascii="Times New Roman" w:hAnsi="Times New Roman"/>
          <w:b/>
          <w:sz w:val="24"/>
        </w:rPr>
        <w:t xml:space="preserve">Keywords: </w:t>
      </w:r>
      <w:r>
        <w:rPr>
          <w:rFonts w:ascii="Times New Roman" w:hAnsi="Times New Roman"/>
          <w:sz w:val="24"/>
        </w:rPr>
        <w:t>Visible Light Communication, Color Shift Keying, IEEE 802.15.7, Reed-Solomon Codec, Galois Field GF(2^8), Adaptive Error Control, Channel Estimation, Error Vector Magnitude, Goodput Optimization, Optical Wireless.</w:t>
      </w:r>
    </w:p>
    <w:p>
      <w:r>
        <w:br w:type="page"/>
      </w:r>
    </w:p>
    <w:p>
      <w:pPr>
        <w:jc w:val="center"/>
        <w:spacing w:before="240" w:after="360"/>
      </w:pPr>
      <w:r>
        <w:rPr>
          <w:rFonts w:ascii="Times New Roman" w:hAnsi="Times New Roman"/>
          <w:b/>
          <w:sz w:val="28"/>
        </w:rPr>
        <w:t>TABLE OF CONTENTS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8064"/>
          </w:tcPr>
          <w:p>
            <w:pPr>
              <w:spacing w:before="20" w:after="20" w:line="276" w:lineRule="auto"/>
              <w:jc w:val="left"/>
            </w:pPr>
            <w:r/>
            <w:r>
              <w:rPr>
                <w:rFonts w:ascii="Times New Roman" w:hAnsi="Times New Roman"/>
                <w:b/>
                <w:sz w:val="21"/>
              </w:rPr>
              <w:t>Title</w:t>
            </w:r>
          </w:p>
        </w:tc>
        <w:tc>
          <w:tcPr>
            <w:tcW w:type="dxa" w:w="1296"/>
          </w:tcPr>
          <w:p>
            <w:pPr>
              <w:spacing w:before="20" w:after="20" w:line="276" w:lineRule="auto"/>
              <w:jc w:val="right"/>
            </w:pPr>
            <w:r/>
            <w:r>
              <w:rPr>
                <w:rFonts w:ascii="Times New Roman" w:hAnsi="Times New Roman"/>
                <w:b/>
                <w:sz w:val="21"/>
              </w:rPr>
              <w:t>Page No.</w:t>
            </w:r>
          </w:p>
        </w:tc>
      </w:tr>
      <w:tr>
        <w:tc>
          <w:tcPr>
            <w:tcW w:type="dxa" w:w="8064"/>
          </w:tcPr>
          <w:p>
            <w:pPr>
              <w:spacing w:before="20" w:after="20" w:line="276" w:lineRule="auto"/>
              <w:jc w:val="left"/>
            </w:pPr>
            <w:r/>
            <w:r>
              <w:rPr>
                <w:rFonts w:ascii="Times New Roman" w:hAnsi="Times New Roman"/>
                <w:b/>
                <w:sz w:val="21"/>
              </w:rPr>
              <w:t>Acknowledgement</w:t>
            </w:r>
          </w:p>
        </w:tc>
        <w:tc>
          <w:tcPr>
            <w:tcW w:type="dxa" w:w="1296"/>
          </w:tcPr>
          <w:p>
            <w:pPr>
              <w:spacing w:before="20" w:after="20" w:line="276" w:lineRule="auto"/>
              <w:jc w:val="right"/>
            </w:pPr>
            <w:r/>
            <w:r>
              <w:rPr>
                <w:rFonts w:ascii="Times New Roman" w:hAnsi="Times New Roman"/>
                <w:sz w:val="21"/>
              </w:rPr>
              <w:t>i</w:t>
            </w:r>
          </w:p>
        </w:tc>
      </w:tr>
      <w:tr>
        <w:tc>
          <w:tcPr>
            <w:tcW w:type="dxa" w:w="8064"/>
          </w:tcPr>
          <w:p>
            <w:pPr>
              <w:spacing w:before="20" w:after="20" w:line="276" w:lineRule="auto"/>
              <w:jc w:val="left"/>
            </w:pPr>
            <w:r/>
            <w:r>
              <w:rPr>
                <w:rFonts w:ascii="Times New Roman" w:hAnsi="Times New Roman"/>
                <w:b/>
                <w:sz w:val="21"/>
              </w:rPr>
              <w:t>Abstract</w:t>
            </w:r>
          </w:p>
        </w:tc>
        <w:tc>
          <w:tcPr>
            <w:tcW w:type="dxa" w:w="1296"/>
          </w:tcPr>
          <w:p>
            <w:pPr>
              <w:spacing w:before="20" w:after="20" w:line="276" w:lineRule="auto"/>
              <w:jc w:val="right"/>
            </w:pPr>
            <w:r/>
            <w:r>
              <w:rPr>
                <w:rFonts w:ascii="Times New Roman" w:hAnsi="Times New Roman"/>
                <w:sz w:val="21"/>
              </w:rPr>
              <w:t>ii</w:t>
            </w:r>
          </w:p>
        </w:tc>
      </w:tr>
      <w:tr>
        <w:tc>
          <w:tcPr>
            <w:tcW w:type="dxa" w:w="8064"/>
          </w:tcPr>
          <w:p>
            <w:pPr>
              <w:spacing w:before="20" w:after="20" w:line="276" w:lineRule="auto"/>
              <w:jc w:val="left"/>
            </w:pPr>
            <w:r/>
            <w:r>
              <w:rPr>
                <w:rFonts w:ascii="Times New Roman" w:hAnsi="Times New Roman"/>
                <w:b/>
                <w:sz w:val="21"/>
              </w:rPr>
              <w:t>List of Tables</w:t>
            </w:r>
          </w:p>
        </w:tc>
        <w:tc>
          <w:tcPr>
            <w:tcW w:type="dxa" w:w="1296"/>
          </w:tcPr>
          <w:p>
            <w:pPr>
              <w:spacing w:before="20" w:after="20" w:line="276" w:lineRule="auto"/>
              <w:jc w:val="right"/>
            </w:pPr>
            <w:r/>
            <w:r>
              <w:rPr>
                <w:rFonts w:ascii="Times New Roman" w:hAnsi="Times New Roman"/>
                <w:sz w:val="21"/>
              </w:rPr>
              <w:t>v</w:t>
            </w:r>
          </w:p>
        </w:tc>
      </w:tr>
      <w:tr>
        <w:tc>
          <w:tcPr>
            <w:tcW w:type="dxa" w:w="8064"/>
          </w:tcPr>
          <w:p>
            <w:pPr>
              <w:spacing w:before="20" w:after="20" w:line="276" w:lineRule="auto"/>
              <w:jc w:val="left"/>
            </w:pPr>
            <w:r/>
            <w:r>
              <w:rPr>
                <w:rFonts w:ascii="Times New Roman" w:hAnsi="Times New Roman"/>
                <w:b/>
                <w:sz w:val="21"/>
              </w:rPr>
              <w:t>List of Figures</w:t>
            </w:r>
          </w:p>
        </w:tc>
        <w:tc>
          <w:tcPr>
            <w:tcW w:type="dxa" w:w="1296"/>
          </w:tcPr>
          <w:p>
            <w:pPr>
              <w:spacing w:before="20" w:after="20" w:line="276" w:lineRule="auto"/>
              <w:jc w:val="right"/>
            </w:pPr>
            <w:r/>
            <w:r>
              <w:rPr>
                <w:rFonts w:ascii="Times New Roman" w:hAnsi="Times New Roman"/>
                <w:sz w:val="21"/>
              </w:rPr>
              <w:t>vii</w:t>
            </w:r>
          </w:p>
        </w:tc>
      </w:tr>
      <w:tr>
        <w:tc>
          <w:tcPr>
            <w:tcW w:type="dxa" w:w="8064"/>
          </w:tcPr>
          <w:p>
            <w:pPr>
              <w:spacing w:before="20" w:after="20" w:line="276" w:lineRule="auto"/>
              <w:jc w:val="left"/>
            </w:pPr>
            <w:r/>
            <w:r>
              <w:rPr>
                <w:rFonts w:ascii="Times New Roman" w:hAnsi="Times New Roman"/>
                <w:b/>
                <w:sz w:val="21"/>
              </w:rPr>
              <w:t>List of Symbols and Abbreviations</w:t>
            </w:r>
          </w:p>
        </w:tc>
        <w:tc>
          <w:tcPr>
            <w:tcW w:type="dxa" w:w="1296"/>
          </w:tcPr>
          <w:p>
            <w:pPr>
              <w:spacing w:before="20" w:after="20" w:line="276" w:lineRule="auto"/>
              <w:jc w:val="right"/>
            </w:pPr>
            <w:r/>
            <w:r>
              <w:rPr>
                <w:rFonts w:ascii="Times New Roman" w:hAnsi="Times New Roman"/>
                <w:sz w:val="21"/>
              </w:rPr>
              <w:t>viii</w:t>
            </w:r>
          </w:p>
        </w:tc>
      </w:tr>
      <w:tr>
        <w:tc>
          <w:tcPr>
            <w:tcW w:type="dxa" w:w="8064"/>
          </w:tcPr>
          <w:p>
            <w:pPr>
              <w:spacing w:before="20" w:after="20" w:line="276" w:lineRule="auto"/>
              <w:jc w:val="left"/>
            </w:pPr>
            <w:r/>
            <w:r>
              <w:rPr>
                <w:rFonts w:ascii="Times New Roman" w:hAnsi="Times New Roman"/>
                <w:sz w:val="21"/>
              </w:rPr>
            </w:r>
          </w:p>
        </w:tc>
        <w:tc>
          <w:tcPr>
            <w:tcW w:type="dxa" w:w="1296"/>
          </w:tcPr>
          <w:p>
            <w:pPr>
              <w:spacing w:before="20" w:after="20" w:line="276" w:lineRule="auto"/>
              <w:jc w:val="right"/>
            </w:pPr>
            <w:r/>
            <w:r>
              <w:rPr>
                <w:rFonts w:ascii="Times New Roman" w:hAnsi="Times New Roman"/>
                <w:sz w:val="21"/>
              </w:rPr>
            </w:r>
          </w:p>
        </w:tc>
      </w:tr>
      <w:tr>
        <w:tc>
          <w:tcPr>
            <w:tcW w:type="dxa" w:w="8064"/>
          </w:tcPr>
          <w:p>
            <w:pPr>
              <w:spacing w:before="20" w:after="20" w:line="276" w:lineRule="auto"/>
              <w:jc w:val="left"/>
            </w:pPr>
            <w:r/>
            <w:r>
              <w:rPr>
                <w:rFonts w:ascii="Times New Roman" w:hAnsi="Times New Roman"/>
                <w:b/>
                <w:sz w:val="21"/>
              </w:rPr>
              <w:t>CHAPTER 1  INTRODUCTION</w:t>
            </w:r>
          </w:p>
        </w:tc>
        <w:tc>
          <w:tcPr>
            <w:tcW w:type="dxa" w:w="1296"/>
          </w:tcPr>
          <w:p>
            <w:pPr>
              <w:spacing w:before="20" w:after="20" w:line="276" w:lineRule="auto"/>
              <w:jc w:val="right"/>
            </w:pPr>
            <w:r/>
            <w:r>
              <w:rPr>
                <w:rFonts w:ascii="Times New Roman" w:hAnsi="Times New Roman"/>
                <w:b/>
                <w:sz w:val="21"/>
              </w:rPr>
              <w:t>1</w:t>
            </w:r>
          </w:p>
        </w:tc>
      </w:tr>
      <w:tr>
        <w:tc>
          <w:tcPr>
            <w:tcW w:type="dxa" w:w="8064"/>
          </w:tcPr>
          <w:p>
            <w:pPr>
              <w:spacing w:before="20" w:after="20" w:line="276" w:lineRule="auto"/>
              <w:jc w:val="left"/>
            </w:pPr>
            <w:r/>
            <w:r>
              <w:rPr>
                <w:rFonts w:ascii="Times New Roman" w:hAnsi="Times New Roman"/>
                <w:sz w:val="21"/>
              </w:rPr>
              <w:t>1.1 Background of Visible Light Communication (VLC)</w:t>
            </w:r>
          </w:p>
        </w:tc>
        <w:tc>
          <w:tcPr>
            <w:tcW w:type="dxa" w:w="1296"/>
          </w:tcPr>
          <w:p>
            <w:pPr>
              <w:spacing w:before="20" w:after="20" w:line="276" w:lineRule="auto"/>
              <w:jc w:val="right"/>
            </w:pPr>
            <w:r/>
            <w:r>
              <w:rPr>
                <w:rFonts w:ascii="Times New Roman" w:hAnsi="Times New Roman"/>
                <w:sz w:val="21"/>
              </w:rPr>
              <w:t>1</w:t>
            </w:r>
          </w:p>
        </w:tc>
      </w:tr>
      <w:tr>
        <w:tc>
          <w:tcPr>
            <w:tcW w:type="dxa" w:w="8064"/>
          </w:tcPr>
          <w:p>
            <w:pPr>
              <w:spacing w:before="20" w:after="20" w:line="276" w:lineRule="auto"/>
              <w:jc w:val="left"/>
            </w:pPr>
            <w:r/>
            <w:r>
              <w:rPr>
                <w:rFonts w:ascii="Times New Roman" w:hAnsi="Times New Roman"/>
                <w:sz w:val="21"/>
              </w:rPr>
              <w:t>1.2 The Spectrum Bottleneck and Optical Wireless Solutions</w:t>
            </w:r>
          </w:p>
        </w:tc>
        <w:tc>
          <w:tcPr>
            <w:tcW w:type="dxa" w:w="1296"/>
          </w:tcPr>
          <w:p>
            <w:pPr>
              <w:spacing w:before="20" w:after="20" w:line="276" w:lineRule="auto"/>
              <w:jc w:val="right"/>
            </w:pPr>
            <w:r/>
            <w:r>
              <w:rPr>
                <w:rFonts w:ascii="Times New Roman" w:hAnsi="Times New Roman"/>
                <w:sz w:val="21"/>
              </w:rPr>
              <w:t>3</w:t>
            </w:r>
          </w:p>
        </w:tc>
      </w:tr>
      <w:tr>
        <w:tc>
          <w:tcPr>
            <w:tcW w:type="dxa" w:w="8064"/>
          </w:tcPr>
          <w:p>
            <w:pPr>
              <w:spacing w:before="20" w:after="20" w:line="276" w:lineRule="auto"/>
              <w:jc w:val="left"/>
            </w:pPr>
            <w:r/>
            <w:r>
              <w:rPr>
                <w:rFonts w:ascii="Times New Roman" w:hAnsi="Times New Roman"/>
                <w:sz w:val="21"/>
              </w:rPr>
              <w:t>1.3 Motivation: Static Coding Inefficiencies in Dynamic VLC</w:t>
            </w:r>
          </w:p>
        </w:tc>
        <w:tc>
          <w:tcPr>
            <w:tcW w:type="dxa" w:w="1296"/>
          </w:tcPr>
          <w:p>
            <w:pPr>
              <w:spacing w:before="20" w:after="20" w:line="276" w:lineRule="auto"/>
              <w:jc w:val="right"/>
            </w:pPr>
            <w:r/>
            <w:r>
              <w:rPr>
                <w:rFonts w:ascii="Times New Roman" w:hAnsi="Times New Roman"/>
                <w:sz w:val="21"/>
              </w:rPr>
              <w:t>4</w:t>
            </w:r>
          </w:p>
        </w:tc>
      </w:tr>
      <w:tr>
        <w:tc>
          <w:tcPr>
            <w:tcW w:type="dxa" w:w="8064"/>
          </w:tcPr>
          <w:p>
            <w:pPr>
              <w:spacing w:before="20" w:after="20" w:line="276" w:lineRule="auto"/>
              <w:jc w:val="left"/>
            </w:pPr>
            <w:r/>
            <w:r>
              <w:rPr>
                <w:rFonts w:ascii="Times New Roman" w:hAnsi="Times New Roman"/>
                <w:sz w:val="21"/>
              </w:rPr>
              <w:t>1.4 Problem Formulation and Mathematical Framework</w:t>
            </w:r>
          </w:p>
        </w:tc>
        <w:tc>
          <w:tcPr>
            <w:tcW w:type="dxa" w:w="1296"/>
          </w:tcPr>
          <w:p>
            <w:pPr>
              <w:spacing w:before="20" w:after="20" w:line="276" w:lineRule="auto"/>
              <w:jc w:val="right"/>
            </w:pPr>
            <w:r/>
            <w:r>
              <w:rPr>
                <w:rFonts w:ascii="Times New Roman" w:hAnsi="Times New Roman"/>
                <w:sz w:val="21"/>
              </w:rPr>
              <w:t>5</w:t>
            </w:r>
          </w:p>
        </w:tc>
      </w:tr>
      <w:tr>
        <w:tc>
          <w:tcPr>
            <w:tcW w:type="dxa" w:w="8064"/>
          </w:tcPr>
          <w:p>
            <w:pPr>
              <w:spacing w:before="20" w:after="20" w:line="276" w:lineRule="auto"/>
              <w:jc w:val="left"/>
            </w:pPr>
            <w:r/>
            <w:r>
              <w:rPr>
                <w:rFonts w:ascii="Times New Roman" w:hAnsi="Times New Roman"/>
                <w:sz w:val="21"/>
              </w:rPr>
              <w:t>1.5 Objectives of the Mini Project</w:t>
            </w:r>
          </w:p>
        </w:tc>
        <w:tc>
          <w:tcPr>
            <w:tcW w:type="dxa" w:w="1296"/>
          </w:tcPr>
          <w:p>
            <w:pPr>
              <w:spacing w:before="20" w:after="20" w:line="276" w:lineRule="auto"/>
              <w:jc w:val="right"/>
            </w:pPr>
            <w:r/>
            <w:r>
              <w:rPr>
                <w:rFonts w:ascii="Times New Roman" w:hAnsi="Times New Roman"/>
                <w:sz w:val="21"/>
              </w:rPr>
              <w:t>6</w:t>
            </w:r>
          </w:p>
        </w:tc>
      </w:tr>
      <w:tr>
        <w:tc>
          <w:tcPr>
            <w:tcW w:type="dxa" w:w="8064"/>
          </w:tcPr>
          <w:p>
            <w:pPr>
              <w:spacing w:before="20" w:after="20" w:line="276" w:lineRule="auto"/>
              <w:jc w:val="left"/>
            </w:pPr>
            <w:r/>
            <w:r>
              <w:rPr>
                <w:rFonts w:ascii="Times New Roman" w:hAnsi="Times New Roman"/>
                <w:sz w:val="21"/>
              </w:rPr>
              <w:t>1.6 Scope and Delimitations of the Work</w:t>
            </w:r>
          </w:p>
        </w:tc>
        <w:tc>
          <w:tcPr>
            <w:tcW w:type="dxa" w:w="1296"/>
          </w:tcPr>
          <w:p>
            <w:pPr>
              <w:spacing w:before="20" w:after="20" w:line="276" w:lineRule="auto"/>
              <w:jc w:val="right"/>
            </w:pPr>
            <w:r/>
            <w:r>
              <w:rPr>
                <w:rFonts w:ascii="Times New Roman" w:hAnsi="Times New Roman"/>
                <w:sz w:val="21"/>
              </w:rPr>
              <w:t>7</w:t>
            </w:r>
          </w:p>
        </w:tc>
      </w:tr>
      <w:tr>
        <w:tc>
          <w:tcPr>
            <w:tcW w:type="dxa" w:w="8064"/>
          </w:tcPr>
          <w:p>
            <w:pPr>
              <w:spacing w:before="20" w:after="20" w:line="276" w:lineRule="auto"/>
              <w:jc w:val="left"/>
            </w:pPr>
            <w:r/>
            <w:r>
              <w:rPr>
                <w:rFonts w:ascii="Times New Roman" w:hAnsi="Times New Roman"/>
                <w:sz w:val="21"/>
              </w:rPr>
              <w:t>1.7 Organization of the Project Report</w:t>
            </w:r>
          </w:p>
        </w:tc>
        <w:tc>
          <w:tcPr>
            <w:tcW w:type="dxa" w:w="1296"/>
          </w:tcPr>
          <w:p>
            <w:pPr>
              <w:spacing w:before="20" w:after="20" w:line="276" w:lineRule="auto"/>
              <w:jc w:val="right"/>
            </w:pPr>
            <w:r/>
            <w:r>
              <w:rPr>
                <w:rFonts w:ascii="Times New Roman" w:hAnsi="Times New Roman"/>
                <w:sz w:val="21"/>
              </w:rPr>
              <w:t>7</w:t>
            </w:r>
          </w:p>
        </w:tc>
      </w:tr>
      <w:tr>
        <w:tc>
          <w:tcPr>
            <w:tcW w:type="dxa" w:w="8064"/>
          </w:tcPr>
          <w:p>
            <w:pPr>
              <w:spacing w:before="20" w:after="20" w:line="276" w:lineRule="auto"/>
              <w:jc w:val="left"/>
            </w:pPr>
            <w:r/>
            <w:r>
              <w:rPr>
                <w:rFonts w:ascii="Times New Roman" w:hAnsi="Times New Roman"/>
                <w:sz w:val="21"/>
              </w:rPr>
            </w:r>
          </w:p>
        </w:tc>
        <w:tc>
          <w:tcPr>
            <w:tcW w:type="dxa" w:w="1296"/>
          </w:tcPr>
          <w:p>
            <w:pPr>
              <w:spacing w:before="20" w:after="20" w:line="276" w:lineRule="auto"/>
              <w:jc w:val="right"/>
            </w:pPr>
            <w:r/>
            <w:r>
              <w:rPr>
                <w:rFonts w:ascii="Times New Roman" w:hAnsi="Times New Roman"/>
                <w:sz w:val="21"/>
              </w:rPr>
            </w:r>
          </w:p>
        </w:tc>
      </w:tr>
      <w:tr>
        <w:tc>
          <w:tcPr>
            <w:tcW w:type="dxa" w:w="8064"/>
          </w:tcPr>
          <w:p>
            <w:pPr>
              <w:spacing w:before="20" w:after="20" w:line="276" w:lineRule="auto"/>
              <w:jc w:val="left"/>
            </w:pPr>
            <w:r/>
            <w:r>
              <w:rPr>
                <w:rFonts w:ascii="Times New Roman" w:hAnsi="Times New Roman"/>
                <w:b/>
                <w:sz w:val="21"/>
              </w:rPr>
              <w:t>CHAPTER 2  LITERATURE REVIEW AND THEORETICAL FOUNDATIONS</w:t>
            </w:r>
          </w:p>
        </w:tc>
        <w:tc>
          <w:tcPr>
            <w:tcW w:type="dxa" w:w="1296"/>
          </w:tcPr>
          <w:p>
            <w:pPr>
              <w:spacing w:before="20" w:after="20" w:line="276" w:lineRule="auto"/>
              <w:jc w:val="right"/>
            </w:pPr>
            <w:r/>
            <w:r>
              <w:rPr>
                <w:rFonts w:ascii="Times New Roman" w:hAnsi="Times New Roman"/>
                <w:b/>
                <w:sz w:val="21"/>
              </w:rPr>
              <w:t>8</w:t>
            </w:r>
          </w:p>
        </w:tc>
      </w:tr>
      <w:tr>
        <w:tc>
          <w:tcPr>
            <w:tcW w:type="dxa" w:w="8064"/>
          </w:tcPr>
          <w:p>
            <w:pPr>
              <w:spacing w:before="20" w:after="20" w:line="276" w:lineRule="auto"/>
              <w:jc w:val="left"/>
            </w:pPr>
            <w:r/>
            <w:r>
              <w:rPr>
                <w:rFonts w:ascii="Times New Roman" w:hAnsi="Times New Roman"/>
                <w:sz w:val="21"/>
              </w:rPr>
              <w:t>2.1 Evolution of Optical Wireless and Li-Fi Technologies</w:t>
            </w:r>
          </w:p>
        </w:tc>
        <w:tc>
          <w:tcPr>
            <w:tcW w:type="dxa" w:w="1296"/>
          </w:tcPr>
          <w:p>
            <w:pPr>
              <w:spacing w:before="20" w:after="20" w:line="276" w:lineRule="auto"/>
              <w:jc w:val="right"/>
            </w:pPr>
            <w:r/>
            <w:r>
              <w:rPr>
                <w:rFonts w:ascii="Times New Roman" w:hAnsi="Times New Roman"/>
                <w:sz w:val="21"/>
              </w:rPr>
              <w:t>8</w:t>
            </w:r>
          </w:p>
        </w:tc>
      </w:tr>
      <w:tr>
        <w:tc>
          <w:tcPr>
            <w:tcW w:type="dxa" w:w="8064"/>
          </w:tcPr>
          <w:p>
            <w:pPr>
              <w:spacing w:before="20" w:after="20" w:line="276" w:lineRule="auto"/>
              <w:jc w:val="left"/>
            </w:pPr>
            <w:r/>
            <w:r>
              <w:rPr>
                <w:rFonts w:ascii="Times New Roman" w:hAnsi="Times New Roman"/>
                <w:sz w:val="21"/>
              </w:rPr>
              <w:t>2.2 IEEE 802.15.7 Physical Layer Standards and Modulation Schemes</w:t>
            </w:r>
          </w:p>
        </w:tc>
        <w:tc>
          <w:tcPr>
            <w:tcW w:type="dxa" w:w="1296"/>
          </w:tcPr>
          <w:p>
            <w:pPr>
              <w:spacing w:before="20" w:after="20" w:line="276" w:lineRule="auto"/>
              <w:jc w:val="right"/>
            </w:pPr>
            <w:r/>
            <w:r>
              <w:rPr>
                <w:rFonts w:ascii="Times New Roman" w:hAnsi="Times New Roman"/>
                <w:sz w:val="21"/>
              </w:rPr>
              <w:t>9</w:t>
            </w:r>
          </w:p>
        </w:tc>
      </w:tr>
      <w:tr>
        <w:tc>
          <w:tcPr>
            <w:tcW w:type="dxa" w:w="8064"/>
          </w:tcPr>
          <w:p>
            <w:pPr>
              <w:spacing w:before="20" w:after="20" w:line="276" w:lineRule="auto"/>
              <w:jc w:val="left"/>
            </w:pPr>
            <w:r/>
            <w:r>
              <w:rPr>
                <w:rFonts w:ascii="Times New Roman" w:hAnsi="Times New Roman"/>
                <w:sz w:val="21"/>
              </w:rPr>
              <w:t>2.3 Error Control Coding Fundamentals</w:t>
            </w:r>
          </w:p>
        </w:tc>
        <w:tc>
          <w:tcPr>
            <w:tcW w:type="dxa" w:w="1296"/>
          </w:tcPr>
          <w:p>
            <w:pPr>
              <w:spacing w:before="20" w:after="20" w:line="276" w:lineRule="auto"/>
              <w:jc w:val="right"/>
            </w:pPr>
            <w:r/>
            <w:r>
              <w:rPr>
                <w:rFonts w:ascii="Times New Roman" w:hAnsi="Times New Roman"/>
                <w:sz w:val="21"/>
              </w:rPr>
              <w:t>10</w:t>
            </w:r>
          </w:p>
        </w:tc>
      </w:tr>
      <w:tr>
        <w:tc>
          <w:tcPr>
            <w:tcW w:type="dxa" w:w="8064"/>
          </w:tcPr>
          <w:p>
            <w:pPr>
              <w:spacing w:before="20" w:after="20" w:line="276" w:lineRule="auto"/>
              <w:jc w:val="left"/>
            </w:pPr>
            <w:r/>
            <w:r>
              <w:rPr>
                <w:rFonts w:ascii="Times New Roman" w:hAnsi="Times New Roman"/>
                <w:sz w:val="21"/>
              </w:rPr>
              <w:t>2.4 Channel Estimation and Error Vector Magnitude (EVM) Metrics</w:t>
            </w:r>
          </w:p>
        </w:tc>
        <w:tc>
          <w:tcPr>
            <w:tcW w:type="dxa" w:w="1296"/>
          </w:tcPr>
          <w:p>
            <w:pPr>
              <w:spacing w:before="20" w:after="20" w:line="276" w:lineRule="auto"/>
              <w:jc w:val="right"/>
            </w:pPr>
            <w:r/>
            <w:r>
              <w:rPr>
                <w:rFonts w:ascii="Times New Roman" w:hAnsi="Times New Roman"/>
                <w:sz w:val="21"/>
              </w:rPr>
              <w:t>12</w:t>
            </w:r>
          </w:p>
        </w:tc>
      </w:tr>
      <w:tr>
        <w:tc>
          <w:tcPr>
            <w:tcW w:type="dxa" w:w="8064"/>
          </w:tcPr>
          <w:p>
            <w:pPr>
              <w:spacing w:before="20" w:after="20" w:line="276" w:lineRule="auto"/>
              <w:jc w:val="left"/>
            </w:pPr>
            <w:r/>
            <w:r>
              <w:rPr>
                <w:rFonts w:ascii="Times New Roman" w:hAnsi="Times New Roman"/>
                <w:sz w:val="21"/>
              </w:rPr>
              <w:t>2.5 Adaptive Modulation and Coding (AMC) in Optical Networks</w:t>
            </w:r>
          </w:p>
        </w:tc>
        <w:tc>
          <w:tcPr>
            <w:tcW w:type="dxa" w:w="1296"/>
          </w:tcPr>
          <w:p>
            <w:pPr>
              <w:spacing w:before="20" w:after="20" w:line="276" w:lineRule="auto"/>
              <w:jc w:val="right"/>
            </w:pPr>
            <w:r/>
            <w:r>
              <w:rPr>
                <w:rFonts w:ascii="Times New Roman" w:hAnsi="Times New Roman"/>
                <w:sz w:val="21"/>
              </w:rPr>
              <w:t>13</w:t>
            </w:r>
          </w:p>
        </w:tc>
      </w:tr>
      <w:tr>
        <w:tc>
          <w:tcPr>
            <w:tcW w:type="dxa" w:w="8064"/>
          </w:tcPr>
          <w:p>
            <w:pPr>
              <w:spacing w:before="20" w:after="20" w:line="276" w:lineRule="auto"/>
              <w:jc w:val="left"/>
            </w:pPr>
            <w:r/>
            <w:r>
              <w:rPr>
                <w:rFonts w:ascii="Times New Roman" w:hAnsi="Times New Roman"/>
                <w:sz w:val="21"/>
              </w:rPr>
              <w:t>2.6 Gap Analysis and Summary of Identified Research Opportunities</w:t>
            </w:r>
          </w:p>
        </w:tc>
        <w:tc>
          <w:tcPr>
            <w:tcW w:type="dxa" w:w="1296"/>
          </w:tcPr>
          <w:p>
            <w:pPr>
              <w:spacing w:before="20" w:after="20" w:line="276" w:lineRule="auto"/>
              <w:jc w:val="right"/>
            </w:pPr>
            <w:r/>
            <w:r>
              <w:rPr>
                <w:rFonts w:ascii="Times New Roman" w:hAnsi="Times New Roman"/>
                <w:sz w:val="21"/>
              </w:rPr>
              <w:t>13</w:t>
            </w:r>
          </w:p>
        </w:tc>
      </w:tr>
      <w:tr>
        <w:tc>
          <w:tcPr>
            <w:tcW w:type="dxa" w:w="8064"/>
          </w:tcPr>
          <w:p>
            <w:pPr>
              <w:spacing w:before="20" w:after="20" w:line="276" w:lineRule="auto"/>
              <w:jc w:val="left"/>
            </w:pPr>
            <w:r/>
            <w:r>
              <w:rPr>
                <w:rFonts w:ascii="Times New Roman" w:hAnsi="Times New Roman"/>
                <w:sz w:val="21"/>
              </w:rPr>
            </w:r>
          </w:p>
        </w:tc>
        <w:tc>
          <w:tcPr>
            <w:tcW w:type="dxa" w:w="1296"/>
          </w:tcPr>
          <w:p>
            <w:pPr>
              <w:spacing w:before="20" w:after="20" w:line="276" w:lineRule="auto"/>
              <w:jc w:val="right"/>
            </w:pPr>
            <w:r/>
            <w:r>
              <w:rPr>
                <w:rFonts w:ascii="Times New Roman" w:hAnsi="Times New Roman"/>
                <w:sz w:val="21"/>
              </w:rPr>
            </w:r>
          </w:p>
        </w:tc>
      </w:tr>
      <w:tr>
        <w:tc>
          <w:tcPr>
            <w:tcW w:type="dxa" w:w="8064"/>
          </w:tcPr>
          <w:p>
            <w:pPr>
              <w:spacing w:before="20" w:after="20" w:line="276" w:lineRule="auto"/>
              <w:jc w:val="left"/>
            </w:pPr>
            <w:r/>
            <w:r>
              <w:rPr>
                <w:rFonts w:ascii="Times New Roman" w:hAnsi="Times New Roman"/>
                <w:b/>
                <w:sz w:val="21"/>
              </w:rPr>
              <w:t>CHAPTER 3  OPTICAL CHANNEL AND 4-CSK MODULATION ARCHITECTURE</w:t>
            </w:r>
          </w:p>
        </w:tc>
        <w:tc>
          <w:tcPr>
            <w:tcW w:type="dxa" w:w="1296"/>
          </w:tcPr>
          <w:p>
            <w:pPr>
              <w:spacing w:before="20" w:after="20" w:line="276" w:lineRule="auto"/>
              <w:jc w:val="right"/>
            </w:pPr>
            <w:r/>
            <w:r>
              <w:rPr>
                <w:rFonts w:ascii="Times New Roman" w:hAnsi="Times New Roman"/>
                <w:b/>
                <w:sz w:val="21"/>
              </w:rPr>
              <w:t>14</w:t>
            </w:r>
          </w:p>
        </w:tc>
      </w:tr>
      <w:tr>
        <w:tc>
          <w:tcPr>
            <w:tcW w:type="dxa" w:w="8064"/>
          </w:tcPr>
          <w:p>
            <w:pPr>
              <w:spacing w:before="20" w:after="20" w:line="276" w:lineRule="auto"/>
              <w:jc w:val="left"/>
            </w:pPr>
            <w:r/>
            <w:r>
              <w:rPr>
                <w:rFonts w:ascii="Times New Roman" w:hAnsi="Times New Roman"/>
                <w:sz w:val="21"/>
              </w:rPr>
              <w:t>3.1 Physics of the Indoor Line-of-Sight (LOS) Optical Channel</w:t>
            </w:r>
          </w:p>
        </w:tc>
        <w:tc>
          <w:tcPr>
            <w:tcW w:type="dxa" w:w="1296"/>
          </w:tcPr>
          <w:p>
            <w:pPr>
              <w:spacing w:before="20" w:after="20" w:line="276" w:lineRule="auto"/>
              <w:jc w:val="right"/>
            </w:pPr>
            <w:r/>
            <w:r>
              <w:rPr>
                <w:rFonts w:ascii="Times New Roman" w:hAnsi="Times New Roman"/>
                <w:sz w:val="21"/>
              </w:rPr>
              <w:t>14</w:t>
            </w:r>
          </w:p>
        </w:tc>
      </w:tr>
      <w:tr>
        <w:tc>
          <w:tcPr>
            <w:tcW w:type="dxa" w:w="8064"/>
          </w:tcPr>
          <w:p>
            <w:pPr>
              <w:spacing w:before="20" w:after="20" w:line="276" w:lineRule="auto"/>
              <w:jc w:val="left"/>
            </w:pPr>
            <w:r/>
            <w:r>
              <w:rPr>
                <w:rFonts w:ascii="Times New Roman" w:hAnsi="Times New Roman"/>
                <w:sz w:val="21"/>
              </w:rPr>
              <w:t>3.2 Optical Emitter Characteristics and Lambertian Radiation Modeling</w:t>
            </w:r>
          </w:p>
        </w:tc>
        <w:tc>
          <w:tcPr>
            <w:tcW w:type="dxa" w:w="1296"/>
          </w:tcPr>
          <w:p>
            <w:pPr>
              <w:spacing w:before="20" w:after="20" w:line="276" w:lineRule="auto"/>
              <w:jc w:val="right"/>
            </w:pPr>
            <w:r/>
            <w:r>
              <w:rPr>
                <w:rFonts w:ascii="Times New Roman" w:hAnsi="Times New Roman"/>
                <w:sz w:val="21"/>
              </w:rPr>
              <w:t>15</w:t>
            </w:r>
          </w:p>
        </w:tc>
      </w:tr>
      <w:tr>
        <w:tc>
          <w:tcPr>
            <w:tcW w:type="dxa" w:w="8064"/>
          </w:tcPr>
          <w:p>
            <w:pPr>
              <w:spacing w:before="20" w:after="20" w:line="276" w:lineRule="auto"/>
              <w:jc w:val="left"/>
            </w:pPr>
            <w:r/>
            <w:r>
              <w:rPr>
                <w:rFonts w:ascii="Times New Roman" w:hAnsi="Times New Roman"/>
                <w:sz w:val="21"/>
              </w:rPr>
              <w:t>3.3 Receiver Photodiode Responsivity and Thermal Noise Mechanics</w:t>
            </w:r>
          </w:p>
        </w:tc>
        <w:tc>
          <w:tcPr>
            <w:tcW w:type="dxa" w:w="1296"/>
          </w:tcPr>
          <w:p>
            <w:pPr>
              <w:spacing w:before="20" w:after="20" w:line="276" w:lineRule="auto"/>
              <w:jc w:val="right"/>
            </w:pPr>
            <w:r/>
            <w:r>
              <w:rPr>
                <w:rFonts w:ascii="Times New Roman" w:hAnsi="Times New Roman"/>
                <w:sz w:val="21"/>
              </w:rPr>
              <w:t>16</w:t>
            </w:r>
          </w:p>
        </w:tc>
      </w:tr>
      <w:tr>
        <w:tc>
          <w:tcPr>
            <w:tcW w:type="dxa" w:w="8064"/>
          </w:tcPr>
          <w:p>
            <w:pPr>
              <w:spacing w:before="20" w:after="20" w:line="276" w:lineRule="auto"/>
              <w:jc w:val="left"/>
            </w:pPr>
            <w:r/>
            <w:r>
              <w:rPr>
                <w:rFonts w:ascii="Times New Roman" w:hAnsi="Times New Roman"/>
                <w:sz w:val="21"/>
              </w:rPr>
              <w:t>3.4 Color Shift Keying (4-CSK) Constellation Mapping in RGB Space</w:t>
            </w:r>
          </w:p>
        </w:tc>
        <w:tc>
          <w:tcPr>
            <w:tcW w:type="dxa" w:w="1296"/>
          </w:tcPr>
          <w:p>
            <w:pPr>
              <w:spacing w:before="20" w:after="20" w:line="276" w:lineRule="auto"/>
              <w:jc w:val="right"/>
            </w:pPr>
            <w:r/>
            <w:r>
              <w:rPr>
                <w:rFonts w:ascii="Times New Roman" w:hAnsi="Times New Roman"/>
                <w:sz w:val="21"/>
              </w:rPr>
              <w:t>17</w:t>
            </w:r>
          </w:p>
        </w:tc>
      </w:tr>
      <w:tr>
        <w:tc>
          <w:tcPr>
            <w:tcW w:type="dxa" w:w="8064"/>
          </w:tcPr>
          <w:p>
            <w:pPr>
              <w:spacing w:before="20" w:after="20" w:line="276" w:lineRule="auto"/>
              <w:jc w:val="left"/>
            </w:pPr>
            <w:r/>
            <w:r>
              <w:rPr>
                <w:rFonts w:ascii="Times New Roman" w:hAnsi="Times New Roman"/>
                <w:sz w:val="21"/>
              </w:rPr>
              <w:t>3.5 Optical Crosstalk and Inter-Channel Interference Matrix</w:t>
            </w:r>
          </w:p>
        </w:tc>
        <w:tc>
          <w:tcPr>
            <w:tcW w:type="dxa" w:w="1296"/>
          </w:tcPr>
          <w:p>
            <w:pPr>
              <w:spacing w:before="20" w:after="20" w:line="276" w:lineRule="auto"/>
              <w:jc w:val="right"/>
            </w:pPr>
            <w:r/>
            <w:r>
              <w:rPr>
                <w:rFonts w:ascii="Times New Roman" w:hAnsi="Times New Roman"/>
                <w:sz w:val="21"/>
              </w:rPr>
              <w:t>18</w:t>
            </w:r>
          </w:p>
        </w:tc>
      </w:tr>
      <w:tr>
        <w:tc>
          <w:tcPr>
            <w:tcW w:type="dxa" w:w="8064"/>
          </w:tcPr>
          <w:p>
            <w:pPr>
              <w:spacing w:before="20" w:after="20" w:line="276" w:lineRule="auto"/>
              <w:jc w:val="left"/>
            </w:pPr>
            <w:r/>
            <w:r>
              <w:rPr>
                <w:rFonts w:ascii="Times New Roman" w:hAnsi="Times New Roman"/>
                <w:sz w:val="21"/>
              </w:rPr>
              <w:t>3.6 Optical Dimming Mechanics and Constant Illuminance Invariance</w:t>
            </w:r>
          </w:p>
        </w:tc>
        <w:tc>
          <w:tcPr>
            <w:tcW w:type="dxa" w:w="1296"/>
          </w:tcPr>
          <w:p>
            <w:pPr>
              <w:spacing w:before="20" w:after="20" w:line="276" w:lineRule="auto"/>
              <w:jc w:val="right"/>
            </w:pPr>
            <w:r/>
            <w:r>
              <w:rPr>
                <w:rFonts w:ascii="Times New Roman" w:hAnsi="Times New Roman"/>
                <w:sz w:val="21"/>
              </w:rPr>
              <w:t>19</w:t>
            </w:r>
          </w:p>
        </w:tc>
      </w:tr>
      <w:tr>
        <w:tc>
          <w:tcPr>
            <w:tcW w:type="dxa" w:w="8064"/>
          </w:tcPr>
          <w:p>
            <w:pPr>
              <w:spacing w:before="20" w:after="20" w:line="276" w:lineRule="auto"/>
              <w:jc w:val="left"/>
            </w:pPr>
            <w:r/>
            <w:r>
              <w:rPr>
                <w:rFonts w:ascii="Times New Roman" w:hAnsi="Times New Roman"/>
                <w:sz w:val="21"/>
              </w:rPr>
              <w:t>3.7 Demapping Dynamics and Automatic Gain Control (AGC)</w:t>
            </w:r>
          </w:p>
        </w:tc>
        <w:tc>
          <w:tcPr>
            <w:tcW w:type="dxa" w:w="1296"/>
          </w:tcPr>
          <w:p>
            <w:pPr>
              <w:spacing w:before="20" w:after="20" w:line="276" w:lineRule="auto"/>
              <w:jc w:val="right"/>
            </w:pPr>
            <w:r/>
            <w:r>
              <w:rPr>
                <w:rFonts w:ascii="Times New Roman" w:hAnsi="Times New Roman"/>
                <w:sz w:val="21"/>
              </w:rPr>
              <w:t>19</w:t>
            </w:r>
          </w:p>
        </w:tc>
      </w:tr>
      <w:tr>
        <w:tc>
          <w:tcPr>
            <w:tcW w:type="dxa" w:w="8064"/>
          </w:tcPr>
          <w:p>
            <w:pPr>
              <w:spacing w:before="20" w:after="20" w:line="276" w:lineRule="auto"/>
              <w:jc w:val="left"/>
            </w:pPr>
            <w:r/>
            <w:r>
              <w:rPr>
                <w:rFonts w:ascii="Times New Roman" w:hAnsi="Times New Roman"/>
                <w:sz w:val="21"/>
              </w:rPr>
            </w:r>
          </w:p>
        </w:tc>
        <w:tc>
          <w:tcPr>
            <w:tcW w:type="dxa" w:w="1296"/>
          </w:tcPr>
          <w:p>
            <w:pPr>
              <w:spacing w:before="20" w:after="20" w:line="276" w:lineRule="auto"/>
              <w:jc w:val="right"/>
            </w:pPr>
            <w:r/>
            <w:r>
              <w:rPr>
                <w:rFonts w:ascii="Times New Roman" w:hAnsi="Times New Roman"/>
                <w:sz w:val="21"/>
              </w:rPr>
            </w:r>
          </w:p>
        </w:tc>
      </w:tr>
      <w:tr>
        <w:tc>
          <w:tcPr>
            <w:tcW w:type="dxa" w:w="8064"/>
          </w:tcPr>
          <w:p>
            <w:pPr>
              <w:spacing w:before="20" w:after="20" w:line="276" w:lineRule="auto"/>
              <w:jc w:val="left"/>
            </w:pPr>
            <w:r/>
            <w:r>
              <w:rPr>
                <w:rFonts w:ascii="Times New Roman" w:hAnsi="Times New Roman"/>
                <w:b/>
                <w:sz w:val="21"/>
              </w:rPr>
              <w:t>CHAPTER 4  FRAME ASSEMBLY AND REED-SOLOMON CODEC DESIGN</w:t>
            </w:r>
          </w:p>
        </w:tc>
        <w:tc>
          <w:tcPr>
            <w:tcW w:type="dxa" w:w="1296"/>
          </w:tcPr>
          <w:p>
            <w:pPr>
              <w:spacing w:before="20" w:after="20" w:line="276" w:lineRule="auto"/>
              <w:jc w:val="right"/>
            </w:pPr>
            <w:r/>
            <w:r>
              <w:rPr>
                <w:rFonts w:ascii="Times New Roman" w:hAnsi="Times New Roman"/>
                <w:b/>
                <w:sz w:val="21"/>
              </w:rPr>
              <w:t>20</w:t>
            </w:r>
          </w:p>
        </w:tc>
      </w:tr>
      <w:tr>
        <w:tc>
          <w:tcPr>
            <w:tcW w:type="dxa" w:w="8064"/>
          </w:tcPr>
          <w:p>
            <w:pPr>
              <w:spacing w:before="20" w:after="20" w:line="276" w:lineRule="auto"/>
              <w:jc w:val="left"/>
            </w:pPr>
            <w:r/>
            <w:r>
              <w:rPr>
                <w:rFonts w:ascii="Times New Roman" w:hAnsi="Times New Roman"/>
                <w:sz w:val="21"/>
              </w:rPr>
              <w:t>4.1 Protocol Stack and Frame Architecture Specification</w:t>
            </w:r>
          </w:p>
        </w:tc>
        <w:tc>
          <w:tcPr>
            <w:tcW w:type="dxa" w:w="1296"/>
          </w:tcPr>
          <w:p>
            <w:pPr>
              <w:spacing w:before="20" w:after="20" w:line="276" w:lineRule="auto"/>
              <w:jc w:val="right"/>
            </w:pPr>
            <w:r/>
            <w:r>
              <w:rPr>
                <w:rFonts w:ascii="Times New Roman" w:hAnsi="Times New Roman"/>
                <w:sz w:val="21"/>
              </w:rPr>
              <w:t>20</w:t>
            </w:r>
          </w:p>
        </w:tc>
      </w:tr>
      <w:tr>
        <w:tc>
          <w:tcPr>
            <w:tcW w:type="dxa" w:w="8064"/>
          </w:tcPr>
          <w:p>
            <w:pPr>
              <w:spacing w:before="20" w:after="20" w:line="276" w:lineRule="auto"/>
              <w:jc w:val="left"/>
            </w:pPr>
            <w:r/>
            <w:r>
              <w:rPr>
                <w:rFonts w:ascii="Times New Roman" w:hAnsi="Times New Roman"/>
                <w:sz w:val="21"/>
              </w:rPr>
              <w:t>4.2 Preamble, Frame Header, and CRC32 Checksum Encoding</w:t>
            </w:r>
          </w:p>
        </w:tc>
        <w:tc>
          <w:tcPr>
            <w:tcW w:type="dxa" w:w="1296"/>
          </w:tcPr>
          <w:p>
            <w:pPr>
              <w:spacing w:before="20" w:after="20" w:line="276" w:lineRule="auto"/>
              <w:jc w:val="right"/>
            </w:pPr>
            <w:r/>
            <w:r>
              <w:rPr>
                <w:rFonts w:ascii="Times New Roman" w:hAnsi="Times New Roman"/>
                <w:sz w:val="21"/>
              </w:rPr>
              <w:t>21</w:t>
            </w:r>
          </w:p>
        </w:tc>
      </w:tr>
      <w:tr>
        <w:tc>
          <w:tcPr>
            <w:tcW w:type="dxa" w:w="8064"/>
          </w:tcPr>
          <w:p>
            <w:pPr>
              <w:spacing w:before="20" w:after="20" w:line="276" w:lineRule="auto"/>
              <w:jc w:val="left"/>
            </w:pPr>
            <w:r/>
            <w:r>
              <w:rPr>
                <w:rFonts w:ascii="Times New Roman" w:hAnsi="Times New Roman"/>
                <w:sz w:val="21"/>
              </w:rPr>
              <w:t>4.3 Payload Chunking, Block Alignment, and Zero Padding Strategies</w:t>
            </w:r>
          </w:p>
        </w:tc>
        <w:tc>
          <w:tcPr>
            <w:tcW w:type="dxa" w:w="1296"/>
          </w:tcPr>
          <w:p>
            <w:pPr>
              <w:spacing w:before="20" w:after="20" w:line="276" w:lineRule="auto"/>
              <w:jc w:val="right"/>
            </w:pPr>
            <w:r/>
            <w:r>
              <w:rPr>
                <w:rFonts w:ascii="Times New Roman" w:hAnsi="Times New Roman"/>
                <w:sz w:val="21"/>
              </w:rPr>
              <w:t>22</w:t>
            </w:r>
          </w:p>
        </w:tc>
      </w:tr>
      <w:tr>
        <w:tc>
          <w:tcPr>
            <w:tcW w:type="dxa" w:w="8064"/>
          </w:tcPr>
          <w:p>
            <w:pPr>
              <w:spacing w:before="20" w:after="20" w:line="276" w:lineRule="auto"/>
              <w:jc w:val="left"/>
            </w:pPr>
            <w:r/>
            <w:r>
              <w:rPr>
                <w:rFonts w:ascii="Times New Roman" w:hAnsi="Times New Roman"/>
                <w:sz w:val="21"/>
              </w:rPr>
              <w:t>4.4 Reed-Solomon Code Profiles and Redundancy Overhead Analysis</w:t>
            </w:r>
          </w:p>
        </w:tc>
        <w:tc>
          <w:tcPr>
            <w:tcW w:type="dxa" w:w="1296"/>
          </w:tcPr>
          <w:p>
            <w:pPr>
              <w:spacing w:before="20" w:after="20" w:line="276" w:lineRule="auto"/>
              <w:jc w:val="right"/>
            </w:pPr>
            <w:r/>
            <w:r>
              <w:rPr>
                <w:rFonts w:ascii="Times New Roman" w:hAnsi="Times New Roman"/>
                <w:sz w:val="21"/>
              </w:rPr>
              <w:t>22</w:t>
            </w:r>
          </w:p>
        </w:tc>
      </w:tr>
      <w:tr>
        <w:tc>
          <w:tcPr>
            <w:tcW w:type="dxa" w:w="8064"/>
          </w:tcPr>
          <w:p>
            <w:pPr>
              <w:spacing w:before="20" w:after="20" w:line="276" w:lineRule="auto"/>
              <w:jc w:val="left"/>
            </w:pPr>
            <w:r/>
            <w:r>
              <w:rPr>
                <w:rFonts w:ascii="Times New Roman" w:hAnsi="Times New Roman"/>
                <w:sz w:val="21"/>
              </w:rPr>
              <w:t>4.5 Galois Field Hardware-Equivalent Software Implementation</w:t>
            </w:r>
          </w:p>
        </w:tc>
        <w:tc>
          <w:tcPr>
            <w:tcW w:type="dxa" w:w="1296"/>
          </w:tcPr>
          <w:p>
            <w:pPr>
              <w:spacing w:before="20" w:after="20" w:line="276" w:lineRule="auto"/>
              <w:jc w:val="right"/>
            </w:pPr>
            <w:r/>
            <w:r>
              <w:rPr>
                <w:rFonts w:ascii="Times New Roman" w:hAnsi="Times New Roman"/>
                <w:sz w:val="21"/>
              </w:rPr>
              <w:t>23</w:t>
            </w:r>
          </w:p>
        </w:tc>
      </w:tr>
      <w:tr>
        <w:tc>
          <w:tcPr>
            <w:tcW w:type="dxa" w:w="8064"/>
          </w:tcPr>
          <w:p>
            <w:pPr>
              <w:spacing w:before="20" w:after="20" w:line="276" w:lineRule="auto"/>
              <w:jc w:val="left"/>
            </w:pPr>
            <w:r/>
            <w:r>
              <w:rPr>
                <w:rFonts w:ascii="Times New Roman" w:hAnsi="Times New Roman"/>
                <w:sz w:val="21"/>
              </w:rPr>
              <w:t>4.6 Frame Assembly, Serial Stream Conversion, and Verification</w:t>
            </w:r>
          </w:p>
        </w:tc>
        <w:tc>
          <w:tcPr>
            <w:tcW w:type="dxa" w:w="1296"/>
          </w:tcPr>
          <w:p>
            <w:pPr>
              <w:spacing w:before="20" w:after="20" w:line="276" w:lineRule="auto"/>
              <w:jc w:val="right"/>
            </w:pPr>
            <w:r/>
            <w:r>
              <w:rPr>
                <w:rFonts w:ascii="Times New Roman" w:hAnsi="Times New Roman"/>
                <w:sz w:val="21"/>
              </w:rPr>
              <w:t>23</w:t>
            </w:r>
          </w:p>
        </w:tc>
      </w:tr>
      <w:tr>
        <w:tc>
          <w:tcPr>
            <w:tcW w:type="dxa" w:w="8064"/>
          </w:tcPr>
          <w:p>
            <w:pPr>
              <w:spacing w:before="20" w:after="20" w:line="276" w:lineRule="auto"/>
              <w:jc w:val="left"/>
            </w:pPr>
            <w:r/>
            <w:r>
              <w:rPr>
                <w:rFonts w:ascii="Times New Roman" w:hAnsi="Times New Roman"/>
                <w:sz w:val="21"/>
              </w:rPr>
            </w:r>
          </w:p>
        </w:tc>
        <w:tc>
          <w:tcPr>
            <w:tcW w:type="dxa" w:w="1296"/>
          </w:tcPr>
          <w:p>
            <w:pPr>
              <w:spacing w:before="20" w:after="20" w:line="276" w:lineRule="auto"/>
              <w:jc w:val="right"/>
            </w:pPr>
            <w:r/>
            <w:r>
              <w:rPr>
                <w:rFonts w:ascii="Times New Roman" w:hAnsi="Times New Roman"/>
                <w:sz w:val="21"/>
              </w:rPr>
            </w:r>
          </w:p>
        </w:tc>
      </w:tr>
      <w:tr>
        <w:tc>
          <w:tcPr>
            <w:tcW w:type="dxa" w:w="8064"/>
          </w:tcPr>
          <w:p>
            <w:pPr>
              <w:spacing w:before="20" w:after="20" w:line="276" w:lineRule="auto"/>
              <w:jc w:val="left"/>
            </w:pPr>
            <w:r/>
            <w:r>
              <w:rPr>
                <w:rFonts w:ascii="Times New Roman" w:hAnsi="Times New Roman"/>
                <w:b/>
                <w:sz w:val="21"/>
              </w:rPr>
              <w:t>CHAPTER 5  ADAPTIVE LINK CONTROLLER AND ESTIMATION ENGINE</w:t>
            </w:r>
          </w:p>
        </w:tc>
        <w:tc>
          <w:tcPr>
            <w:tcW w:type="dxa" w:w="1296"/>
          </w:tcPr>
          <w:p>
            <w:pPr>
              <w:spacing w:before="20" w:after="20" w:line="276" w:lineRule="auto"/>
              <w:jc w:val="right"/>
            </w:pPr>
            <w:r/>
            <w:r>
              <w:rPr>
                <w:rFonts w:ascii="Times New Roman" w:hAnsi="Times New Roman"/>
                <w:b/>
                <w:sz w:val="21"/>
              </w:rPr>
              <w:t>24</w:t>
            </w:r>
          </w:p>
        </w:tc>
      </w:tr>
      <w:tr>
        <w:tc>
          <w:tcPr>
            <w:tcW w:type="dxa" w:w="8064"/>
          </w:tcPr>
          <w:p>
            <w:pPr>
              <w:spacing w:before="20" w:after="20" w:line="276" w:lineRule="auto"/>
              <w:jc w:val="left"/>
            </w:pPr>
            <w:r/>
            <w:r>
              <w:rPr>
                <w:rFonts w:ascii="Times New Roman" w:hAnsi="Times New Roman"/>
                <w:sz w:val="21"/>
              </w:rPr>
              <w:t>5.1 Real-Time Receiver Quality Estimation Engine</w:t>
            </w:r>
          </w:p>
        </w:tc>
        <w:tc>
          <w:tcPr>
            <w:tcW w:type="dxa" w:w="1296"/>
          </w:tcPr>
          <w:p>
            <w:pPr>
              <w:spacing w:before="20" w:after="20" w:line="276" w:lineRule="auto"/>
              <w:jc w:val="right"/>
            </w:pPr>
            <w:r/>
            <w:r>
              <w:rPr>
                <w:rFonts w:ascii="Times New Roman" w:hAnsi="Times New Roman"/>
                <w:sz w:val="21"/>
              </w:rPr>
              <w:t>24</w:t>
            </w:r>
          </w:p>
        </w:tc>
      </w:tr>
      <w:tr>
        <w:tc>
          <w:tcPr>
            <w:tcW w:type="dxa" w:w="8064"/>
          </w:tcPr>
          <w:p>
            <w:pPr>
              <w:spacing w:before="20" w:after="20" w:line="276" w:lineRule="auto"/>
              <w:jc w:val="left"/>
            </w:pPr>
            <w:r/>
            <w:r>
              <w:rPr>
                <w:rFonts w:ascii="Times New Roman" w:hAnsi="Times New Roman"/>
                <w:sz w:val="21"/>
              </w:rPr>
              <w:t>5.2 Sliding-Window Link State Tracking</w:t>
            </w:r>
          </w:p>
        </w:tc>
        <w:tc>
          <w:tcPr>
            <w:tcW w:type="dxa" w:w="1296"/>
          </w:tcPr>
          <w:p>
            <w:pPr>
              <w:spacing w:before="20" w:after="20" w:line="276" w:lineRule="auto"/>
              <w:jc w:val="right"/>
            </w:pPr>
            <w:r/>
            <w:r>
              <w:rPr>
                <w:rFonts w:ascii="Times New Roman" w:hAnsi="Times New Roman"/>
                <w:sz w:val="21"/>
              </w:rPr>
              <w:t>25</w:t>
            </w:r>
          </w:p>
        </w:tc>
      </w:tr>
      <w:tr>
        <w:tc>
          <w:tcPr>
            <w:tcW w:type="dxa" w:w="8064"/>
          </w:tcPr>
          <w:p>
            <w:pPr>
              <w:spacing w:before="20" w:after="20" w:line="276" w:lineRule="auto"/>
              <w:jc w:val="left"/>
            </w:pPr>
            <w:r/>
            <w:r>
              <w:rPr>
                <w:rFonts w:ascii="Times New Roman" w:hAnsi="Times New Roman"/>
                <w:sz w:val="21"/>
              </w:rPr>
              <w:t>5.3 Offline Crossover Calibration Sweep Engine</w:t>
            </w:r>
          </w:p>
        </w:tc>
        <w:tc>
          <w:tcPr>
            <w:tcW w:type="dxa" w:w="1296"/>
          </w:tcPr>
          <w:p>
            <w:pPr>
              <w:spacing w:before="20" w:after="20" w:line="276" w:lineRule="auto"/>
              <w:jc w:val="right"/>
            </w:pPr>
            <w:r/>
            <w:r>
              <w:rPr>
                <w:rFonts w:ascii="Times New Roman" w:hAnsi="Times New Roman"/>
                <w:sz w:val="21"/>
              </w:rPr>
              <w:t>26</w:t>
            </w:r>
          </w:p>
        </w:tc>
      </w:tr>
      <w:tr>
        <w:tc>
          <w:tcPr>
            <w:tcW w:type="dxa" w:w="8064"/>
          </w:tcPr>
          <w:p>
            <w:pPr>
              <w:spacing w:before="20" w:after="20" w:line="276" w:lineRule="auto"/>
              <w:jc w:val="left"/>
            </w:pPr>
            <w:r/>
            <w:r>
              <w:rPr>
                <w:rFonts w:ascii="Times New Roman" w:hAnsi="Times New Roman"/>
                <w:sz w:val="21"/>
              </w:rPr>
              <w:t>5.4 Multi-Indicator Rule-Based Decision Logic</w:t>
            </w:r>
          </w:p>
        </w:tc>
        <w:tc>
          <w:tcPr>
            <w:tcW w:type="dxa" w:w="1296"/>
          </w:tcPr>
          <w:p>
            <w:pPr>
              <w:spacing w:before="20" w:after="20" w:line="276" w:lineRule="auto"/>
              <w:jc w:val="right"/>
            </w:pPr>
            <w:r/>
            <w:r>
              <w:rPr>
                <w:rFonts w:ascii="Times New Roman" w:hAnsi="Times New Roman"/>
                <w:sz w:val="21"/>
              </w:rPr>
              <w:t>28</w:t>
            </w:r>
          </w:p>
        </w:tc>
      </w:tr>
      <w:tr>
        <w:tc>
          <w:tcPr>
            <w:tcW w:type="dxa" w:w="8064"/>
          </w:tcPr>
          <w:p>
            <w:pPr>
              <w:spacing w:before="20" w:after="20" w:line="276" w:lineRule="auto"/>
              <w:jc w:val="left"/>
            </w:pPr>
            <w:r/>
            <w:r>
              <w:rPr>
                <w:rFonts w:ascii="Times New Roman" w:hAnsi="Times New Roman"/>
                <w:sz w:val="21"/>
              </w:rPr>
            </w:r>
          </w:p>
        </w:tc>
        <w:tc>
          <w:tcPr>
            <w:tcW w:type="dxa" w:w="1296"/>
          </w:tcPr>
          <w:p>
            <w:pPr>
              <w:spacing w:before="20" w:after="20" w:line="276" w:lineRule="auto"/>
              <w:jc w:val="right"/>
            </w:pPr>
            <w:r/>
            <w:r>
              <w:rPr>
                <w:rFonts w:ascii="Times New Roman" w:hAnsi="Times New Roman"/>
                <w:sz w:val="21"/>
              </w:rPr>
            </w:r>
          </w:p>
        </w:tc>
      </w:tr>
      <w:tr>
        <w:tc>
          <w:tcPr>
            <w:tcW w:type="dxa" w:w="8064"/>
          </w:tcPr>
          <w:p>
            <w:pPr>
              <w:spacing w:before="20" w:after="20" w:line="276" w:lineRule="auto"/>
              <w:jc w:val="left"/>
            </w:pPr>
            <w:r/>
            <w:r>
              <w:rPr>
                <w:rFonts w:ascii="Times New Roman" w:hAnsi="Times New Roman"/>
                <w:b/>
                <w:sz w:val="21"/>
              </w:rPr>
              <w:t>CHAPTER 6  SIMULATION ENGINE AND INTERACTIVE WORKBENCH</w:t>
            </w:r>
          </w:p>
        </w:tc>
        <w:tc>
          <w:tcPr>
            <w:tcW w:type="dxa" w:w="1296"/>
          </w:tcPr>
          <w:p>
            <w:pPr>
              <w:spacing w:before="20" w:after="20" w:line="276" w:lineRule="auto"/>
              <w:jc w:val="right"/>
            </w:pPr>
            <w:r/>
            <w:r>
              <w:rPr>
                <w:rFonts w:ascii="Times New Roman" w:hAnsi="Times New Roman"/>
                <w:b/>
                <w:sz w:val="21"/>
              </w:rPr>
              <w:t>31</w:t>
            </w:r>
          </w:p>
        </w:tc>
      </w:tr>
      <w:tr>
        <w:tc>
          <w:tcPr>
            <w:tcW w:type="dxa" w:w="8064"/>
          </w:tcPr>
          <w:p>
            <w:pPr>
              <w:spacing w:before="20" w:after="20" w:line="276" w:lineRule="auto"/>
              <w:jc w:val="left"/>
            </w:pPr>
            <w:r/>
            <w:r>
              <w:rPr>
                <w:rFonts w:ascii="Times New Roman" w:hAnsi="Times New Roman"/>
                <w:sz w:val="21"/>
              </w:rPr>
              <w:t>6.1 End-to-End Simulation Runner Architecture</w:t>
            </w:r>
          </w:p>
        </w:tc>
        <w:tc>
          <w:tcPr>
            <w:tcW w:type="dxa" w:w="1296"/>
          </w:tcPr>
          <w:p>
            <w:pPr>
              <w:spacing w:before="20" w:after="20" w:line="276" w:lineRule="auto"/>
              <w:jc w:val="right"/>
            </w:pPr>
            <w:r/>
            <w:r>
              <w:rPr>
                <w:rFonts w:ascii="Times New Roman" w:hAnsi="Times New Roman"/>
                <w:sz w:val="21"/>
              </w:rPr>
              <w:t>31</w:t>
            </w:r>
          </w:p>
        </w:tc>
      </w:tr>
      <w:tr>
        <w:tc>
          <w:tcPr>
            <w:tcW w:type="dxa" w:w="8064"/>
          </w:tcPr>
          <w:p>
            <w:pPr>
              <w:spacing w:before="20" w:after="20" w:line="276" w:lineRule="auto"/>
              <w:jc w:val="left"/>
            </w:pPr>
            <w:r/>
            <w:r>
              <w:rPr>
                <w:rFonts w:ascii="Times New Roman" w:hAnsi="Times New Roman"/>
                <w:sz w:val="21"/>
              </w:rPr>
              <w:t>6.2 Streamlit-Based Interactive Research Dashboard</w:t>
            </w:r>
          </w:p>
        </w:tc>
        <w:tc>
          <w:tcPr>
            <w:tcW w:type="dxa" w:w="1296"/>
          </w:tcPr>
          <w:p>
            <w:pPr>
              <w:spacing w:before="20" w:after="20" w:line="276" w:lineRule="auto"/>
              <w:jc w:val="right"/>
            </w:pPr>
            <w:r/>
            <w:r>
              <w:rPr>
                <w:rFonts w:ascii="Times New Roman" w:hAnsi="Times New Roman"/>
                <w:sz w:val="21"/>
              </w:rPr>
              <w:t>32</w:t>
            </w:r>
          </w:p>
        </w:tc>
      </w:tr>
      <w:tr>
        <w:tc>
          <w:tcPr>
            <w:tcW w:type="dxa" w:w="8064"/>
          </w:tcPr>
          <w:p>
            <w:pPr>
              <w:spacing w:before="20" w:after="20" w:line="276" w:lineRule="auto"/>
              <w:jc w:val="left"/>
            </w:pPr>
            <w:r/>
            <w:r>
              <w:rPr>
                <w:rFonts w:ascii="Times New Roman" w:hAnsi="Times New Roman"/>
                <w:sz w:val="21"/>
              </w:rPr>
              <w:t>6.3 Test-Driven Development and Automated Verification</w:t>
            </w:r>
          </w:p>
        </w:tc>
        <w:tc>
          <w:tcPr>
            <w:tcW w:type="dxa" w:w="1296"/>
          </w:tcPr>
          <w:p>
            <w:pPr>
              <w:spacing w:before="20" w:after="20" w:line="276" w:lineRule="auto"/>
              <w:jc w:val="right"/>
            </w:pPr>
            <w:r/>
            <w:r>
              <w:rPr>
                <w:rFonts w:ascii="Times New Roman" w:hAnsi="Times New Roman"/>
                <w:sz w:val="21"/>
              </w:rPr>
              <w:t>33</w:t>
            </w:r>
          </w:p>
        </w:tc>
      </w:tr>
      <w:tr>
        <w:tc>
          <w:tcPr>
            <w:tcW w:type="dxa" w:w="8064"/>
          </w:tcPr>
          <w:p>
            <w:pPr>
              <w:spacing w:before="20" w:after="20" w:line="276" w:lineRule="auto"/>
              <w:jc w:val="left"/>
            </w:pPr>
            <w:r/>
            <w:r>
              <w:rPr>
                <w:rFonts w:ascii="Times New Roman" w:hAnsi="Times New Roman"/>
                <w:sz w:val="21"/>
              </w:rPr>
            </w:r>
          </w:p>
        </w:tc>
        <w:tc>
          <w:tcPr>
            <w:tcW w:type="dxa" w:w="1296"/>
          </w:tcPr>
          <w:p>
            <w:pPr>
              <w:spacing w:before="20" w:after="20" w:line="276" w:lineRule="auto"/>
              <w:jc w:val="right"/>
            </w:pPr>
            <w:r/>
            <w:r>
              <w:rPr>
                <w:rFonts w:ascii="Times New Roman" w:hAnsi="Times New Roman"/>
                <w:sz w:val="21"/>
              </w:rPr>
            </w:r>
          </w:p>
        </w:tc>
      </w:tr>
      <w:tr>
        <w:tc>
          <w:tcPr>
            <w:tcW w:type="dxa" w:w="8064"/>
          </w:tcPr>
          <w:p>
            <w:pPr>
              <w:spacing w:before="20" w:after="20" w:line="276" w:lineRule="auto"/>
              <w:jc w:val="left"/>
            </w:pPr>
            <w:r/>
            <w:r>
              <w:rPr>
                <w:rFonts w:ascii="Times New Roman" w:hAnsi="Times New Roman"/>
                <w:b/>
                <w:sz w:val="21"/>
              </w:rPr>
              <w:t>CHAPTER 7  EXPERIMENTAL EVALUATION, RESULTS AND DISCUSSION</w:t>
            </w:r>
          </w:p>
        </w:tc>
        <w:tc>
          <w:tcPr>
            <w:tcW w:type="dxa" w:w="1296"/>
          </w:tcPr>
          <w:p>
            <w:pPr>
              <w:spacing w:before="20" w:after="20" w:line="276" w:lineRule="auto"/>
              <w:jc w:val="right"/>
            </w:pPr>
            <w:r/>
            <w:r>
              <w:rPr>
                <w:rFonts w:ascii="Times New Roman" w:hAnsi="Times New Roman"/>
                <w:b/>
                <w:sz w:val="21"/>
              </w:rPr>
              <w:t>35</w:t>
            </w:r>
          </w:p>
        </w:tc>
      </w:tr>
      <w:tr>
        <w:tc>
          <w:tcPr>
            <w:tcW w:type="dxa" w:w="8064"/>
          </w:tcPr>
          <w:p>
            <w:pPr>
              <w:spacing w:before="20" w:after="20" w:line="276" w:lineRule="auto"/>
              <w:jc w:val="left"/>
            </w:pPr>
            <w:r/>
            <w:r>
              <w:rPr>
                <w:rFonts w:ascii="Times New Roman" w:hAnsi="Times New Roman"/>
                <w:sz w:val="21"/>
              </w:rPr>
              <w:t>7.1 Experimental Setup and Parameter Configuration</w:t>
            </w:r>
          </w:p>
        </w:tc>
        <w:tc>
          <w:tcPr>
            <w:tcW w:type="dxa" w:w="1296"/>
          </w:tcPr>
          <w:p>
            <w:pPr>
              <w:spacing w:before="20" w:after="20" w:line="276" w:lineRule="auto"/>
              <w:jc w:val="right"/>
            </w:pPr>
            <w:r/>
            <w:r>
              <w:rPr>
                <w:rFonts w:ascii="Times New Roman" w:hAnsi="Times New Roman"/>
                <w:sz w:val="21"/>
              </w:rPr>
              <w:t>35</w:t>
            </w:r>
          </w:p>
        </w:tc>
      </w:tr>
      <w:tr>
        <w:tc>
          <w:tcPr>
            <w:tcW w:type="dxa" w:w="8064"/>
          </w:tcPr>
          <w:p>
            <w:pPr>
              <w:spacing w:before="20" w:after="20" w:line="276" w:lineRule="auto"/>
              <w:jc w:val="left"/>
            </w:pPr>
            <w:r/>
            <w:r>
              <w:rPr>
                <w:rFonts w:ascii="Times New Roman" w:hAnsi="Times New Roman"/>
                <w:sz w:val="21"/>
              </w:rPr>
              <w:t>7.2 Bit Error Rate (BER) Analysis across SNR</w:t>
            </w:r>
          </w:p>
        </w:tc>
        <w:tc>
          <w:tcPr>
            <w:tcW w:type="dxa" w:w="1296"/>
          </w:tcPr>
          <w:p>
            <w:pPr>
              <w:spacing w:before="20" w:after="20" w:line="276" w:lineRule="auto"/>
              <w:jc w:val="right"/>
            </w:pPr>
            <w:r/>
            <w:r>
              <w:rPr>
                <w:rFonts w:ascii="Times New Roman" w:hAnsi="Times New Roman"/>
                <w:sz w:val="21"/>
              </w:rPr>
              <w:t>36</w:t>
            </w:r>
          </w:p>
        </w:tc>
      </w:tr>
      <w:tr>
        <w:tc>
          <w:tcPr>
            <w:tcW w:type="dxa" w:w="8064"/>
          </w:tcPr>
          <w:p>
            <w:pPr>
              <w:spacing w:before="20" w:after="20" w:line="276" w:lineRule="auto"/>
              <w:jc w:val="left"/>
            </w:pPr>
            <w:r/>
            <w:r>
              <w:rPr>
                <w:rFonts w:ascii="Times New Roman" w:hAnsi="Times New Roman"/>
                <w:sz w:val="21"/>
              </w:rPr>
              <w:t>7.3 Frame Error Rate (FER) and Reliability Bound Compliance</w:t>
            </w:r>
          </w:p>
        </w:tc>
        <w:tc>
          <w:tcPr>
            <w:tcW w:type="dxa" w:w="1296"/>
          </w:tcPr>
          <w:p>
            <w:pPr>
              <w:spacing w:before="20" w:after="20" w:line="276" w:lineRule="auto"/>
              <w:jc w:val="right"/>
            </w:pPr>
            <w:r/>
            <w:r>
              <w:rPr>
                <w:rFonts w:ascii="Times New Roman" w:hAnsi="Times New Roman"/>
                <w:sz w:val="21"/>
              </w:rPr>
              <w:t>37</w:t>
            </w:r>
          </w:p>
        </w:tc>
      </w:tr>
      <w:tr>
        <w:tc>
          <w:tcPr>
            <w:tcW w:type="dxa" w:w="8064"/>
          </w:tcPr>
          <w:p>
            <w:pPr>
              <w:spacing w:before="20" w:after="20" w:line="276" w:lineRule="auto"/>
              <w:jc w:val="left"/>
            </w:pPr>
            <w:r/>
            <w:r>
              <w:rPr>
                <w:rFonts w:ascii="Times New Roman" w:hAnsi="Times New Roman"/>
                <w:sz w:val="21"/>
              </w:rPr>
              <w:t>7.4 Effective Goodput and Crossover Optimization Envelope</w:t>
            </w:r>
          </w:p>
        </w:tc>
        <w:tc>
          <w:tcPr>
            <w:tcW w:type="dxa" w:w="1296"/>
          </w:tcPr>
          <w:p>
            <w:pPr>
              <w:spacing w:before="20" w:after="20" w:line="276" w:lineRule="auto"/>
              <w:jc w:val="right"/>
            </w:pPr>
            <w:r/>
            <w:r>
              <w:rPr>
                <w:rFonts w:ascii="Times New Roman" w:hAnsi="Times New Roman"/>
                <w:sz w:val="21"/>
              </w:rPr>
              <w:t>38</w:t>
            </w:r>
          </w:p>
        </w:tc>
      </w:tr>
      <w:tr>
        <w:tc>
          <w:tcPr>
            <w:tcW w:type="dxa" w:w="8064"/>
          </w:tcPr>
          <w:p>
            <w:pPr>
              <w:spacing w:before="20" w:after="20" w:line="276" w:lineRule="auto"/>
              <w:jc w:val="left"/>
            </w:pPr>
            <w:r/>
            <w:r>
              <w:rPr>
                <w:rFonts w:ascii="Times New Roman" w:hAnsi="Times New Roman"/>
                <w:sz w:val="21"/>
              </w:rPr>
              <w:t>7.5 Dynamic Channel Tracking under Random Walk and Sudden Fades</w:t>
            </w:r>
          </w:p>
        </w:tc>
        <w:tc>
          <w:tcPr>
            <w:tcW w:type="dxa" w:w="1296"/>
          </w:tcPr>
          <w:p>
            <w:pPr>
              <w:spacing w:before="20" w:after="20" w:line="276" w:lineRule="auto"/>
              <w:jc w:val="right"/>
            </w:pPr>
            <w:r/>
            <w:r>
              <w:rPr>
                <w:rFonts w:ascii="Times New Roman" w:hAnsi="Times New Roman"/>
                <w:sz w:val="21"/>
              </w:rPr>
              <w:t>39</w:t>
            </w:r>
          </w:p>
        </w:tc>
      </w:tr>
      <w:tr>
        <w:tc>
          <w:tcPr>
            <w:tcW w:type="dxa" w:w="8064"/>
          </w:tcPr>
          <w:p>
            <w:pPr>
              <w:spacing w:before="20" w:after="20" w:line="276" w:lineRule="auto"/>
              <w:jc w:val="left"/>
            </w:pPr>
            <w:r/>
            <w:r>
              <w:rPr>
                <w:rFonts w:ascii="Times New Roman" w:hAnsi="Times New Roman"/>
                <w:sz w:val="21"/>
              </w:rPr>
              <w:t>7.6 Sensitivity to Optical Dimming and Crosstalk Leakage</w:t>
            </w:r>
          </w:p>
        </w:tc>
        <w:tc>
          <w:tcPr>
            <w:tcW w:type="dxa" w:w="1296"/>
          </w:tcPr>
          <w:p>
            <w:pPr>
              <w:spacing w:before="20" w:after="20" w:line="276" w:lineRule="auto"/>
              <w:jc w:val="right"/>
            </w:pPr>
            <w:r/>
            <w:r>
              <w:rPr>
                <w:rFonts w:ascii="Times New Roman" w:hAnsi="Times New Roman"/>
                <w:sz w:val="21"/>
              </w:rPr>
              <w:t>40</w:t>
            </w:r>
          </w:p>
        </w:tc>
      </w:tr>
      <w:tr>
        <w:tc>
          <w:tcPr>
            <w:tcW w:type="dxa" w:w="8064"/>
          </w:tcPr>
          <w:p>
            <w:pPr>
              <w:spacing w:before="20" w:after="20" w:line="276" w:lineRule="auto"/>
              <w:jc w:val="left"/>
            </w:pPr>
            <w:r/>
            <w:r>
              <w:rPr>
                <w:rFonts w:ascii="Times New Roman" w:hAnsi="Times New Roman"/>
                <w:sz w:val="21"/>
              </w:rPr>
              <w:t>7.7 Statistical Multi-Seed Benchmark Evaluation</w:t>
            </w:r>
          </w:p>
        </w:tc>
        <w:tc>
          <w:tcPr>
            <w:tcW w:type="dxa" w:w="1296"/>
          </w:tcPr>
          <w:p>
            <w:pPr>
              <w:spacing w:before="20" w:after="20" w:line="276" w:lineRule="auto"/>
              <w:jc w:val="right"/>
            </w:pPr>
            <w:r/>
            <w:r>
              <w:rPr>
                <w:rFonts w:ascii="Times New Roman" w:hAnsi="Times New Roman"/>
                <w:sz w:val="21"/>
              </w:rPr>
              <w:t>42</w:t>
            </w:r>
          </w:p>
        </w:tc>
      </w:tr>
      <w:tr>
        <w:tc>
          <w:tcPr>
            <w:tcW w:type="dxa" w:w="8064"/>
          </w:tcPr>
          <w:p>
            <w:pPr>
              <w:spacing w:before="20" w:after="20" w:line="276" w:lineRule="auto"/>
              <w:jc w:val="left"/>
            </w:pPr>
            <w:r/>
            <w:r>
              <w:rPr>
                <w:rFonts w:ascii="Times New Roman" w:hAnsi="Times New Roman"/>
                <w:sz w:val="21"/>
              </w:rPr>
            </w:r>
          </w:p>
        </w:tc>
        <w:tc>
          <w:tcPr>
            <w:tcW w:type="dxa" w:w="1296"/>
          </w:tcPr>
          <w:p>
            <w:pPr>
              <w:spacing w:before="20" w:after="20" w:line="276" w:lineRule="auto"/>
              <w:jc w:val="right"/>
            </w:pPr>
            <w:r/>
            <w:r>
              <w:rPr>
                <w:rFonts w:ascii="Times New Roman" w:hAnsi="Times New Roman"/>
                <w:sz w:val="21"/>
              </w:rPr>
            </w:r>
          </w:p>
        </w:tc>
      </w:tr>
      <w:tr>
        <w:tc>
          <w:tcPr>
            <w:tcW w:type="dxa" w:w="8064"/>
          </w:tcPr>
          <w:p>
            <w:pPr>
              <w:spacing w:before="20" w:after="20" w:line="276" w:lineRule="auto"/>
              <w:jc w:val="left"/>
            </w:pPr>
            <w:r/>
            <w:r>
              <w:rPr>
                <w:rFonts w:ascii="Times New Roman" w:hAnsi="Times New Roman"/>
                <w:b/>
                <w:sz w:val="21"/>
              </w:rPr>
              <w:t>CHAPTER 8  CONCLUSION AND FUTURE SCOPE</w:t>
            </w:r>
          </w:p>
        </w:tc>
        <w:tc>
          <w:tcPr>
            <w:tcW w:type="dxa" w:w="1296"/>
          </w:tcPr>
          <w:p>
            <w:pPr>
              <w:spacing w:before="20" w:after="20" w:line="276" w:lineRule="auto"/>
              <w:jc w:val="right"/>
            </w:pPr>
            <w:r/>
            <w:r>
              <w:rPr>
                <w:rFonts w:ascii="Times New Roman" w:hAnsi="Times New Roman"/>
                <w:b/>
                <w:sz w:val="21"/>
              </w:rPr>
              <w:t>44</w:t>
            </w:r>
          </w:p>
        </w:tc>
      </w:tr>
      <w:tr>
        <w:tc>
          <w:tcPr>
            <w:tcW w:type="dxa" w:w="8064"/>
          </w:tcPr>
          <w:p>
            <w:pPr>
              <w:spacing w:before="20" w:after="20" w:line="276" w:lineRule="auto"/>
              <w:jc w:val="left"/>
            </w:pPr>
            <w:r/>
            <w:r>
              <w:rPr>
                <w:rFonts w:ascii="Times New Roman" w:hAnsi="Times New Roman"/>
                <w:sz w:val="21"/>
              </w:rPr>
              <w:t>8.1 Summary of Contributions</w:t>
            </w:r>
          </w:p>
        </w:tc>
        <w:tc>
          <w:tcPr>
            <w:tcW w:type="dxa" w:w="1296"/>
          </w:tcPr>
          <w:p>
            <w:pPr>
              <w:spacing w:before="20" w:after="20" w:line="276" w:lineRule="auto"/>
              <w:jc w:val="right"/>
            </w:pPr>
            <w:r/>
            <w:r>
              <w:rPr>
                <w:rFonts w:ascii="Times New Roman" w:hAnsi="Times New Roman"/>
                <w:sz w:val="21"/>
              </w:rPr>
              <w:t>44</w:t>
            </w:r>
          </w:p>
        </w:tc>
      </w:tr>
      <w:tr>
        <w:tc>
          <w:tcPr>
            <w:tcW w:type="dxa" w:w="8064"/>
          </w:tcPr>
          <w:p>
            <w:pPr>
              <w:spacing w:before="20" w:after="20" w:line="276" w:lineRule="auto"/>
              <w:jc w:val="left"/>
            </w:pPr>
            <w:r/>
            <w:r>
              <w:rPr>
                <w:rFonts w:ascii="Times New Roman" w:hAnsi="Times New Roman"/>
                <w:sz w:val="21"/>
              </w:rPr>
              <w:t>8.2 Practical Limitations in Physical Hardware Deployment</w:t>
            </w:r>
          </w:p>
        </w:tc>
        <w:tc>
          <w:tcPr>
            <w:tcW w:type="dxa" w:w="1296"/>
          </w:tcPr>
          <w:p>
            <w:pPr>
              <w:spacing w:before="20" w:after="20" w:line="276" w:lineRule="auto"/>
              <w:jc w:val="right"/>
            </w:pPr>
            <w:r/>
            <w:r>
              <w:rPr>
                <w:rFonts w:ascii="Times New Roman" w:hAnsi="Times New Roman"/>
                <w:sz w:val="21"/>
              </w:rPr>
              <w:t>45</w:t>
            </w:r>
          </w:p>
        </w:tc>
      </w:tr>
      <w:tr>
        <w:tc>
          <w:tcPr>
            <w:tcW w:type="dxa" w:w="8064"/>
          </w:tcPr>
          <w:p>
            <w:pPr>
              <w:spacing w:before="20" w:after="20" w:line="276" w:lineRule="auto"/>
              <w:jc w:val="left"/>
            </w:pPr>
            <w:r/>
            <w:r>
              <w:rPr>
                <w:rFonts w:ascii="Times New Roman" w:hAnsi="Times New Roman"/>
                <w:sz w:val="21"/>
              </w:rPr>
              <w:t>8.3 Roadmap for Major Project: Transition to Deep Reinforcement Learning</w:t>
            </w:r>
          </w:p>
        </w:tc>
        <w:tc>
          <w:tcPr>
            <w:tcW w:type="dxa" w:w="1296"/>
          </w:tcPr>
          <w:p>
            <w:pPr>
              <w:spacing w:before="20" w:after="20" w:line="276" w:lineRule="auto"/>
              <w:jc w:val="right"/>
            </w:pPr>
            <w:r/>
            <w:r>
              <w:rPr>
                <w:rFonts w:ascii="Times New Roman" w:hAnsi="Times New Roman"/>
                <w:sz w:val="21"/>
              </w:rPr>
              <w:t>46</w:t>
            </w:r>
          </w:p>
        </w:tc>
      </w:tr>
      <w:tr>
        <w:tc>
          <w:tcPr>
            <w:tcW w:type="dxa" w:w="8064"/>
          </w:tcPr>
          <w:p>
            <w:pPr>
              <w:spacing w:before="20" w:after="20" w:line="276" w:lineRule="auto"/>
              <w:jc w:val="left"/>
            </w:pPr>
            <w:r/>
            <w:r>
              <w:rPr>
                <w:rFonts w:ascii="Times New Roman" w:hAnsi="Times New Roman"/>
                <w:sz w:val="21"/>
              </w:rPr>
            </w:r>
          </w:p>
        </w:tc>
        <w:tc>
          <w:tcPr>
            <w:tcW w:type="dxa" w:w="1296"/>
          </w:tcPr>
          <w:p>
            <w:pPr>
              <w:spacing w:before="20" w:after="20" w:line="276" w:lineRule="auto"/>
              <w:jc w:val="right"/>
            </w:pPr>
            <w:r/>
            <w:r>
              <w:rPr>
                <w:rFonts w:ascii="Times New Roman" w:hAnsi="Times New Roman"/>
                <w:sz w:val="21"/>
              </w:rPr>
            </w:r>
          </w:p>
        </w:tc>
      </w:tr>
      <w:tr>
        <w:tc>
          <w:tcPr>
            <w:tcW w:type="dxa" w:w="8064"/>
          </w:tcPr>
          <w:p>
            <w:pPr>
              <w:spacing w:before="20" w:after="20" w:line="276" w:lineRule="auto"/>
              <w:jc w:val="left"/>
            </w:pPr>
            <w:r/>
            <w:r>
              <w:rPr>
                <w:rFonts w:ascii="Times New Roman" w:hAnsi="Times New Roman"/>
                <w:b/>
                <w:sz w:val="21"/>
              </w:rPr>
              <w:t>REFERENCES</w:t>
            </w:r>
          </w:p>
        </w:tc>
        <w:tc>
          <w:tcPr>
            <w:tcW w:type="dxa" w:w="1296"/>
          </w:tcPr>
          <w:p>
            <w:pPr>
              <w:spacing w:before="20" w:after="20" w:line="276" w:lineRule="auto"/>
              <w:jc w:val="right"/>
            </w:pPr>
            <w:r/>
            <w:r>
              <w:rPr>
                <w:rFonts w:ascii="Times New Roman" w:hAnsi="Times New Roman"/>
                <w:b/>
                <w:sz w:val="21"/>
              </w:rPr>
              <w:t>48</w:t>
            </w:r>
          </w:p>
        </w:tc>
      </w:tr>
      <w:tr>
        <w:tc>
          <w:tcPr>
            <w:tcW w:type="dxa" w:w="8064"/>
          </w:tcPr>
          <w:p>
            <w:pPr>
              <w:spacing w:before="20" w:after="20" w:line="276" w:lineRule="auto"/>
              <w:jc w:val="left"/>
            </w:pPr>
            <w:r/>
            <w:r>
              <w:rPr>
                <w:rFonts w:ascii="Times New Roman" w:hAnsi="Times New Roman"/>
                <w:sz w:val="21"/>
              </w:rPr>
            </w:r>
          </w:p>
        </w:tc>
        <w:tc>
          <w:tcPr>
            <w:tcW w:type="dxa" w:w="1296"/>
          </w:tcPr>
          <w:p>
            <w:pPr>
              <w:spacing w:before="20" w:after="20" w:line="276" w:lineRule="auto"/>
              <w:jc w:val="right"/>
            </w:pPr>
            <w:r/>
            <w:r>
              <w:rPr>
                <w:rFonts w:ascii="Times New Roman" w:hAnsi="Times New Roman"/>
                <w:sz w:val="21"/>
              </w:rPr>
            </w:r>
          </w:p>
        </w:tc>
      </w:tr>
      <w:tr>
        <w:tc>
          <w:tcPr>
            <w:tcW w:type="dxa" w:w="8064"/>
          </w:tcPr>
          <w:p>
            <w:pPr>
              <w:spacing w:before="20" w:after="20" w:line="276" w:lineRule="auto"/>
              <w:jc w:val="left"/>
            </w:pPr>
            <w:r/>
            <w:r>
              <w:rPr>
                <w:rFonts w:ascii="Times New Roman" w:hAnsi="Times New Roman"/>
                <w:b/>
                <w:sz w:val="21"/>
              </w:rPr>
              <w:t>ANNEXURES</w:t>
            </w:r>
          </w:p>
        </w:tc>
        <w:tc>
          <w:tcPr>
            <w:tcW w:type="dxa" w:w="1296"/>
          </w:tcPr>
          <w:p>
            <w:pPr>
              <w:spacing w:before="20" w:after="20" w:line="276" w:lineRule="auto"/>
              <w:jc w:val="right"/>
            </w:pPr>
            <w:r/>
            <w:r>
              <w:rPr>
                <w:rFonts w:ascii="Times New Roman" w:hAnsi="Times New Roman"/>
                <w:b/>
                <w:sz w:val="21"/>
              </w:rPr>
              <w:t>50</w:t>
            </w:r>
          </w:p>
        </w:tc>
      </w:tr>
      <w:tr>
        <w:tc>
          <w:tcPr>
            <w:tcW w:type="dxa" w:w="8064"/>
          </w:tcPr>
          <w:p>
            <w:pPr>
              <w:spacing w:before="20" w:after="20" w:line="276" w:lineRule="auto"/>
              <w:jc w:val="left"/>
            </w:pPr>
            <w:r/>
            <w:r>
              <w:rPr>
                <w:rFonts w:ascii="Times New Roman" w:hAnsi="Times New Roman"/>
                <w:b/>
                <w:sz w:val="21"/>
              </w:rPr>
              <w:t>ANNEXURE A: SYSTEM CONFIGURATION &amp; THRESHOLD SCHEMA</w:t>
            </w:r>
          </w:p>
        </w:tc>
        <w:tc>
          <w:tcPr>
            <w:tcW w:type="dxa" w:w="1296"/>
          </w:tcPr>
          <w:p>
            <w:pPr>
              <w:spacing w:before="20" w:after="20" w:line="276" w:lineRule="auto"/>
              <w:jc w:val="right"/>
            </w:pPr>
            <w:r/>
            <w:r>
              <w:rPr>
                <w:rFonts w:ascii="Times New Roman" w:hAnsi="Times New Roman"/>
                <w:b/>
                <w:sz w:val="21"/>
              </w:rPr>
              <w:t>50</w:t>
            </w:r>
          </w:p>
        </w:tc>
      </w:tr>
      <w:tr>
        <w:tc>
          <w:tcPr>
            <w:tcW w:type="dxa" w:w="8064"/>
          </w:tcPr>
          <w:p>
            <w:pPr>
              <w:spacing w:before="20" w:after="20" w:line="276" w:lineRule="auto"/>
              <w:jc w:val="left"/>
            </w:pPr>
            <w:r/>
            <w:r>
              <w:rPr>
                <w:rFonts w:ascii="Times New Roman" w:hAnsi="Times New Roman"/>
                <w:b/>
                <w:sz w:val="21"/>
              </w:rPr>
              <w:t>ANNEXURE B: AUTOMATED UNIT TEST EXECUTION LOG</w:t>
            </w:r>
          </w:p>
        </w:tc>
        <w:tc>
          <w:tcPr>
            <w:tcW w:type="dxa" w:w="1296"/>
          </w:tcPr>
          <w:p>
            <w:pPr>
              <w:spacing w:before="20" w:after="20" w:line="276" w:lineRule="auto"/>
              <w:jc w:val="right"/>
            </w:pPr>
            <w:r/>
            <w:r>
              <w:rPr>
                <w:rFonts w:ascii="Times New Roman" w:hAnsi="Times New Roman"/>
                <w:b/>
                <w:sz w:val="21"/>
              </w:rPr>
              <w:t>51</w:t>
            </w:r>
          </w:p>
        </w:tc>
      </w:tr>
      <w:tr>
        <w:tc>
          <w:tcPr>
            <w:tcW w:type="dxa" w:w="8064"/>
          </w:tcPr>
          <w:p>
            <w:pPr>
              <w:spacing w:before="20" w:after="20" w:line="276" w:lineRule="auto"/>
              <w:jc w:val="left"/>
            </w:pPr>
            <w:r/>
            <w:r>
              <w:rPr>
                <w:rFonts w:ascii="Times New Roman" w:hAnsi="Times New Roman"/>
                <w:b/>
                <w:sz w:val="21"/>
              </w:rPr>
              <w:t>ANNEXURE C: SIMULATOR ARCHITECTURE &amp; CODEBASE SPECIFICATION</w:t>
            </w:r>
          </w:p>
        </w:tc>
        <w:tc>
          <w:tcPr>
            <w:tcW w:type="dxa" w:w="1296"/>
          </w:tcPr>
          <w:p>
            <w:pPr>
              <w:spacing w:before="20" w:after="20" w:line="276" w:lineRule="auto"/>
              <w:jc w:val="right"/>
            </w:pPr>
            <w:r/>
            <w:r>
              <w:rPr>
                <w:rFonts w:ascii="Times New Roman" w:hAnsi="Times New Roman"/>
                <w:b/>
                <w:sz w:val="21"/>
              </w:rPr>
              <w:t>52</w:t>
            </w:r>
          </w:p>
        </w:tc>
      </w:tr>
    </w:tbl>
    <w:p>
      <w:r>
        <w:br w:type="page"/>
      </w:r>
    </w:p>
    <w:p>
      <w:pPr>
        <w:jc w:val="center"/>
        <w:spacing w:before="240" w:after="360"/>
      </w:pPr>
      <w:r>
        <w:rPr>
          <w:rFonts w:ascii="Times New Roman" w:hAnsi="Times New Roman"/>
          <w:b/>
          <w:sz w:val="28"/>
        </w:rPr>
        <w:t>LIST OF TABLES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3010"/>
        <w:gridCol w:w="3010"/>
        <w:gridCol w:w="3010"/>
      </w:tblGrid>
      <w:tr>
        <w:tc>
          <w:tcPr>
            <w:tcW w:type="dxa" w:w="1584"/>
          </w:tcPr>
          <w:p>
            <w:pPr>
              <w:spacing w:before="30" w:after="30" w:line="276" w:lineRule="auto"/>
              <w:jc w:val="left"/>
            </w:pPr>
            <w:r/>
            <w:r>
              <w:rPr>
                <w:rFonts w:ascii="Times New Roman" w:hAnsi="Times New Roman"/>
                <w:b/>
                <w:sz w:val="20"/>
              </w:rPr>
              <w:t>Table No.</w:t>
            </w:r>
          </w:p>
        </w:tc>
        <w:tc>
          <w:tcPr>
            <w:tcW w:type="dxa" w:w="6768"/>
          </w:tcPr>
          <w:p>
            <w:pPr>
              <w:spacing w:before="30" w:after="30" w:line="276" w:lineRule="auto"/>
              <w:jc w:val="left"/>
            </w:pPr>
            <w:r/>
            <w:r>
              <w:rPr>
                <w:rFonts w:ascii="Times New Roman" w:hAnsi="Times New Roman"/>
                <w:b/>
                <w:sz w:val="20"/>
              </w:rPr>
              <w:t>Description</w:t>
            </w:r>
          </w:p>
        </w:tc>
        <w:tc>
          <w:tcPr>
            <w:tcW w:type="dxa" w:w="1008"/>
          </w:tcPr>
          <w:p>
            <w:pPr>
              <w:spacing w:before="30" w:after="30" w:line="276" w:lineRule="auto"/>
              <w:jc w:val="right"/>
            </w:pPr>
            <w:r/>
            <w:r>
              <w:rPr>
                <w:rFonts w:ascii="Times New Roman" w:hAnsi="Times New Roman"/>
                <w:b/>
                <w:sz w:val="20"/>
              </w:rPr>
              <w:t>Page No.</w:t>
            </w:r>
          </w:p>
        </w:tc>
      </w:tr>
      <w:tr>
        <w:tc>
          <w:tcPr>
            <w:tcW w:type="dxa" w:w="1584"/>
          </w:tcPr>
          <w:p>
            <w:pPr>
              <w:spacing w:before="30" w:after="30" w:line="276" w:lineRule="auto"/>
              <w:jc w:val="left"/>
            </w:pPr>
            <w:r/>
            <w:r>
              <w:rPr>
                <w:rFonts w:ascii="Times New Roman" w:hAnsi="Times New Roman"/>
                <w:sz w:val="20"/>
              </w:rPr>
              <w:t>Table 1.1</w:t>
            </w:r>
          </w:p>
        </w:tc>
        <w:tc>
          <w:tcPr>
            <w:tcW w:type="dxa" w:w="6768"/>
          </w:tcPr>
          <w:p>
            <w:pPr>
              <w:spacing w:before="30" w:after="30" w:line="276" w:lineRule="auto"/>
              <w:jc w:val="left"/>
            </w:pPr>
            <w:r/>
            <w:r>
              <w:rPr>
                <w:rFonts w:ascii="Times New Roman" w:hAnsi="Times New Roman"/>
                <w:sz w:val="20"/>
              </w:rPr>
              <w:t>Project Work Packages, Methodological Premises, and Engineering Targets</w:t>
            </w:r>
          </w:p>
        </w:tc>
        <w:tc>
          <w:tcPr>
            <w:tcW w:type="dxa" w:w="1008"/>
          </w:tcPr>
          <w:p>
            <w:pPr>
              <w:spacing w:before="30" w:after="30" w:line="276" w:lineRule="auto"/>
              <w:jc w:val="right"/>
            </w:pPr>
            <w:r/>
            <w:r>
              <w:rPr>
                <w:rFonts w:ascii="Times New Roman" w:hAnsi="Times New Roman"/>
                <w:sz w:val="20"/>
              </w:rPr>
              <w:t>10</w:t>
            </w:r>
          </w:p>
        </w:tc>
      </w:tr>
      <w:tr>
        <w:tc>
          <w:tcPr>
            <w:tcW w:type="dxa" w:w="1584"/>
          </w:tcPr>
          <w:p>
            <w:pPr>
              <w:spacing w:before="30" w:after="30" w:line="276" w:lineRule="auto"/>
              <w:jc w:val="left"/>
            </w:pPr>
            <w:r/>
            <w:r>
              <w:rPr>
                <w:rFonts w:ascii="Times New Roman" w:hAnsi="Times New Roman"/>
                <w:sz w:val="20"/>
              </w:rPr>
              <w:t>Table 2.1</w:t>
            </w:r>
          </w:p>
        </w:tc>
        <w:tc>
          <w:tcPr>
            <w:tcW w:type="dxa" w:w="6768"/>
          </w:tcPr>
          <w:p>
            <w:pPr>
              <w:spacing w:before="30" w:after="30" w:line="276" w:lineRule="auto"/>
              <w:jc w:val="left"/>
            </w:pPr>
            <w:r/>
            <w:r>
              <w:rPr>
                <w:rFonts w:ascii="Times New Roman" w:hAnsi="Times New Roman"/>
                <w:sz w:val="20"/>
              </w:rPr>
              <w:t>Comparative Taxonomy of Optical Modulation Techniques in IEEE 802.15.7</w:t>
            </w:r>
          </w:p>
        </w:tc>
        <w:tc>
          <w:tcPr>
            <w:tcW w:type="dxa" w:w="1008"/>
          </w:tcPr>
          <w:p>
            <w:pPr>
              <w:spacing w:before="30" w:after="30" w:line="276" w:lineRule="auto"/>
              <w:jc w:val="right"/>
            </w:pPr>
            <w:r/>
            <w:r>
              <w:rPr>
                <w:rFonts w:ascii="Times New Roman" w:hAnsi="Times New Roman"/>
                <w:sz w:val="20"/>
              </w:rPr>
              <w:t>17</w:t>
            </w:r>
          </w:p>
        </w:tc>
      </w:tr>
      <w:tr>
        <w:tc>
          <w:tcPr>
            <w:tcW w:type="dxa" w:w="1584"/>
          </w:tcPr>
          <w:p>
            <w:pPr>
              <w:spacing w:before="30" w:after="30" w:line="276" w:lineRule="auto"/>
              <w:jc w:val="left"/>
            </w:pPr>
            <w:r/>
            <w:r>
              <w:rPr>
                <w:rFonts w:ascii="Times New Roman" w:hAnsi="Times New Roman"/>
                <w:sz w:val="20"/>
              </w:rPr>
              <w:t>Table 2.2</w:t>
            </w:r>
          </w:p>
        </w:tc>
        <w:tc>
          <w:tcPr>
            <w:tcW w:type="dxa" w:w="6768"/>
          </w:tcPr>
          <w:p>
            <w:pPr>
              <w:spacing w:before="30" w:after="30" w:line="276" w:lineRule="auto"/>
              <w:jc w:val="left"/>
            </w:pPr>
            <w:r/>
            <w:r>
              <w:rPr>
                <w:rFonts w:ascii="Times New Roman" w:hAnsi="Times New Roman"/>
                <w:sz w:val="20"/>
              </w:rPr>
              <w:t>Galois Field GF(2^8) Primitive Polynomial and Characteristic Properties</w:t>
            </w:r>
          </w:p>
        </w:tc>
        <w:tc>
          <w:tcPr>
            <w:tcW w:type="dxa" w:w="1008"/>
          </w:tcPr>
          <w:p>
            <w:pPr>
              <w:spacing w:before="30" w:after="30" w:line="276" w:lineRule="auto"/>
              <w:jc w:val="right"/>
            </w:pPr>
            <w:r/>
            <w:r>
              <w:rPr>
                <w:rFonts w:ascii="Times New Roman" w:hAnsi="Times New Roman"/>
                <w:sz w:val="20"/>
              </w:rPr>
              <w:t>20</w:t>
            </w:r>
          </w:p>
        </w:tc>
      </w:tr>
      <w:tr>
        <w:tc>
          <w:tcPr>
            <w:tcW w:type="dxa" w:w="1584"/>
          </w:tcPr>
          <w:p>
            <w:pPr>
              <w:spacing w:before="30" w:after="30" w:line="276" w:lineRule="auto"/>
              <w:jc w:val="left"/>
            </w:pPr>
            <w:r/>
            <w:r>
              <w:rPr>
                <w:rFonts w:ascii="Times New Roman" w:hAnsi="Times New Roman"/>
                <w:sz w:val="20"/>
              </w:rPr>
              <w:t>Table 2.3</w:t>
            </w:r>
          </w:p>
        </w:tc>
        <w:tc>
          <w:tcPr>
            <w:tcW w:type="dxa" w:w="6768"/>
          </w:tcPr>
          <w:p>
            <w:pPr>
              <w:spacing w:before="30" w:after="30" w:line="276" w:lineRule="auto"/>
              <w:jc w:val="left"/>
            </w:pPr>
            <w:r/>
            <w:r>
              <w:rPr>
                <w:rFonts w:ascii="Times New Roman" w:hAnsi="Times New Roman"/>
                <w:sz w:val="20"/>
              </w:rPr>
              <w:t>Algorithmic Complexity of Reed-Solomon Decoding Architectures</w:t>
            </w:r>
          </w:p>
        </w:tc>
        <w:tc>
          <w:tcPr>
            <w:tcW w:type="dxa" w:w="1008"/>
          </w:tcPr>
          <w:p>
            <w:pPr>
              <w:spacing w:before="30" w:after="30" w:line="276" w:lineRule="auto"/>
              <w:jc w:val="right"/>
            </w:pPr>
            <w:r/>
            <w:r>
              <w:rPr>
                <w:rFonts w:ascii="Times New Roman" w:hAnsi="Times New Roman"/>
                <w:sz w:val="20"/>
              </w:rPr>
              <w:t>24</w:t>
            </w:r>
          </w:p>
        </w:tc>
      </w:tr>
      <w:tr>
        <w:tc>
          <w:tcPr>
            <w:tcW w:type="dxa" w:w="1584"/>
          </w:tcPr>
          <w:p>
            <w:pPr>
              <w:spacing w:before="30" w:after="30" w:line="276" w:lineRule="auto"/>
              <w:jc w:val="left"/>
            </w:pPr>
            <w:r/>
            <w:r>
              <w:rPr>
                <w:rFonts w:ascii="Times New Roman" w:hAnsi="Times New Roman"/>
                <w:sz w:val="20"/>
              </w:rPr>
              <w:t>Table 3.1</w:t>
            </w:r>
          </w:p>
        </w:tc>
        <w:tc>
          <w:tcPr>
            <w:tcW w:type="dxa" w:w="6768"/>
          </w:tcPr>
          <w:p>
            <w:pPr>
              <w:spacing w:before="30" w:after="30" w:line="276" w:lineRule="auto"/>
              <w:jc w:val="left"/>
            </w:pPr>
            <w:r/>
            <w:r>
              <w:rPr>
                <w:rFonts w:ascii="Times New Roman" w:hAnsi="Times New Roman"/>
                <w:sz w:val="20"/>
              </w:rPr>
              <w:t>Physical Indoor Optical Channel Geometrical and Physical Parameters</w:t>
            </w:r>
          </w:p>
        </w:tc>
        <w:tc>
          <w:tcPr>
            <w:tcW w:type="dxa" w:w="1008"/>
          </w:tcPr>
          <w:p>
            <w:pPr>
              <w:spacing w:before="30" w:after="30" w:line="276" w:lineRule="auto"/>
              <w:jc w:val="right"/>
            </w:pPr>
            <w:r/>
            <w:r>
              <w:rPr>
                <w:rFonts w:ascii="Times New Roman" w:hAnsi="Times New Roman"/>
                <w:sz w:val="20"/>
              </w:rPr>
              <w:t>34</w:t>
            </w:r>
          </w:p>
        </w:tc>
      </w:tr>
      <w:tr>
        <w:tc>
          <w:tcPr>
            <w:tcW w:type="dxa" w:w="1584"/>
          </w:tcPr>
          <w:p>
            <w:pPr>
              <w:spacing w:before="30" w:after="30" w:line="276" w:lineRule="auto"/>
              <w:jc w:val="left"/>
            </w:pPr>
            <w:r/>
            <w:r>
              <w:rPr>
                <w:rFonts w:ascii="Times New Roman" w:hAnsi="Times New Roman"/>
                <w:sz w:val="20"/>
              </w:rPr>
              <w:t>Table 3.2</w:t>
            </w:r>
          </w:p>
        </w:tc>
        <w:tc>
          <w:tcPr>
            <w:tcW w:type="dxa" w:w="6768"/>
          </w:tcPr>
          <w:p>
            <w:pPr>
              <w:spacing w:before="30" w:after="30" w:line="276" w:lineRule="auto"/>
              <w:jc w:val="left"/>
            </w:pPr>
            <w:r/>
            <w:r>
              <w:rPr>
                <w:rFonts w:ascii="Times New Roman" w:hAnsi="Times New Roman"/>
                <w:sz w:val="20"/>
              </w:rPr>
              <w:t>PIN Photodiode Electrical and Responsivity Characteristics</w:t>
            </w:r>
          </w:p>
        </w:tc>
        <w:tc>
          <w:tcPr>
            <w:tcW w:type="dxa" w:w="1008"/>
          </w:tcPr>
          <w:p>
            <w:pPr>
              <w:spacing w:before="30" w:after="30" w:line="276" w:lineRule="auto"/>
              <w:jc w:val="right"/>
            </w:pPr>
            <w:r/>
            <w:r>
              <w:rPr>
                <w:rFonts w:ascii="Times New Roman" w:hAnsi="Times New Roman"/>
                <w:sz w:val="20"/>
              </w:rPr>
              <w:t>37</w:t>
            </w:r>
          </w:p>
        </w:tc>
      </w:tr>
      <w:tr>
        <w:tc>
          <w:tcPr>
            <w:tcW w:type="dxa" w:w="1584"/>
          </w:tcPr>
          <w:p>
            <w:pPr>
              <w:spacing w:before="30" w:after="30" w:line="276" w:lineRule="auto"/>
              <w:jc w:val="left"/>
            </w:pPr>
            <w:r/>
            <w:r>
              <w:rPr>
                <w:rFonts w:ascii="Times New Roman" w:hAnsi="Times New Roman"/>
                <w:sz w:val="20"/>
              </w:rPr>
              <w:t>Table 3.3</w:t>
            </w:r>
          </w:p>
        </w:tc>
        <w:tc>
          <w:tcPr>
            <w:tcW w:type="dxa" w:w="6768"/>
          </w:tcPr>
          <w:p>
            <w:pPr>
              <w:spacing w:before="30" w:after="30" w:line="276" w:lineRule="auto"/>
              <w:jc w:val="left"/>
            </w:pPr>
            <w:r/>
            <w:r>
              <w:rPr>
                <w:rFonts w:ascii="Times New Roman" w:hAnsi="Times New Roman"/>
                <w:sz w:val="20"/>
              </w:rPr>
              <w:t>IEEE 802.15.7 Standard 4-CSK Chromatic Constellation Coordinates</w:t>
            </w:r>
          </w:p>
        </w:tc>
        <w:tc>
          <w:tcPr>
            <w:tcW w:type="dxa" w:w="1008"/>
          </w:tcPr>
          <w:p>
            <w:pPr>
              <w:spacing w:before="30" w:after="30" w:line="276" w:lineRule="auto"/>
              <w:jc w:val="right"/>
            </w:pPr>
            <w:r/>
            <w:r>
              <w:rPr>
                <w:rFonts w:ascii="Times New Roman" w:hAnsi="Times New Roman"/>
                <w:sz w:val="20"/>
              </w:rPr>
              <w:t>40</w:t>
            </w:r>
          </w:p>
        </w:tc>
      </w:tr>
      <w:tr>
        <w:tc>
          <w:tcPr>
            <w:tcW w:type="dxa" w:w="1584"/>
          </w:tcPr>
          <w:p>
            <w:pPr>
              <w:spacing w:before="30" w:after="30" w:line="276" w:lineRule="auto"/>
              <w:jc w:val="left"/>
            </w:pPr>
            <w:r/>
            <w:r>
              <w:rPr>
                <w:rFonts w:ascii="Times New Roman" w:hAnsi="Times New Roman"/>
                <w:sz w:val="20"/>
              </w:rPr>
              <w:t>Table 3.4</w:t>
            </w:r>
          </w:p>
        </w:tc>
        <w:tc>
          <w:tcPr>
            <w:tcW w:type="dxa" w:w="6768"/>
          </w:tcPr>
          <w:p>
            <w:pPr>
              <w:spacing w:before="30" w:after="30" w:line="276" w:lineRule="auto"/>
              <w:jc w:val="left"/>
            </w:pPr>
            <w:r/>
            <w:r>
              <w:rPr>
                <w:rFonts w:ascii="Times New Roman" w:hAnsi="Times New Roman"/>
                <w:sz w:val="20"/>
              </w:rPr>
              <w:t>Optical Crosstalk Coupling Coefficients for Tri-Chromatic RGB Emitters</w:t>
            </w:r>
          </w:p>
        </w:tc>
        <w:tc>
          <w:tcPr>
            <w:tcW w:type="dxa" w:w="1008"/>
          </w:tcPr>
          <w:p>
            <w:pPr>
              <w:spacing w:before="30" w:after="30" w:line="276" w:lineRule="auto"/>
              <w:jc w:val="right"/>
            </w:pPr>
            <w:r/>
            <w:r>
              <w:rPr>
                <w:rFonts w:ascii="Times New Roman" w:hAnsi="Times New Roman"/>
                <w:sz w:val="20"/>
              </w:rPr>
              <w:t>42</w:t>
            </w:r>
          </w:p>
        </w:tc>
      </w:tr>
      <w:tr>
        <w:tc>
          <w:tcPr>
            <w:tcW w:type="dxa" w:w="1584"/>
          </w:tcPr>
          <w:p>
            <w:pPr>
              <w:spacing w:before="30" w:after="30" w:line="276" w:lineRule="auto"/>
              <w:jc w:val="left"/>
            </w:pPr>
            <w:r/>
            <w:r>
              <w:rPr>
                <w:rFonts w:ascii="Times New Roman" w:hAnsi="Times New Roman"/>
                <w:sz w:val="20"/>
              </w:rPr>
              <w:t>Table 4.1</w:t>
            </w:r>
          </w:p>
        </w:tc>
        <w:tc>
          <w:tcPr>
            <w:tcW w:type="dxa" w:w="6768"/>
          </w:tcPr>
          <w:p>
            <w:pPr>
              <w:spacing w:before="30" w:after="30" w:line="276" w:lineRule="auto"/>
              <w:jc w:val="left"/>
            </w:pPr>
            <w:r/>
            <w:r>
              <w:rPr>
                <w:rFonts w:ascii="Times New Roman" w:hAnsi="Times New Roman"/>
                <w:sz w:val="20"/>
              </w:rPr>
              <w:t>Complete 12-Byte Frame Header and Tail Field Bit-Level Specification</w:t>
            </w:r>
          </w:p>
        </w:tc>
        <w:tc>
          <w:tcPr>
            <w:tcW w:type="dxa" w:w="1008"/>
          </w:tcPr>
          <w:p>
            <w:pPr>
              <w:spacing w:before="30" w:after="30" w:line="276" w:lineRule="auto"/>
              <w:jc w:val="right"/>
            </w:pPr>
            <w:r/>
            <w:r>
              <w:rPr>
                <w:rFonts w:ascii="Times New Roman" w:hAnsi="Times New Roman"/>
                <w:sz w:val="20"/>
              </w:rPr>
              <w:t>48</w:t>
            </w:r>
          </w:p>
        </w:tc>
      </w:tr>
      <w:tr>
        <w:tc>
          <w:tcPr>
            <w:tcW w:type="dxa" w:w="1584"/>
          </w:tcPr>
          <w:p>
            <w:pPr>
              <w:spacing w:before="30" w:after="30" w:line="276" w:lineRule="auto"/>
              <w:jc w:val="left"/>
            </w:pPr>
            <w:r/>
            <w:r>
              <w:rPr>
                <w:rFonts w:ascii="Times New Roman" w:hAnsi="Times New Roman"/>
                <w:sz w:val="20"/>
              </w:rPr>
              <w:t>Table 4.2</w:t>
            </w:r>
          </w:p>
        </w:tc>
        <w:tc>
          <w:tcPr>
            <w:tcW w:type="dxa" w:w="6768"/>
          </w:tcPr>
          <w:p>
            <w:pPr>
              <w:spacing w:before="30" w:after="30" w:line="276" w:lineRule="auto"/>
              <w:jc w:val="left"/>
            </w:pPr>
            <w:r/>
            <w:r>
              <w:rPr>
                <w:rFonts w:ascii="Times New Roman" w:hAnsi="Times New Roman"/>
                <w:sz w:val="20"/>
              </w:rPr>
              <w:t>Reed-Solomon Profile Specifications, Block Lengths, and Redundancy Ratios</w:t>
            </w:r>
          </w:p>
        </w:tc>
        <w:tc>
          <w:tcPr>
            <w:tcW w:type="dxa" w:w="1008"/>
          </w:tcPr>
          <w:p>
            <w:pPr>
              <w:spacing w:before="30" w:after="30" w:line="276" w:lineRule="auto"/>
              <w:jc w:val="right"/>
            </w:pPr>
            <w:r/>
            <w:r>
              <w:rPr>
                <w:rFonts w:ascii="Times New Roman" w:hAnsi="Times New Roman"/>
                <w:sz w:val="20"/>
              </w:rPr>
              <w:t>54</w:t>
            </w:r>
          </w:p>
        </w:tc>
      </w:tr>
      <w:tr>
        <w:tc>
          <w:tcPr>
            <w:tcW w:type="dxa" w:w="1584"/>
          </w:tcPr>
          <w:p>
            <w:pPr>
              <w:spacing w:before="30" w:after="30" w:line="276" w:lineRule="auto"/>
              <w:jc w:val="left"/>
            </w:pPr>
            <w:r/>
            <w:r>
              <w:rPr>
                <w:rFonts w:ascii="Times New Roman" w:hAnsi="Times New Roman"/>
                <w:sz w:val="20"/>
              </w:rPr>
              <w:t>Table 4.3</w:t>
            </w:r>
          </w:p>
        </w:tc>
        <w:tc>
          <w:tcPr>
            <w:tcW w:type="dxa" w:w="6768"/>
          </w:tcPr>
          <w:p>
            <w:pPr>
              <w:spacing w:before="30" w:after="30" w:line="276" w:lineRule="auto"/>
              <w:jc w:val="left"/>
            </w:pPr>
            <w:r/>
            <w:r>
              <w:rPr>
                <w:rFonts w:ascii="Times New Roman" w:hAnsi="Times New Roman"/>
                <w:sz w:val="20"/>
              </w:rPr>
              <w:t>Packet Assembly and Serialization Latency Benchmarks</w:t>
            </w:r>
          </w:p>
        </w:tc>
        <w:tc>
          <w:tcPr>
            <w:tcW w:type="dxa" w:w="1008"/>
          </w:tcPr>
          <w:p>
            <w:pPr>
              <w:spacing w:before="30" w:after="30" w:line="276" w:lineRule="auto"/>
              <w:jc w:val="right"/>
            </w:pPr>
            <w:r/>
            <w:r>
              <w:rPr>
                <w:rFonts w:ascii="Times New Roman" w:hAnsi="Times New Roman"/>
                <w:sz w:val="20"/>
              </w:rPr>
              <w:t>58</w:t>
            </w:r>
          </w:p>
        </w:tc>
      </w:tr>
      <w:tr>
        <w:tc>
          <w:tcPr>
            <w:tcW w:type="dxa" w:w="1584"/>
          </w:tcPr>
          <w:p>
            <w:pPr>
              <w:spacing w:before="30" w:after="30" w:line="276" w:lineRule="auto"/>
              <w:jc w:val="left"/>
            </w:pPr>
            <w:r/>
            <w:r>
              <w:rPr>
                <w:rFonts w:ascii="Times New Roman" w:hAnsi="Times New Roman"/>
                <w:sz w:val="20"/>
              </w:rPr>
              <w:t>Table 5.1</w:t>
            </w:r>
          </w:p>
        </w:tc>
        <w:tc>
          <w:tcPr>
            <w:tcW w:type="dxa" w:w="6768"/>
          </w:tcPr>
          <w:p>
            <w:pPr>
              <w:spacing w:before="30" w:after="30" w:line="276" w:lineRule="auto"/>
              <w:jc w:val="left"/>
            </w:pPr>
            <w:r/>
            <w:r>
              <w:rPr>
                <w:rFonts w:ascii="Times New Roman" w:hAnsi="Times New Roman"/>
                <w:sz w:val="20"/>
              </w:rPr>
              <w:t>Mathematically Calibrated Goodput Crossover SNR Threshold Boundaries</w:t>
            </w:r>
          </w:p>
        </w:tc>
        <w:tc>
          <w:tcPr>
            <w:tcW w:type="dxa" w:w="1008"/>
          </w:tcPr>
          <w:p>
            <w:pPr>
              <w:spacing w:before="30" w:after="30" w:line="276" w:lineRule="auto"/>
              <w:jc w:val="right"/>
            </w:pPr>
            <w:r/>
            <w:r>
              <w:rPr>
                <w:rFonts w:ascii="Times New Roman" w:hAnsi="Times New Roman"/>
                <w:sz w:val="20"/>
              </w:rPr>
              <w:t>65</w:t>
            </w:r>
          </w:p>
        </w:tc>
      </w:tr>
      <w:tr>
        <w:tc>
          <w:tcPr>
            <w:tcW w:type="dxa" w:w="1584"/>
          </w:tcPr>
          <w:p>
            <w:pPr>
              <w:spacing w:before="30" w:after="30" w:line="276" w:lineRule="auto"/>
              <w:jc w:val="left"/>
            </w:pPr>
            <w:r/>
            <w:r>
              <w:rPr>
                <w:rFonts w:ascii="Times New Roman" w:hAnsi="Times New Roman"/>
                <w:sz w:val="20"/>
              </w:rPr>
              <w:t>Table 5.2</w:t>
            </w:r>
          </w:p>
        </w:tc>
        <w:tc>
          <w:tcPr>
            <w:tcW w:type="dxa" w:w="6768"/>
          </w:tcPr>
          <w:p>
            <w:pPr>
              <w:spacing w:before="30" w:after="30" w:line="276" w:lineRule="auto"/>
              <w:jc w:val="left"/>
            </w:pPr>
            <w:r/>
            <w:r>
              <w:rPr>
                <w:rFonts w:ascii="Times New Roman" w:hAnsi="Times New Roman"/>
                <w:sz w:val="20"/>
              </w:rPr>
              <w:t>Dual-Threshold Hysteresis Parameters and Profile Transition Guard Bands</w:t>
            </w:r>
          </w:p>
        </w:tc>
        <w:tc>
          <w:tcPr>
            <w:tcW w:type="dxa" w:w="1008"/>
          </w:tcPr>
          <w:p>
            <w:pPr>
              <w:spacing w:before="30" w:after="30" w:line="276" w:lineRule="auto"/>
              <w:jc w:val="right"/>
            </w:pPr>
            <w:r/>
            <w:r>
              <w:rPr>
                <w:rFonts w:ascii="Times New Roman" w:hAnsi="Times New Roman"/>
                <w:sz w:val="20"/>
              </w:rPr>
              <w:t>67</w:t>
            </w:r>
          </w:p>
        </w:tc>
      </w:tr>
      <w:tr>
        <w:tc>
          <w:tcPr>
            <w:tcW w:type="dxa" w:w="1584"/>
          </w:tcPr>
          <w:p>
            <w:pPr>
              <w:spacing w:before="30" w:after="30" w:line="276" w:lineRule="auto"/>
              <w:jc w:val="left"/>
            </w:pPr>
            <w:r/>
            <w:r>
              <w:rPr>
                <w:rFonts w:ascii="Times New Roman" w:hAnsi="Times New Roman"/>
                <w:sz w:val="20"/>
              </w:rPr>
              <w:t>Table 5.3</w:t>
            </w:r>
          </w:p>
        </w:tc>
        <w:tc>
          <w:tcPr>
            <w:tcW w:type="dxa" w:w="6768"/>
          </w:tcPr>
          <w:p>
            <w:pPr>
              <w:spacing w:before="30" w:after="30" w:line="276" w:lineRule="auto"/>
              <w:jc w:val="left"/>
            </w:pPr>
            <w:r/>
            <w:r>
              <w:rPr>
                <w:rFonts w:ascii="Times New Roman" w:hAnsi="Times New Roman"/>
                <w:sz w:val="20"/>
              </w:rPr>
              <w:t>Explainable Multi-Indicator Escalation Trigger Conditions and Actions</w:t>
            </w:r>
          </w:p>
        </w:tc>
        <w:tc>
          <w:tcPr>
            <w:tcW w:type="dxa" w:w="1008"/>
          </w:tcPr>
          <w:p>
            <w:pPr>
              <w:spacing w:before="30" w:after="30" w:line="276" w:lineRule="auto"/>
              <w:jc w:val="right"/>
            </w:pPr>
            <w:r/>
            <w:r>
              <w:rPr>
                <w:rFonts w:ascii="Times New Roman" w:hAnsi="Times New Roman"/>
                <w:sz w:val="20"/>
              </w:rPr>
              <w:t>69</w:t>
            </w:r>
          </w:p>
        </w:tc>
      </w:tr>
      <w:tr>
        <w:tc>
          <w:tcPr>
            <w:tcW w:type="dxa" w:w="1584"/>
          </w:tcPr>
          <w:p>
            <w:pPr>
              <w:spacing w:before="30" w:after="30" w:line="276" w:lineRule="auto"/>
              <w:jc w:val="left"/>
            </w:pPr>
            <w:r/>
            <w:r>
              <w:rPr>
                <w:rFonts w:ascii="Times New Roman" w:hAnsi="Times New Roman"/>
                <w:sz w:val="20"/>
              </w:rPr>
              <w:t>Table 5.4</w:t>
            </w:r>
          </w:p>
        </w:tc>
        <w:tc>
          <w:tcPr>
            <w:tcW w:type="dxa" w:w="6768"/>
          </w:tcPr>
          <w:p>
            <w:pPr>
              <w:spacing w:before="30" w:after="30" w:line="276" w:lineRule="auto"/>
              <w:jc w:val="left"/>
            </w:pPr>
            <w:r/>
            <w:r>
              <w:rPr>
                <w:rFonts w:ascii="Times New Roman" w:hAnsi="Times New Roman"/>
                <w:sz w:val="20"/>
              </w:rPr>
              <w:t>Comprehensive Telemetry Log Field Schema and Audit Metadata</w:t>
            </w:r>
          </w:p>
        </w:tc>
        <w:tc>
          <w:tcPr>
            <w:tcW w:type="dxa" w:w="1008"/>
          </w:tcPr>
          <w:p>
            <w:pPr>
              <w:spacing w:before="30" w:after="30" w:line="276" w:lineRule="auto"/>
              <w:jc w:val="right"/>
            </w:pPr>
            <w:r/>
            <w:r>
              <w:rPr>
                <w:rFonts w:ascii="Times New Roman" w:hAnsi="Times New Roman"/>
                <w:sz w:val="20"/>
              </w:rPr>
              <w:t>71</w:t>
            </w:r>
          </w:p>
        </w:tc>
      </w:tr>
      <w:tr>
        <w:tc>
          <w:tcPr>
            <w:tcW w:type="dxa" w:w="1584"/>
          </w:tcPr>
          <w:p>
            <w:pPr>
              <w:spacing w:before="30" w:after="30" w:line="276" w:lineRule="auto"/>
              <w:jc w:val="left"/>
            </w:pPr>
            <w:r/>
            <w:r>
              <w:rPr>
                <w:rFonts w:ascii="Times New Roman" w:hAnsi="Times New Roman"/>
                <w:sz w:val="20"/>
              </w:rPr>
              <w:t>Table 6.1</w:t>
            </w:r>
          </w:p>
        </w:tc>
        <w:tc>
          <w:tcPr>
            <w:tcW w:type="dxa" w:w="6768"/>
          </w:tcPr>
          <w:p>
            <w:pPr>
              <w:spacing w:before="30" w:after="30" w:line="276" w:lineRule="auto"/>
              <w:jc w:val="left"/>
            </w:pPr>
            <w:r/>
            <w:r>
              <w:rPr>
                <w:rFonts w:ascii="Times New Roman" w:hAnsi="Times New Roman"/>
                <w:sz w:val="20"/>
              </w:rPr>
              <w:t>Core Python Module Responsibilities, Interfaces, and Code Footprint</w:t>
            </w:r>
          </w:p>
        </w:tc>
        <w:tc>
          <w:tcPr>
            <w:tcW w:type="dxa" w:w="1008"/>
          </w:tcPr>
          <w:p>
            <w:pPr>
              <w:spacing w:before="30" w:after="30" w:line="276" w:lineRule="auto"/>
              <w:jc w:val="right"/>
            </w:pPr>
            <w:r/>
            <w:r>
              <w:rPr>
                <w:rFonts w:ascii="Times New Roman" w:hAnsi="Times New Roman"/>
                <w:sz w:val="20"/>
              </w:rPr>
              <w:t>73</w:t>
            </w:r>
          </w:p>
        </w:tc>
      </w:tr>
      <w:tr>
        <w:tc>
          <w:tcPr>
            <w:tcW w:type="dxa" w:w="1584"/>
          </w:tcPr>
          <w:p>
            <w:pPr>
              <w:spacing w:before="30" w:after="30" w:line="276" w:lineRule="auto"/>
              <w:jc w:val="left"/>
            </w:pPr>
            <w:r/>
            <w:r>
              <w:rPr>
                <w:rFonts w:ascii="Times New Roman" w:hAnsi="Times New Roman"/>
                <w:sz w:val="20"/>
              </w:rPr>
              <w:t>Table 6.2</w:t>
            </w:r>
          </w:p>
        </w:tc>
        <w:tc>
          <w:tcPr>
            <w:tcW w:type="dxa" w:w="6768"/>
          </w:tcPr>
          <w:p>
            <w:pPr>
              <w:spacing w:before="30" w:after="30" w:line="276" w:lineRule="auto"/>
              <w:jc w:val="left"/>
            </w:pPr>
            <w:r/>
            <w:r>
              <w:rPr>
                <w:rFonts w:ascii="Times New Roman" w:hAnsi="Times New Roman"/>
                <w:sz w:val="20"/>
              </w:rPr>
              <w:t>Interactive Research Workbench Control Parameters and Telemetry Outputs</w:t>
            </w:r>
          </w:p>
        </w:tc>
        <w:tc>
          <w:tcPr>
            <w:tcW w:type="dxa" w:w="1008"/>
          </w:tcPr>
          <w:p>
            <w:pPr>
              <w:spacing w:before="30" w:after="30" w:line="276" w:lineRule="auto"/>
              <w:jc w:val="right"/>
            </w:pPr>
            <w:r/>
            <w:r>
              <w:rPr>
                <w:rFonts w:ascii="Times New Roman" w:hAnsi="Times New Roman"/>
                <w:sz w:val="20"/>
              </w:rPr>
              <w:t>79</w:t>
            </w:r>
          </w:p>
        </w:tc>
      </w:tr>
      <w:tr>
        <w:tc>
          <w:tcPr>
            <w:tcW w:type="dxa" w:w="1584"/>
          </w:tcPr>
          <w:p>
            <w:pPr>
              <w:spacing w:before="30" w:after="30" w:line="276" w:lineRule="auto"/>
              <w:jc w:val="left"/>
            </w:pPr>
            <w:r/>
            <w:r>
              <w:rPr>
                <w:rFonts w:ascii="Times New Roman" w:hAnsi="Times New Roman"/>
                <w:sz w:val="20"/>
              </w:rPr>
              <w:t>Table 6.3</w:t>
            </w:r>
          </w:p>
        </w:tc>
        <w:tc>
          <w:tcPr>
            <w:tcW w:type="dxa" w:w="6768"/>
          </w:tcPr>
          <w:p>
            <w:pPr>
              <w:spacing w:before="30" w:after="30" w:line="276" w:lineRule="auto"/>
              <w:jc w:val="left"/>
            </w:pPr>
            <w:r/>
            <w:r>
              <w:rPr>
                <w:rFonts w:ascii="Times New Roman" w:hAnsi="Times New Roman"/>
                <w:sz w:val="20"/>
              </w:rPr>
              <w:t>Pytest Automated Unit Test Suite Coverage and Execution Results</w:t>
            </w:r>
          </w:p>
        </w:tc>
        <w:tc>
          <w:tcPr>
            <w:tcW w:type="dxa" w:w="1008"/>
          </w:tcPr>
          <w:p>
            <w:pPr>
              <w:spacing w:before="30" w:after="30" w:line="276" w:lineRule="auto"/>
              <w:jc w:val="right"/>
            </w:pPr>
            <w:r/>
            <w:r>
              <w:rPr>
                <w:rFonts w:ascii="Times New Roman" w:hAnsi="Times New Roman"/>
                <w:sz w:val="20"/>
              </w:rPr>
              <w:t>82</w:t>
            </w:r>
          </w:p>
        </w:tc>
      </w:tr>
      <w:tr>
        <w:tc>
          <w:tcPr>
            <w:tcW w:type="dxa" w:w="1584"/>
          </w:tcPr>
          <w:p>
            <w:pPr>
              <w:spacing w:before="30" w:after="30" w:line="276" w:lineRule="auto"/>
              <w:jc w:val="left"/>
            </w:pPr>
            <w:r/>
            <w:r>
              <w:rPr>
                <w:rFonts w:ascii="Times New Roman" w:hAnsi="Times New Roman"/>
                <w:sz w:val="20"/>
              </w:rPr>
              <w:t>Table 7.1</w:t>
            </w:r>
          </w:p>
        </w:tc>
        <w:tc>
          <w:tcPr>
            <w:tcW w:type="dxa" w:w="6768"/>
          </w:tcPr>
          <w:p>
            <w:pPr>
              <w:spacing w:before="30" w:after="30" w:line="276" w:lineRule="auto"/>
              <w:jc w:val="left"/>
            </w:pPr>
            <w:r/>
            <w:r>
              <w:rPr>
                <w:rFonts w:ascii="Times New Roman" w:hAnsi="Times New Roman"/>
                <w:sz w:val="20"/>
              </w:rPr>
              <w:t>Empirical Bit Error Rate (BER) across Fixed RS Profiles (SNR 0 to 25 dB)</w:t>
            </w:r>
          </w:p>
        </w:tc>
        <w:tc>
          <w:tcPr>
            <w:tcW w:type="dxa" w:w="1008"/>
          </w:tcPr>
          <w:p>
            <w:pPr>
              <w:spacing w:before="30" w:after="30" w:line="276" w:lineRule="auto"/>
              <w:jc w:val="right"/>
            </w:pPr>
            <w:r/>
            <w:r>
              <w:rPr>
                <w:rFonts w:ascii="Times New Roman" w:hAnsi="Times New Roman"/>
                <w:sz w:val="20"/>
              </w:rPr>
              <w:t>86</w:t>
            </w:r>
          </w:p>
        </w:tc>
      </w:tr>
      <w:tr>
        <w:tc>
          <w:tcPr>
            <w:tcW w:type="dxa" w:w="1584"/>
          </w:tcPr>
          <w:p>
            <w:pPr>
              <w:spacing w:before="30" w:after="30" w:line="276" w:lineRule="auto"/>
              <w:jc w:val="left"/>
            </w:pPr>
            <w:r/>
            <w:r>
              <w:rPr>
                <w:rFonts w:ascii="Times New Roman" w:hAnsi="Times New Roman"/>
                <w:sz w:val="20"/>
              </w:rPr>
              <w:t>Table 7.2</w:t>
            </w:r>
          </w:p>
        </w:tc>
        <w:tc>
          <w:tcPr>
            <w:tcW w:type="dxa" w:w="6768"/>
          </w:tcPr>
          <w:p>
            <w:pPr>
              <w:spacing w:before="30" w:after="30" w:line="276" w:lineRule="auto"/>
              <w:jc w:val="left"/>
            </w:pPr>
            <w:r/>
            <w:r>
              <w:rPr>
                <w:rFonts w:ascii="Times New Roman" w:hAnsi="Times New Roman"/>
                <w:sz w:val="20"/>
              </w:rPr>
              <w:t>Empirical Frame Error Rate (FER) across Fixed RS Profiles</w:t>
            </w:r>
          </w:p>
        </w:tc>
        <w:tc>
          <w:tcPr>
            <w:tcW w:type="dxa" w:w="1008"/>
          </w:tcPr>
          <w:p>
            <w:pPr>
              <w:spacing w:before="30" w:after="30" w:line="276" w:lineRule="auto"/>
              <w:jc w:val="right"/>
            </w:pPr>
            <w:r/>
            <w:r>
              <w:rPr>
                <w:rFonts w:ascii="Times New Roman" w:hAnsi="Times New Roman"/>
                <w:sz w:val="20"/>
              </w:rPr>
              <w:t>87</w:t>
            </w:r>
          </w:p>
        </w:tc>
      </w:tr>
      <w:tr>
        <w:tc>
          <w:tcPr>
            <w:tcW w:type="dxa" w:w="1584"/>
          </w:tcPr>
          <w:p>
            <w:pPr>
              <w:spacing w:before="30" w:after="30" w:line="276" w:lineRule="auto"/>
              <w:jc w:val="left"/>
            </w:pPr>
            <w:r/>
            <w:r>
              <w:rPr>
                <w:rFonts w:ascii="Times New Roman" w:hAnsi="Times New Roman"/>
                <w:sz w:val="20"/>
              </w:rPr>
              <w:t>Table 7.3</w:t>
            </w:r>
          </w:p>
        </w:tc>
        <w:tc>
          <w:tcPr>
            <w:tcW w:type="dxa" w:w="6768"/>
          </w:tcPr>
          <w:p>
            <w:pPr>
              <w:spacing w:before="30" w:after="30" w:line="276" w:lineRule="auto"/>
              <w:jc w:val="left"/>
            </w:pPr>
            <w:r/>
            <w:r>
              <w:rPr>
                <w:rFonts w:ascii="Times New Roman" w:hAnsi="Times New Roman"/>
                <w:sz w:val="20"/>
              </w:rPr>
              <w:t>Effective Goodput (kB/s) Matrix Across All Evaluated SNR Points</w:t>
            </w:r>
          </w:p>
        </w:tc>
        <w:tc>
          <w:tcPr>
            <w:tcW w:type="dxa" w:w="1008"/>
          </w:tcPr>
          <w:p>
            <w:pPr>
              <w:spacing w:before="30" w:after="30" w:line="276" w:lineRule="auto"/>
              <w:jc w:val="right"/>
            </w:pPr>
            <w:r/>
            <w:r>
              <w:rPr>
                <w:rFonts w:ascii="Times New Roman" w:hAnsi="Times New Roman"/>
                <w:sz w:val="20"/>
              </w:rPr>
              <w:t>89</w:t>
            </w:r>
          </w:p>
        </w:tc>
      </w:tr>
      <w:tr>
        <w:tc>
          <w:tcPr>
            <w:tcW w:type="dxa" w:w="1584"/>
          </w:tcPr>
          <w:p>
            <w:pPr>
              <w:spacing w:before="30" w:after="30" w:line="276" w:lineRule="auto"/>
              <w:jc w:val="left"/>
            </w:pPr>
            <w:r/>
            <w:r>
              <w:rPr>
                <w:rFonts w:ascii="Times New Roman" w:hAnsi="Times New Roman"/>
                <w:sz w:val="20"/>
              </w:rPr>
              <w:t>Table 7.4</w:t>
            </w:r>
          </w:p>
        </w:tc>
        <w:tc>
          <w:tcPr>
            <w:tcW w:type="dxa" w:w="6768"/>
          </w:tcPr>
          <w:p>
            <w:pPr>
              <w:spacing w:before="30" w:after="30" w:line="276" w:lineRule="auto"/>
              <w:jc w:val="left"/>
            </w:pPr>
            <w:r/>
            <w:r>
              <w:rPr>
                <w:rFonts w:ascii="Times New Roman" w:hAnsi="Times New Roman"/>
                <w:sz w:val="20"/>
              </w:rPr>
              <w:t>Dynamic Tracking Performance Metrics under Step and Sinusoidal Variations</w:t>
            </w:r>
          </w:p>
        </w:tc>
        <w:tc>
          <w:tcPr>
            <w:tcW w:type="dxa" w:w="1008"/>
          </w:tcPr>
          <w:p>
            <w:pPr>
              <w:spacing w:before="30" w:after="30" w:line="276" w:lineRule="auto"/>
              <w:jc w:val="right"/>
            </w:pPr>
            <w:r/>
            <w:r>
              <w:rPr>
                <w:rFonts w:ascii="Times New Roman" w:hAnsi="Times New Roman"/>
                <w:sz w:val="20"/>
              </w:rPr>
              <w:t>93</w:t>
            </w:r>
          </w:p>
        </w:tc>
      </w:tr>
      <w:tr>
        <w:tc>
          <w:tcPr>
            <w:tcW w:type="dxa" w:w="1584"/>
          </w:tcPr>
          <w:p>
            <w:pPr>
              <w:spacing w:before="30" w:after="30" w:line="276" w:lineRule="auto"/>
              <w:jc w:val="left"/>
            </w:pPr>
            <w:r/>
            <w:r>
              <w:rPr>
                <w:rFonts w:ascii="Times New Roman" w:hAnsi="Times New Roman"/>
                <w:sz w:val="20"/>
              </w:rPr>
              <w:t>Table 7.5</w:t>
            </w:r>
          </w:p>
        </w:tc>
        <w:tc>
          <w:tcPr>
            <w:tcW w:type="dxa" w:w="6768"/>
          </w:tcPr>
          <w:p>
            <w:pPr>
              <w:spacing w:before="30" w:after="30" w:line="276" w:lineRule="auto"/>
              <w:jc w:val="left"/>
            </w:pPr>
            <w:r/>
            <w:r>
              <w:rPr>
                <w:rFonts w:ascii="Times New Roman" w:hAnsi="Times New Roman"/>
                <w:sz w:val="20"/>
              </w:rPr>
              <w:t>Multi-Seed Monte Carlo Statistical Benchmark Summary (Mean +/- Std)</w:t>
            </w:r>
          </w:p>
        </w:tc>
        <w:tc>
          <w:tcPr>
            <w:tcW w:type="dxa" w:w="1008"/>
          </w:tcPr>
          <w:p>
            <w:pPr>
              <w:spacing w:before="30" w:after="30" w:line="276" w:lineRule="auto"/>
              <w:jc w:val="right"/>
            </w:pPr>
            <w:r/>
            <w:r>
              <w:rPr>
                <w:rFonts w:ascii="Times New Roman" w:hAnsi="Times New Roman"/>
                <w:sz w:val="20"/>
              </w:rPr>
              <w:t>95</w:t>
            </w:r>
          </w:p>
        </w:tc>
      </w:tr>
      <w:tr>
        <w:tc>
          <w:tcPr>
            <w:tcW w:type="dxa" w:w="1584"/>
          </w:tcPr>
          <w:p>
            <w:pPr>
              <w:spacing w:before="30" w:after="30" w:line="276" w:lineRule="auto"/>
              <w:jc w:val="left"/>
            </w:pPr>
            <w:r/>
            <w:r>
              <w:rPr>
                <w:rFonts w:ascii="Times New Roman" w:hAnsi="Times New Roman"/>
                <w:sz w:val="20"/>
              </w:rPr>
              <w:t>Table 7.6</w:t>
            </w:r>
          </w:p>
        </w:tc>
        <w:tc>
          <w:tcPr>
            <w:tcW w:type="dxa" w:w="6768"/>
          </w:tcPr>
          <w:p>
            <w:pPr>
              <w:spacing w:before="30" w:after="30" w:line="276" w:lineRule="auto"/>
              <w:jc w:val="left"/>
            </w:pPr>
            <w:r/>
            <w:r>
              <w:rPr>
                <w:rFonts w:ascii="Times New Roman" w:hAnsi="Times New Roman"/>
                <w:sz w:val="20"/>
              </w:rPr>
              <w:t>Optical Dimming Sensitivity: Goodput (kB/s) at 20 dB SNR across Dimming Levels</w:t>
            </w:r>
          </w:p>
        </w:tc>
        <w:tc>
          <w:tcPr>
            <w:tcW w:type="dxa" w:w="1008"/>
          </w:tcPr>
          <w:p>
            <w:pPr>
              <w:spacing w:before="30" w:after="30" w:line="276" w:lineRule="auto"/>
              <w:jc w:val="right"/>
            </w:pPr>
            <w:r/>
            <w:r>
              <w:rPr>
                <w:rFonts w:ascii="Times New Roman" w:hAnsi="Times New Roman"/>
                <w:sz w:val="20"/>
              </w:rPr>
              <w:t>98</w:t>
            </w:r>
          </w:p>
        </w:tc>
      </w:tr>
      <w:tr>
        <w:tc>
          <w:tcPr>
            <w:tcW w:type="dxa" w:w="1584"/>
          </w:tcPr>
          <w:p>
            <w:pPr>
              <w:spacing w:before="30" w:after="30" w:line="276" w:lineRule="auto"/>
              <w:jc w:val="left"/>
            </w:pPr>
            <w:r/>
            <w:r>
              <w:rPr>
                <w:rFonts w:ascii="Times New Roman" w:hAnsi="Times New Roman"/>
                <w:sz w:val="20"/>
              </w:rPr>
              <w:t>Table 7.7</w:t>
            </w:r>
          </w:p>
        </w:tc>
        <w:tc>
          <w:tcPr>
            <w:tcW w:type="dxa" w:w="6768"/>
          </w:tcPr>
          <w:p>
            <w:pPr>
              <w:spacing w:before="30" w:after="30" w:line="276" w:lineRule="auto"/>
              <w:jc w:val="left"/>
            </w:pPr>
            <w:r/>
            <w:r>
              <w:rPr>
                <w:rFonts w:ascii="Times New Roman" w:hAnsi="Times New Roman"/>
                <w:sz w:val="20"/>
              </w:rPr>
              <w:t>Crosstalk Leakage Impact on EVM and Effective Link Throughput</w:t>
            </w:r>
          </w:p>
        </w:tc>
        <w:tc>
          <w:tcPr>
            <w:tcW w:type="dxa" w:w="1008"/>
          </w:tcPr>
          <w:p>
            <w:pPr>
              <w:spacing w:before="30" w:after="30" w:line="276" w:lineRule="auto"/>
              <w:jc w:val="right"/>
            </w:pPr>
            <w:r/>
            <w:r>
              <w:rPr>
                <w:rFonts w:ascii="Times New Roman" w:hAnsi="Times New Roman"/>
                <w:sz w:val="20"/>
              </w:rPr>
              <w:t>99</w:t>
            </w:r>
          </w:p>
        </w:tc>
      </w:tr>
      <w:tr>
        <w:tc>
          <w:tcPr>
            <w:tcW w:type="dxa" w:w="1584"/>
          </w:tcPr>
          <w:p>
            <w:pPr>
              <w:spacing w:before="30" w:after="30" w:line="276" w:lineRule="auto"/>
              <w:jc w:val="left"/>
            </w:pPr>
            <w:r/>
            <w:r>
              <w:rPr>
                <w:rFonts w:ascii="Times New Roman" w:hAnsi="Times New Roman"/>
                <w:sz w:val="20"/>
              </w:rPr>
              <w:t>Table 7.8</w:t>
            </w:r>
          </w:p>
        </w:tc>
        <w:tc>
          <w:tcPr>
            <w:tcW w:type="dxa" w:w="6768"/>
          </w:tcPr>
          <w:p>
            <w:pPr>
              <w:spacing w:before="30" w:after="30" w:line="276" w:lineRule="auto"/>
              <w:jc w:val="left"/>
            </w:pPr>
            <w:r/>
            <w:r>
              <w:rPr>
                <w:rFonts w:ascii="Times New Roman" w:hAnsi="Times New Roman"/>
                <w:sz w:val="20"/>
              </w:rPr>
              <w:t>Overall Comparative Performance Synthesis: Adaptive vs. Static Baselines</w:t>
            </w:r>
          </w:p>
        </w:tc>
        <w:tc>
          <w:tcPr>
            <w:tcW w:type="dxa" w:w="1008"/>
          </w:tcPr>
          <w:p>
            <w:pPr>
              <w:spacing w:before="30" w:after="30" w:line="276" w:lineRule="auto"/>
              <w:jc w:val="right"/>
            </w:pPr>
            <w:r/>
            <w:r>
              <w:rPr>
                <w:rFonts w:ascii="Times New Roman" w:hAnsi="Times New Roman"/>
                <w:sz w:val="20"/>
              </w:rPr>
              <w:t>101</w:t>
            </w:r>
          </w:p>
        </w:tc>
      </w:tr>
      <w:tr>
        <w:tc>
          <w:tcPr>
            <w:tcW w:type="dxa" w:w="1584"/>
          </w:tcPr>
          <w:p>
            <w:pPr>
              <w:spacing w:before="30" w:after="30" w:line="276" w:lineRule="auto"/>
              <w:jc w:val="left"/>
            </w:pPr>
            <w:r/>
            <w:r>
              <w:rPr>
                <w:rFonts w:ascii="Times New Roman" w:hAnsi="Times New Roman"/>
                <w:sz w:val="20"/>
              </w:rPr>
              <w:t>Table 8.1</w:t>
            </w:r>
          </w:p>
        </w:tc>
        <w:tc>
          <w:tcPr>
            <w:tcW w:type="dxa" w:w="6768"/>
          </w:tcPr>
          <w:p>
            <w:pPr>
              <w:spacing w:before="30" w:after="30" w:line="276" w:lineRule="auto"/>
              <w:jc w:val="left"/>
            </w:pPr>
            <w:r/>
            <w:r>
              <w:rPr>
                <w:rFonts w:ascii="Times New Roman" w:hAnsi="Times New Roman"/>
                <w:sz w:val="20"/>
              </w:rPr>
              <w:t>Gymnasium Environment State Space Observation Vector Specification</w:t>
            </w:r>
          </w:p>
        </w:tc>
        <w:tc>
          <w:tcPr>
            <w:tcW w:type="dxa" w:w="1008"/>
          </w:tcPr>
          <w:p>
            <w:pPr>
              <w:spacing w:before="30" w:after="30" w:line="276" w:lineRule="auto"/>
              <w:jc w:val="right"/>
            </w:pPr>
            <w:r/>
            <w:r>
              <w:rPr>
                <w:rFonts w:ascii="Times New Roman" w:hAnsi="Times New Roman"/>
                <w:sz w:val="20"/>
              </w:rPr>
              <w:t>109</w:t>
            </w:r>
          </w:p>
        </w:tc>
      </w:tr>
      <w:tr>
        <w:tc>
          <w:tcPr>
            <w:tcW w:type="dxa" w:w="1584"/>
          </w:tcPr>
          <w:p>
            <w:pPr>
              <w:spacing w:before="30" w:after="30" w:line="276" w:lineRule="auto"/>
              <w:jc w:val="left"/>
            </w:pPr>
            <w:r/>
            <w:r>
              <w:rPr>
                <w:rFonts w:ascii="Times New Roman" w:hAnsi="Times New Roman"/>
                <w:sz w:val="20"/>
              </w:rPr>
              <w:t>Table 8.2</w:t>
            </w:r>
          </w:p>
        </w:tc>
        <w:tc>
          <w:tcPr>
            <w:tcW w:type="dxa" w:w="6768"/>
          </w:tcPr>
          <w:p>
            <w:pPr>
              <w:spacing w:before="30" w:after="30" w:line="276" w:lineRule="auto"/>
              <w:jc w:val="left"/>
            </w:pPr>
            <w:r/>
            <w:r>
              <w:rPr>
                <w:rFonts w:ascii="Times New Roman" w:hAnsi="Times New Roman"/>
                <w:sz w:val="20"/>
              </w:rPr>
              <w:t>Gymnasium Discrete Action Space and Reward Function Formulation</w:t>
            </w:r>
          </w:p>
        </w:tc>
        <w:tc>
          <w:tcPr>
            <w:tcW w:type="dxa" w:w="1008"/>
          </w:tcPr>
          <w:p>
            <w:pPr>
              <w:spacing w:before="30" w:after="30" w:line="276" w:lineRule="auto"/>
              <w:jc w:val="right"/>
            </w:pPr>
            <w:r/>
            <w:r>
              <w:rPr>
                <w:rFonts w:ascii="Times New Roman" w:hAnsi="Times New Roman"/>
                <w:sz w:val="20"/>
              </w:rPr>
              <w:t>109</w:t>
            </w:r>
          </w:p>
        </w:tc>
      </w:tr>
      <w:tr>
        <w:tc>
          <w:tcPr>
            <w:tcW w:type="dxa" w:w="1584"/>
          </w:tcPr>
          <w:p>
            <w:pPr>
              <w:spacing w:before="30" w:after="30" w:line="276" w:lineRule="auto"/>
              <w:jc w:val="left"/>
            </w:pPr>
            <w:r/>
            <w:r>
              <w:rPr>
                <w:rFonts w:ascii="Times New Roman" w:hAnsi="Times New Roman"/>
                <w:sz w:val="20"/>
              </w:rPr>
              <w:t>Table B.1</w:t>
            </w:r>
          </w:p>
        </w:tc>
        <w:tc>
          <w:tcPr>
            <w:tcW w:type="dxa" w:w="6768"/>
          </w:tcPr>
          <w:p>
            <w:pPr>
              <w:spacing w:before="30" w:after="30" w:line="276" w:lineRule="auto"/>
              <w:jc w:val="left"/>
            </w:pPr>
            <w:r/>
            <w:r>
              <w:rPr>
                <w:rFonts w:ascii="Times New Roman" w:hAnsi="Times New Roman"/>
                <w:sz w:val="20"/>
              </w:rPr>
              <w:t>Indoor VLC Physical Testbed Geometric and Radiometric Parameters</w:t>
            </w:r>
          </w:p>
        </w:tc>
        <w:tc>
          <w:tcPr>
            <w:tcW w:type="dxa" w:w="1008"/>
          </w:tcPr>
          <w:p>
            <w:pPr>
              <w:spacing w:before="30" w:after="30" w:line="276" w:lineRule="auto"/>
              <w:jc w:val="right"/>
            </w:pPr>
            <w:r/>
            <w:r>
              <w:rPr>
                <w:rFonts w:ascii="Times New Roman" w:hAnsi="Times New Roman"/>
                <w:sz w:val="20"/>
              </w:rPr>
              <w:t>126</w:t>
            </w:r>
          </w:p>
        </w:tc>
      </w:tr>
      <w:tr>
        <w:tc>
          <w:tcPr>
            <w:tcW w:type="dxa" w:w="1584"/>
          </w:tcPr>
          <w:p>
            <w:pPr>
              <w:spacing w:before="30" w:after="30" w:line="276" w:lineRule="auto"/>
              <w:jc w:val="left"/>
            </w:pPr>
            <w:r/>
            <w:r>
              <w:rPr>
                <w:rFonts w:ascii="Times New Roman" w:hAnsi="Times New Roman"/>
                <w:sz w:val="20"/>
              </w:rPr>
              <w:t>Table B.2</w:t>
            </w:r>
          </w:p>
        </w:tc>
        <w:tc>
          <w:tcPr>
            <w:tcW w:type="dxa" w:w="6768"/>
          </w:tcPr>
          <w:p>
            <w:pPr>
              <w:spacing w:before="30" w:after="30" w:line="276" w:lineRule="auto"/>
              <w:jc w:val="left"/>
            </w:pPr>
            <w:r/>
            <w:r>
              <w:rPr>
                <w:rFonts w:ascii="Times New Roman" w:hAnsi="Times New Roman"/>
                <w:sz w:val="20"/>
              </w:rPr>
              <w:t>Calibrated SNR-to-EVM Empirical Lookup Reference Table</w:t>
            </w:r>
          </w:p>
        </w:tc>
        <w:tc>
          <w:tcPr>
            <w:tcW w:type="dxa" w:w="1008"/>
          </w:tcPr>
          <w:p>
            <w:pPr>
              <w:spacing w:before="30" w:after="30" w:line="276" w:lineRule="auto"/>
              <w:jc w:val="right"/>
            </w:pPr>
            <w:r/>
            <w:r>
              <w:rPr>
                <w:rFonts w:ascii="Times New Roman" w:hAnsi="Times New Roman"/>
                <w:sz w:val="20"/>
              </w:rPr>
              <w:t>127</w:t>
            </w:r>
          </w:p>
        </w:tc>
      </w:tr>
      <w:tr>
        <w:tc>
          <w:tcPr>
            <w:tcW w:type="dxa" w:w="1584"/>
          </w:tcPr>
          <w:p>
            <w:pPr>
              <w:spacing w:before="30" w:after="30" w:line="276" w:lineRule="auto"/>
              <w:jc w:val="left"/>
            </w:pPr>
            <w:r/>
            <w:r>
              <w:rPr>
                <w:rFonts w:ascii="Times New Roman" w:hAnsi="Times New Roman"/>
                <w:sz w:val="20"/>
              </w:rPr>
              <w:t>Table C.1</w:t>
            </w:r>
          </w:p>
        </w:tc>
        <w:tc>
          <w:tcPr>
            <w:tcW w:type="dxa" w:w="6768"/>
          </w:tcPr>
          <w:p>
            <w:pPr>
              <w:spacing w:before="30" w:after="30" w:line="276" w:lineRule="auto"/>
              <w:jc w:val="left"/>
            </w:pPr>
            <w:r/>
            <w:r>
              <w:rPr>
                <w:rFonts w:ascii="Times New Roman" w:hAnsi="Times New Roman"/>
                <w:sz w:val="20"/>
              </w:rPr>
              <w:t>Complete Verification Test Suite Execution Matrix and Assertions</w:t>
            </w:r>
          </w:p>
        </w:tc>
        <w:tc>
          <w:tcPr>
            <w:tcW w:type="dxa" w:w="1008"/>
          </w:tcPr>
          <w:p>
            <w:pPr>
              <w:spacing w:before="30" w:after="30" w:line="276" w:lineRule="auto"/>
              <w:jc w:val="right"/>
            </w:pPr>
            <w:r/>
            <w:r>
              <w:rPr>
                <w:rFonts w:ascii="Times New Roman" w:hAnsi="Times New Roman"/>
                <w:sz w:val="20"/>
              </w:rPr>
              <w:t>129</w:t>
            </w:r>
          </w:p>
        </w:tc>
      </w:tr>
    </w:tbl>
    <w:p>
      <w:r>
        <w:br w:type="page"/>
      </w:r>
    </w:p>
    <w:p>
      <w:pPr>
        <w:jc w:val="center"/>
        <w:spacing w:before="240" w:after="360"/>
      </w:pPr>
      <w:r>
        <w:rPr>
          <w:rFonts w:ascii="Times New Roman" w:hAnsi="Times New Roman"/>
          <w:b/>
          <w:sz w:val="28"/>
        </w:rPr>
        <w:t>LIST OF FIGURES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3010"/>
        <w:gridCol w:w="3010"/>
        <w:gridCol w:w="3010"/>
      </w:tblGrid>
      <w:tr>
        <w:tc>
          <w:tcPr>
            <w:tcW w:type="dxa" w:w="1584"/>
          </w:tcPr>
          <w:p>
            <w:pPr>
              <w:spacing w:before="40" w:after="40" w:line="276" w:lineRule="auto"/>
              <w:jc w:val="left"/>
            </w:pPr>
            <w:r/>
            <w:r>
              <w:rPr>
                <w:rFonts w:ascii="Times New Roman" w:hAnsi="Times New Roman"/>
                <w:b/>
                <w:sz w:val="20"/>
              </w:rPr>
              <w:t>Figure No.</w:t>
            </w:r>
          </w:p>
        </w:tc>
        <w:tc>
          <w:tcPr>
            <w:tcW w:type="dxa" w:w="6768"/>
          </w:tcPr>
          <w:p>
            <w:pPr>
              <w:spacing w:before="40" w:after="40" w:line="276" w:lineRule="auto"/>
              <w:jc w:val="left"/>
            </w:pPr>
            <w:r/>
            <w:r>
              <w:rPr>
                <w:rFonts w:ascii="Times New Roman" w:hAnsi="Times New Roman"/>
                <w:b/>
                <w:sz w:val="20"/>
              </w:rPr>
              <w:t>Description</w:t>
            </w:r>
          </w:p>
        </w:tc>
        <w:tc>
          <w:tcPr>
            <w:tcW w:type="dxa" w:w="1008"/>
          </w:tcPr>
          <w:p>
            <w:pPr>
              <w:spacing w:before="40" w:after="40" w:line="276" w:lineRule="auto"/>
              <w:jc w:val="right"/>
            </w:pPr>
            <w:r/>
            <w:r>
              <w:rPr>
                <w:rFonts w:ascii="Times New Roman" w:hAnsi="Times New Roman"/>
                <w:b/>
                <w:sz w:val="20"/>
              </w:rPr>
              <w:t>Page No.</w:t>
            </w:r>
          </w:p>
        </w:tc>
      </w:tr>
      <w:tr>
        <w:tc>
          <w:tcPr>
            <w:tcW w:type="dxa" w:w="1584"/>
          </w:tcPr>
          <w:p>
            <w:pPr>
              <w:spacing w:before="40" w:after="40" w:line="276" w:lineRule="auto"/>
              <w:jc w:val="left"/>
            </w:pPr>
            <w:r/>
            <w:r>
              <w:rPr>
                <w:rFonts w:ascii="Times New Roman" w:hAnsi="Times New Roman"/>
                <w:sz w:val="20"/>
              </w:rPr>
              <w:t>Figure 1.1</w:t>
            </w:r>
          </w:p>
        </w:tc>
        <w:tc>
          <w:tcPr>
            <w:tcW w:type="dxa" w:w="6768"/>
          </w:tcPr>
          <w:p>
            <w:pPr>
              <w:spacing w:before="40" w:after="40" w:line="276" w:lineRule="auto"/>
              <w:jc w:val="left"/>
            </w:pPr>
            <w:r/>
            <w:r>
              <w:rPr>
                <w:rFonts w:ascii="Times New Roman" w:hAnsi="Times New Roman"/>
                <w:sz w:val="20"/>
              </w:rPr>
              <w:t>End-to-End Channel-Aware Adaptive VLC System Architecture and Dataflow</w:t>
            </w:r>
          </w:p>
        </w:tc>
        <w:tc>
          <w:tcPr>
            <w:tcW w:type="dxa" w:w="1008"/>
          </w:tcPr>
          <w:p>
            <w:pPr>
              <w:spacing w:before="40" w:after="40" w:line="276" w:lineRule="auto"/>
              <w:jc w:val="right"/>
            </w:pPr>
            <w:r/>
            <w:r>
              <w:rPr>
                <w:rFonts w:ascii="Times New Roman" w:hAnsi="Times New Roman"/>
                <w:sz w:val="20"/>
              </w:rPr>
              <w:t>8</w:t>
            </w:r>
          </w:p>
        </w:tc>
      </w:tr>
      <w:tr>
        <w:tc>
          <w:tcPr>
            <w:tcW w:type="dxa" w:w="1584"/>
          </w:tcPr>
          <w:p>
            <w:pPr>
              <w:spacing w:before="40" w:after="40" w:line="276" w:lineRule="auto"/>
              <w:jc w:val="left"/>
            </w:pPr>
            <w:r/>
            <w:r>
              <w:rPr>
                <w:rFonts w:ascii="Times New Roman" w:hAnsi="Times New Roman"/>
                <w:sz w:val="20"/>
              </w:rPr>
              <w:t>Figure 3.1</w:t>
            </w:r>
          </w:p>
        </w:tc>
        <w:tc>
          <w:tcPr>
            <w:tcW w:type="dxa" w:w="6768"/>
          </w:tcPr>
          <w:p>
            <w:pPr>
              <w:spacing w:before="40" w:after="40" w:line="276" w:lineRule="auto"/>
              <w:jc w:val="left"/>
            </w:pPr>
            <w:r/>
            <w:r>
              <w:rPr>
                <w:rFonts w:ascii="Times New Roman" w:hAnsi="Times New Roman"/>
                <w:sz w:val="20"/>
              </w:rPr>
              <w:t>IEEE 802.15.7 Standard 4-CSK Constellation in 3D Optical RGB Color Space</w:t>
            </w:r>
          </w:p>
        </w:tc>
        <w:tc>
          <w:tcPr>
            <w:tcW w:type="dxa" w:w="1008"/>
          </w:tcPr>
          <w:p>
            <w:pPr>
              <w:spacing w:before="40" w:after="40" w:line="276" w:lineRule="auto"/>
              <w:jc w:val="right"/>
            </w:pPr>
            <w:r/>
            <w:r>
              <w:rPr>
                <w:rFonts w:ascii="Times New Roman" w:hAnsi="Times New Roman"/>
                <w:sz w:val="20"/>
              </w:rPr>
              <w:t>39</w:t>
            </w:r>
          </w:p>
        </w:tc>
      </w:tr>
      <w:tr>
        <w:tc>
          <w:tcPr>
            <w:tcW w:type="dxa" w:w="1584"/>
          </w:tcPr>
          <w:p>
            <w:pPr>
              <w:spacing w:before="40" w:after="40" w:line="276" w:lineRule="auto"/>
              <w:jc w:val="left"/>
            </w:pPr>
            <w:r/>
            <w:r>
              <w:rPr>
                <w:rFonts w:ascii="Times New Roman" w:hAnsi="Times New Roman"/>
                <w:sz w:val="20"/>
              </w:rPr>
              <w:t>Figure 4.1</w:t>
            </w:r>
          </w:p>
        </w:tc>
        <w:tc>
          <w:tcPr>
            <w:tcW w:type="dxa" w:w="6768"/>
          </w:tcPr>
          <w:p>
            <w:pPr>
              <w:spacing w:before="40" w:after="40" w:line="276" w:lineRule="auto"/>
              <w:jc w:val="left"/>
            </w:pPr>
            <w:r/>
            <w:r>
              <w:rPr>
                <w:rFonts w:ascii="Times New Roman" w:hAnsi="Times New Roman"/>
                <w:sz w:val="20"/>
              </w:rPr>
              <w:t>Structured Frame Format Showing Header, Variable Payload, and CRC32 Tail</w:t>
            </w:r>
          </w:p>
        </w:tc>
        <w:tc>
          <w:tcPr>
            <w:tcW w:type="dxa" w:w="1008"/>
          </w:tcPr>
          <w:p>
            <w:pPr>
              <w:spacing w:before="40" w:after="40" w:line="276" w:lineRule="auto"/>
              <w:jc w:val="right"/>
            </w:pPr>
            <w:r/>
            <w:r>
              <w:rPr>
                <w:rFonts w:ascii="Times New Roman" w:hAnsi="Times New Roman"/>
                <w:sz w:val="20"/>
              </w:rPr>
              <w:t>50</w:t>
            </w:r>
          </w:p>
        </w:tc>
      </w:tr>
      <w:tr>
        <w:tc>
          <w:tcPr>
            <w:tcW w:type="dxa" w:w="1584"/>
          </w:tcPr>
          <w:p>
            <w:pPr>
              <w:spacing w:before="40" w:after="40" w:line="276" w:lineRule="auto"/>
              <w:jc w:val="left"/>
            </w:pPr>
            <w:r/>
            <w:r>
              <w:rPr>
                <w:rFonts w:ascii="Times New Roman" w:hAnsi="Times New Roman"/>
                <w:sz w:val="20"/>
              </w:rPr>
              <w:t>Figure 5.1</w:t>
            </w:r>
          </w:p>
        </w:tc>
        <w:tc>
          <w:tcPr>
            <w:tcW w:type="dxa" w:w="6768"/>
          </w:tcPr>
          <w:p>
            <w:pPr>
              <w:spacing w:before="40" w:after="40" w:line="276" w:lineRule="auto"/>
              <w:jc w:val="left"/>
            </w:pPr>
            <w:r/>
            <w:r>
              <w:rPr>
                <w:rFonts w:ascii="Times New Roman" w:hAnsi="Times New Roman"/>
                <w:sz w:val="20"/>
              </w:rPr>
              <w:t>Explainable Multi-Indicator Adaptive Controller Logic Flowchart</w:t>
            </w:r>
          </w:p>
        </w:tc>
        <w:tc>
          <w:tcPr>
            <w:tcW w:type="dxa" w:w="1008"/>
          </w:tcPr>
          <w:p>
            <w:pPr>
              <w:spacing w:before="40" w:after="40" w:line="276" w:lineRule="auto"/>
              <w:jc w:val="right"/>
            </w:pPr>
            <w:r/>
            <w:r>
              <w:rPr>
                <w:rFonts w:ascii="Times New Roman" w:hAnsi="Times New Roman"/>
                <w:sz w:val="20"/>
              </w:rPr>
              <w:t>64</w:t>
            </w:r>
          </w:p>
        </w:tc>
      </w:tr>
      <w:tr>
        <w:tc>
          <w:tcPr>
            <w:tcW w:type="dxa" w:w="1584"/>
          </w:tcPr>
          <w:p>
            <w:pPr>
              <w:spacing w:before="40" w:after="40" w:line="276" w:lineRule="auto"/>
              <w:jc w:val="left"/>
            </w:pPr>
            <w:r/>
            <w:r>
              <w:rPr>
                <w:rFonts w:ascii="Times New Roman" w:hAnsi="Times New Roman"/>
                <w:sz w:val="20"/>
              </w:rPr>
              <w:t>Figure 7.1</w:t>
            </w:r>
          </w:p>
        </w:tc>
        <w:tc>
          <w:tcPr>
            <w:tcW w:type="dxa" w:w="6768"/>
          </w:tcPr>
          <w:p>
            <w:pPr>
              <w:spacing w:before="40" w:after="40" w:line="276" w:lineRule="auto"/>
              <w:jc w:val="left"/>
            </w:pPr>
            <w:r/>
            <w:r>
              <w:rPr>
                <w:rFonts w:ascii="Times New Roman" w:hAnsi="Times New Roman"/>
                <w:sz w:val="20"/>
              </w:rPr>
              <w:t>Bit Error Rate (BER) Waterfall Curves across Five Fixed Reed-Solomon Codecs</w:t>
            </w:r>
          </w:p>
        </w:tc>
        <w:tc>
          <w:tcPr>
            <w:tcW w:type="dxa" w:w="1008"/>
          </w:tcPr>
          <w:p>
            <w:pPr>
              <w:spacing w:before="40" w:after="40" w:line="276" w:lineRule="auto"/>
              <w:jc w:val="right"/>
            </w:pPr>
            <w:r/>
            <w:r>
              <w:rPr>
                <w:rFonts w:ascii="Times New Roman" w:hAnsi="Times New Roman"/>
                <w:sz w:val="20"/>
              </w:rPr>
              <w:t>85</w:t>
            </w:r>
          </w:p>
        </w:tc>
      </w:tr>
      <w:tr>
        <w:tc>
          <w:tcPr>
            <w:tcW w:type="dxa" w:w="1584"/>
          </w:tcPr>
          <w:p>
            <w:pPr>
              <w:spacing w:before="40" w:after="40" w:line="276" w:lineRule="auto"/>
              <w:jc w:val="left"/>
            </w:pPr>
            <w:r/>
            <w:r>
              <w:rPr>
                <w:rFonts w:ascii="Times New Roman" w:hAnsi="Times New Roman"/>
                <w:sz w:val="20"/>
              </w:rPr>
              <w:t>Figure 7.2</w:t>
            </w:r>
          </w:p>
        </w:tc>
        <w:tc>
          <w:tcPr>
            <w:tcW w:type="dxa" w:w="6768"/>
          </w:tcPr>
          <w:p>
            <w:pPr>
              <w:spacing w:before="40" w:after="40" w:line="276" w:lineRule="auto"/>
              <w:jc w:val="left"/>
            </w:pPr>
            <w:r/>
            <w:r>
              <w:rPr>
                <w:rFonts w:ascii="Times New Roman" w:hAnsi="Times New Roman"/>
                <w:sz w:val="20"/>
              </w:rPr>
              <w:t>Effective Goodput Crossover Envelope and Calibrated Switching Boundaries</w:t>
            </w:r>
          </w:p>
        </w:tc>
        <w:tc>
          <w:tcPr>
            <w:tcW w:type="dxa" w:w="1008"/>
          </w:tcPr>
          <w:p>
            <w:pPr>
              <w:spacing w:before="40" w:after="40" w:line="276" w:lineRule="auto"/>
              <w:jc w:val="right"/>
            </w:pPr>
            <w:r/>
            <w:r>
              <w:rPr>
                <w:rFonts w:ascii="Times New Roman" w:hAnsi="Times New Roman"/>
                <w:sz w:val="20"/>
              </w:rPr>
              <w:t>90</w:t>
            </w:r>
          </w:p>
        </w:tc>
      </w:tr>
      <w:tr>
        <w:tc>
          <w:tcPr>
            <w:tcW w:type="dxa" w:w="1584"/>
          </w:tcPr>
          <w:p>
            <w:pPr>
              <w:spacing w:before="40" w:after="40" w:line="276" w:lineRule="auto"/>
              <w:jc w:val="left"/>
            </w:pPr>
            <w:r/>
            <w:r>
              <w:rPr>
                <w:rFonts w:ascii="Times New Roman" w:hAnsi="Times New Roman"/>
                <w:sz w:val="20"/>
              </w:rPr>
              <w:t>Figure 7.3</w:t>
            </w:r>
          </w:p>
        </w:tc>
        <w:tc>
          <w:tcPr>
            <w:tcW w:type="dxa" w:w="6768"/>
          </w:tcPr>
          <w:p>
            <w:pPr>
              <w:spacing w:before="40" w:after="40" w:line="276" w:lineRule="auto"/>
              <w:jc w:val="left"/>
            </w:pPr>
            <w:r/>
            <w:r>
              <w:rPr>
                <w:rFonts w:ascii="Times New Roman" w:hAnsi="Times New Roman"/>
                <w:sz w:val="20"/>
              </w:rPr>
              <w:t>Dynamic Channel Tracking Time-Series under Abrupt Channel Degradations</w:t>
            </w:r>
          </w:p>
        </w:tc>
        <w:tc>
          <w:tcPr>
            <w:tcW w:type="dxa" w:w="1008"/>
          </w:tcPr>
          <w:p>
            <w:pPr>
              <w:spacing w:before="40" w:after="40" w:line="276" w:lineRule="auto"/>
              <w:jc w:val="right"/>
            </w:pPr>
            <w:r/>
            <w:r>
              <w:rPr>
                <w:rFonts w:ascii="Times New Roman" w:hAnsi="Times New Roman"/>
                <w:sz w:val="20"/>
              </w:rPr>
              <w:t>92</w:t>
            </w:r>
          </w:p>
        </w:tc>
      </w:tr>
      <w:tr>
        <w:tc>
          <w:tcPr>
            <w:tcW w:type="dxa" w:w="1584"/>
          </w:tcPr>
          <w:p>
            <w:pPr>
              <w:spacing w:before="40" w:after="40" w:line="276" w:lineRule="auto"/>
              <w:jc w:val="left"/>
            </w:pPr>
            <w:r/>
            <w:r>
              <w:rPr>
                <w:rFonts w:ascii="Times New Roman" w:hAnsi="Times New Roman"/>
                <w:sz w:val="20"/>
              </w:rPr>
              <w:t>Figure 7.4</w:t>
            </w:r>
          </w:p>
        </w:tc>
        <w:tc>
          <w:tcPr>
            <w:tcW w:type="dxa" w:w="6768"/>
          </w:tcPr>
          <w:p>
            <w:pPr>
              <w:spacing w:before="40" w:after="40" w:line="276" w:lineRule="auto"/>
              <w:jc w:val="left"/>
            </w:pPr>
            <w:r/>
            <w:r>
              <w:rPr>
                <w:rFonts w:ascii="Times New Roman" w:hAnsi="Times New Roman"/>
                <w:sz w:val="20"/>
              </w:rPr>
              <w:t>Multi-Seed Monte Carlo Statistical Benchmark across Fixed and Adaptive Profiles</w:t>
            </w:r>
          </w:p>
        </w:tc>
        <w:tc>
          <w:tcPr>
            <w:tcW w:type="dxa" w:w="1008"/>
          </w:tcPr>
          <w:p>
            <w:pPr>
              <w:spacing w:before="40" w:after="40" w:line="276" w:lineRule="auto"/>
              <w:jc w:val="right"/>
            </w:pPr>
            <w:r/>
            <w:r>
              <w:rPr>
                <w:rFonts w:ascii="Times New Roman" w:hAnsi="Times New Roman"/>
                <w:sz w:val="20"/>
              </w:rPr>
              <w:t>96</w:t>
            </w:r>
          </w:p>
        </w:tc>
      </w:tr>
      <w:tr>
        <w:tc>
          <w:tcPr>
            <w:tcW w:type="dxa" w:w="1584"/>
          </w:tcPr>
          <w:p>
            <w:pPr>
              <w:spacing w:before="40" w:after="40" w:line="276" w:lineRule="auto"/>
              <w:jc w:val="left"/>
            </w:pPr>
            <w:r/>
            <w:r>
              <w:rPr>
                <w:rFonts w:ascii="Times New Roman" w:hAnsi="Times New Roman"/>
                <w:sz w:val="20"/>
              </w:rPr>
              <w:t>Figure 7.5</w:t>
            </w:r>
          </w:p>
        </w:tc>
        <w:tc>
          <w:tcPr>
            <w:tcW w:type="dxa" w:w="6768"/>
          </w:tcPr>
          <w:p>
            <w:pPr>
              <w:spacing w:before="40" w:after="40" w:line="276" w:lineRule="auto"/>
              <w:jc w:val="left"/>
            </w:pPr>
            <w:r/>
            <w:r>
              <w:rPr>
                <w:rFonts w:ascii="Times New Roman" w:hAnsi="Times New Roman"/>
                <w:sz w:val="20"/>
              </w:rPr>
              <w:t>Parametric Sensitivity Analysis: Optical Dimming and Crosstalk Leakage Curves</w:t>
            </w:r>
          </w:p>
        </w:tc>
        <w:tc>
          <w:tcPr>
            <w:tcW w:type="dxa" w:w="1008"/>
          </w:tcPr>
          <w:p>
            <w:pPr>
              <w:spacing w:before="40" w:after="40" w:line="276" w:lineRule="auto"/>
              <w:jc w:val="right"/>
            </w:pPr>
            <w:r/>
            <w:r>
              <w:rPr>
                <w:rFonts w:ascii="Times New Roman" w:hAnsi="Times New Roman"/>
                <w:sz w:val="20"/>
              </w:rPr>
              <w:t>97</w:t>
            </w:r>
          </w:p>
        </w:tc>
      </w:tr>
    </w:tbl>
    <w:p>
      <w:r>
        <w:br w:type="page"/>
      </w:r>
    </w:p>
    <w:p>
      <w:pPr>
        <w:jc w:val="center"/>
        <w:spacing w:before="240" w:after="360"/>
      </w:pPr>
      <w:r>
        <w:rPr>
          <w:rFonts w:ascii="Times New Roman" w:hAnsi="Times New Roman"/>
          <w:b/>
          <w:sz w:val="28"/>
        </w:rPr>
        <w:t>LIST OF SYMBOLS AND ABBREVIATIONS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3168"/>
          </w:tcPr>
          <w:p>
            <w:pPr>
              <w:spacing w:before="30" w:after="30" w:line="276" w:lineRule="auto"/>
              <w:jc w:val="left"/>
            </w:pPr>
            <w:r/>
            <w:r>
              <w:rPr>
                <w:rFonts w:ascii="Times New Roman" w:hAnsi="Times New Roman"/>
                <w:b/>
                <w:sz w:val="20"/>
              </w:rPr>
              <w:t>Symbol / Abbreviation</w:t>
            </w:r>
          </w:p>
        </w:tc>
        <w:tc>
          <w:tcPr>
            <w:tcW w:type="dxa" w:w="6192"/>
          </w:tcPr>
          <w:p>
            <w:pPr>
              <w:spacing w:before="30" w:after="30" w:line="276" w:lineRule="auto"/>
              <w:jc w:val="left"/>
            </w:pPr>
            <w:r/>
            <w:r>
              <w:rPr>
                <w:rFonts w:ascii="Times New Roman" w:hAnsi="Times New Roman"/>
                <w:b/>
                <w:sz w:val="20"/>
              </w:rPr>
              <w:t>Description</w:t>
            </w:r>
          </w:p>
        </w:tc>
      </w:tr>
      <w:tr>
        <w:tc>
          <w:tcPr>
            <w:tcW w:type="dxa" w:w="3168"/>
          </w:tcPr>
          <w:p>
            <w:pPr>
              <w:spacing w:before="30" w:after="30" w:line="276" w:lineRule="auto"/>
              <w:jc w:val="left"/>
            </w:pPr>
            <w:r/>
            <w:r>
              <w:rPr>
                <w:rFonts w:ascii="Times New Roman" w:hAnsi="Times New Roman"/>
                <w:sz w:val="20"/>
              </w:rPr>
              <w:t>AGC</w:t>
            </w:r>
          </w:p>
        </w:tc>
        <w:tc>
          <w:tcPr>
            <w:tcW w:type="dxa" w:w="6192"/>
          </w:tcPr>
          <w:p>
            <w:pPr>
              <w:spacing w:before="30" w:after="30" w:line="276" w:lineRule="auto"/>
              <w:jc w:val="left"/>
            </w:pPr>
            <w:r/>
            <w:r>
              <w:rPr>
                <w:rFonts w:ascii="Times New Roman" w:hAnsi="Times New Roman"/>
                <w:sz w:val="20"/>
              </w:rPr>
              <w:t>Automatic Gain Control</w:t>
            </w:r>
          </w:p>
        </w:tc>
      </w:tr>
      <w:tr>
        <w:tc>
          <w:tcPr>
            <w:tcW w:type="dxa" w:w="3168"/>
          </w:tcPr>
          <w:p>
            <w:pPr>
              <w:spacing w:before="30" w:after="30" w:line="276" w:lineRule="auto"/>
              <w:jc w:val="left"/>
            </w:pPr>
            <w:r/>
            <w:r>
              <w:rPr>
                <w:rFonts w:ascii="Times New Roman" w:hAnsi="Times New Roman"/>
                <w:sz w:val="20"/>
              </w:rPr>
              <w:t>AMC</w:t>
            </w:r>
          </w:p>
        </w:tc>
        <w:tc>
          <w:tcPr>
            <w:tcW w:type="dxa" w:w="6192"/>
          </w:tcPr>
          <w:p>
            <w:pPr>
              <w:spacing w:before="30" w:after="30" w:line="276" w:lineRule="auto"/>
              <w:jc w:val="left"/>
            </w:pPr>
            <w:r/>
            <w:r>
              <w:rPr>
                <w:rFonts w:ascii="Times New Roman" w:hAnsi="Times New Roman"/>
                <w:sz w:val="20"/>
              </w:rPr>
              <w:t>Adaptive Modulation and Coding</w:t>
            </w:r>
          </w:p>
        </w:tc>
      </w:tr>
      <w:tr>
        <w:tc>
          <w:tcPr>
            <w:tcW w:type="dxa" w:w="3168"/>
          </w:tcPr>
          <w:p>
            <w:pPr>
              <w:spacing w:before="30" w:after="30" w:line="276" w:lineRule="auto"/>
              <w:jc w:val="left"/>
            </w:pPr>
            <w:r/>
            <w:r>
              <w:rPr>
                <w:rFonts w:ascii="Times New Roman" w:hAnsi="Times New Roman"/>
                <w:sz w:val="20"/>
              </w:rPr>
              <w:t>AWGN</w:t>
            </w:r>
          </w:p>
        </w:tc>
        <w:tc>
          <w:tcPr>
            <w:tcW w:type="dxa" w:w="6192"/>
          </w:tcPr>
          <w:p>
            <w:pPr>
              <w:spacing w:before="30" w:after="30" w:line="276" w:lineRule="auto"/>
              <w:jc w:val="left"/>
            </w:pPr>
            <w:r/>
            <w:r>
              <w:rPr>
                <w:rFonts w:ascii="Times New Roman" w:hAnsi="Times New Roman"/>
                <w:sz w:val="20"/>
              </w:rPr>
              <w:t>Additive White Gaussian Noise</w:t>
            </w:r>
          </w:p>
        </w:tc>
      </w:tr>
      <w:tr>
        <w:tc>
          <w:tcPr>
            <w:tcW w:type="dxa" w:w="3168"/>
          </w:tcPr>
          <w:p>
            <w:pPr>
              <w:spacing w:before="30" w:after="30" w:line="276" w:lineRule="auto"/>
              <w:jc w:val="left"/>
            </w:pPr>
            <w:r/>
            <w:r>
              <w:rPr>
                <w:rFonts w:ascii="Times New Roman" w:hAnsi="Times New Roman"/>
                <w:sz w:val="20"/>
              </w:rPr>
              <w:t>BER</w:t>
            </w:r>
          </w:p>
        </w:tc>
        <w:tc>
          <w:tcPr>
            <w:tcW w:type="dxa" w:w="6192"/>
          </w:tcPr>
          <w:p>
            <w:pPr>
              <w:spacing w:before="30" w:after="30" w:line="276" w:lineRule="auto"/>
              <w:jc w:val="left"/>
            </w:pPr>
            <w:r/>
            <w:r>
              <w:rPr>
                <w:rFonts w:ascii="Times New Roman" w:hAnsi="Times New Roman"/>
                <w:sz w:val="20"/>
              </w:rPr>
              <w:t>Bit Error Rate</w:t>
            </w:r>
          </w:p>
        </w:tc>
      </w:tr>
      <w:tr>
        <w:tc>
          <w:tcPr>
            <w:tcW w:type="dxa" w:w="3168"/>
          </w:tcPr>
          <w:p>
            <w:pPr>
              <w:spacing w:before="30" w:after="30" w:line="276" w:lineRule="auto"/>
              <w:jc w:val="left"/>
            </w:pPr>
            <w:r/>
            <w:r>
              <w:rPr>
                <w:rFonts w:ascii="Times New Roman" w:hAnsi="Times New Roman"/>
                <w:sz w:val="20"/>
              </w:rPr>
              <w:t>BPF</w:t>
            </w:r>
          </w:p>
        </w:tc>
        <w:tc>
          <w:tcPr>
            <w:tcW w:type="dxa" w:w="6192"/>
          </w:tcPr>
          <w:p>
            <w:pPr>
              <w:spacing w:before="30" w:after="30" w:line="276" w:lineRule="auto"/>
              <w:jc w:val="left"/>
            </w:pPr>
            <w:r/>
            <w:r>
              <w:rPr>
                <w:rFonts w:ascii="Times New Roman" w:hAnsi="Times New Roman"/>
                <w:sz w:val="20"/>
              </w:rPr>
              <w:t>Bandpass Filter</w:t>
            </w:r>
          </w:p>
        </w:tc>
      </w:tr>
      <w:tr>
        <w:tc>
          <w:tcPr>
            <w:tcW w:type="dxa" w:w="3168"/>
          </w:tcPr>
          <w:p>
            <w:pPr>
              <w:spacing w:before="30" w:after="30" w:line="276" w:lineRule="auto"/>
              <w:jc w:val="left"/>
            </w:pPr>
            <w:r/>
            <w:r>
              <w:rPr>
                <w:rFonts w:ascii="Times New Roman" w:hAnsi="Times New Roman"/>
                <w:sz w:val="20"/>
              </w:rPr>
              <w:t>CIE</w:t>
            </w:r>
          </w:p>
        </w:tc>
        <w:tc>
          <w:tcPr>
            <w:tcW w:type="dxa" w:w="6192"/>
          </w:tcPr>
          <w:p>
            <w:pPr>
              <w:spacing w:before="30" w:after="30" w:line="276" w:lineRule="auto"/>
              <w:jc w:val="left"/>
            </w:pPr>
            <w:r/>
            <w:r>
              <w:rPr>
                <w:rFonts w:ascii="Times New Roman" w:hAnsi="Times New Roman"/>
                <w:sz w:val="20"/>
              </w:rPr>
              <w:t>Commission Internationale de l'Eclairage</w:t>
            </w:r>
          </w:p>
        </w:tc>
      </w:tr>
      <w:tr>
        <w:tc>
          <w:tcPr>
            <w:tcW w:type="dxa" w:w="3168"/>
          </w:tcPr>
          <w:p>
            <w:pPr>
              <w:spacing w:before="30" w:after="30" w:line="276" w:lineRule="auto"/>
              <w:jc w:val="left"/>
            </w:pPr>
            <w:r/>
            <w:r>
              <w:rPr>
                <w:rFonts w:ascii="Times New Roman" w:hAnsi="Times New Roman"/>
                <w:sz w:val="20"/>
              </w:rPr>
              <w:t>CRC</w:t>
            </w:r>
          </w:p>
        </w:tc>
        <w:tc>
          <w:tcPr>
            <w:tcW w:type="dxa" w:w="6192"/>
          </w:tcPr>
          <w:p>
            <w:pPr>
              <w:spacing w:before="30" w:after="30" w:line="276" w:lineRule="auto"/>
              <w:jc w:val="left"/>
            </w:pPr>
            <w:r/>
            <w:r>
              <w:rPr>
                <w:rFonts w:ascii="Times New Roman" w:hAnsi="Times New Roman"/>
                <w:sz w:val="20"/>
              </w:rPr>
              <w:t>Cyclic Redundancy Check</w:t>
            </w:r>
          </w:p>
        </w:tc>
      </w:tr>
      <w:tr>
        <w:tc>
          <w:tcPr>
            <w:tcW w:type="dxa" w:w="3168"/>
          </w:tcPr>
          <w:p>
            <w:pPr>
              <w:spacing w:before="30" w:after="30" w:line="276" w:lineRule="auto"/>
              <w:jc w:val="left"/>
            </w:pPr>
            <w:r/>
            <w:r>
              <w:rPr>
                <w:rFonts w:ascii="Times New Roman" w:hAnsi="Times New Roman"/>
                <w:sz w:val="20"/>
              </w:rPr>
              <w:t>CSK</w:t>
            </w:r>
          </w:p>
        </w:tc>
        <w:tc>
          <w:tcPr>
            <w:tcW w:type="dxa" w:w="6192"/>
          </w:tcPr>
          <w:p>
            <w:pPr>
              <w:spacing w:before="30" w:after="30" w:line="276" w:lineRule="auto"/>
              <w:jc w:val="left"/>
            </w:pPr>
            <w:r/>
            <w:r>
              <w:rPr>
                <w:rFonts w:ascii="Times New Roman" w:hAnsi="Times New Roman"/>
                <w:sz w:val="20"/>
              </w:rPr>
              <w:t>Color Shift Keying</w:t>
            </w:r>
          </w:p>
        </w:tc>
      </w:tr>
      <w:tr>
        <w:tc>
          <w:tcPr>
            <w:tcW w:type="dxa" w:w="3168"/>
          </w:tcPr>
          <w:p>
            <w:pPr>
              <w:spacing w:before="30" w:after="30" w:line="276" w:lineRule="auto"/>
              <w:jc w:val="left"/>
            </w:pPr>
            <w:r/>
            <w:r>
              <w:rPr>
                <w:rFonts w:ascii="Times New Roman" w:hAnsi="Times New Roman"/>
                <w:sz w:val="20"/>
              </w:rPr>
              <w:t>DRL</w:t>
            </w:r>
          </w:p>
        </w:tc>
        <w:tc>
          <w:tcPr>
            <w:tcW w:type="dxa" w:w="6192"/>
          </w:tcPr>
          <w:p>
            <w:pPr>
              <w:spacing w:before="30" w:after="30" w:line="276" w:lineRule="auto"/>
              <w:jc w:val="left"/>
            </w:pPr>
            <w:r/>
            <w:r>
              <w:rPr>
                <w:rFonts w:ascii="Times New Roman" w:hAnsi="Times New Roman"/>
                <w:sz w:val="20"/>
              </w:rPr>
              <w:t>Deep Reinforcement Learning</w:t>
            </w:r>
          </w:p>
        </w:tc>
      </w:tr>
      <w:tr>
        <w:tc>
          <w:tcPr>
            <w:tcW w:type="dxa" w:w="3168"/>
          </w:tcPr>
          <w:p>
            <w:pPr>
              <w:spacing w:before="30" w:after="30" w:line="276" w:lineRule="auto"/>
              <w:jc w:val="left"/>
            </w:pPr>
            <w:r/>
            <w:r>
              <w:rPr>
                <w:rFonts w:ascii="Times New Roman" w:hAnsi="Times New Roman"/>
                <w:sz w:val="20"/>
              </w:rPr>
              <w:t>EVM</w:t>
            </w:r>
          </w:p>
        </w:tc>
        <w:tc>
          <w:tcPr>
            <w:tcW w:type="dxa" w:w="6192"/>
          </w:tcPr>
          <w:p>
            <w:pPr>
              <w:spacing w:before="30" w:after="30" w:line="276" w:lineRule="auto"/>
              <w:jc w:val="left"/>
            </w:pPr>
            <w:r/>
            <w:r>
              <w:rPr>
                <w:rFonts w:ascii="Times New Roman" w:hAnsi="Times New Roman"/>
                <w:sz w:val="20"/>
              </w:rPr>
              <w:t>Error Vector Magnitude</w:t>
            </w:r>
          </w:p>
        </w:tc>
      </w:tr>
      <w:tr>
        <w:tc>
          <w:tcPr>
            <w:tcW w:type="dxa" w:w="3168"/>
          </w:tcPr>
          <w:p>
            <w:pPr>
              <w:spacing w:before="30" w:after="30" w:line="276" w:lineRule="auto"/>
              <w:jc w:val="left"/>
            </w:pPr>
            <w:r/>
            <w:r>
              <w:rPr>
                <w:rFonts w:ascii="Times New Roman" w:hAnsi="Times New Roman"/>
                <w:sz w:val="20"/>
              </w:rPr>
              <w:t>FEC</w:t>
            </w:r>
          </w:p>
        </w:tc>
        <w:tc>
          <w:tcPr>
            <w:tcW w:type="dxa" w:w="6192"/>
          </w:tcPr>
          <w:p>
            <w:pPr>
              <w:spacing w:before="30" w:after="30" w:line="276" w:lineRule="auto"/>
              <w:jc w:val="left"/>
            </w:pPr>
            <w:r/>
            <w:r>
              <w:rPr>
                <w:rFonts w:ascii="Times New Roman" w:hAnsi="Times New Roman"/>
                <w:sz w:val="20"/>
              </w:rPr>
              <w:t>Forward Error Correction</w:t>
            </w:r>
          </w:p>
        </w:tc>
      </w:tr>
      <w:tr>
        <w:tc>
          <w:tcPr>
            <w:tcW w:type="dxa" w:w="3168"/>
          </w:tcPr>
          <w:p>
            <w:pPr>
              <w:spacing w:before="30" w:after="30" w:line="276" w:lineRule="auto"/>
              <w:jc w:val="left"/>
            </w:pPr>
            <w:r/>
            <w:r>
              <w:rPr>
                <w:rFonts w:ascii="Times New Roman" w:hAnsi="Times New Roman"/>
                <w:sz w:val="20"/>
              </w:rPr>
              <w:t>FER</w:t>
            </w:r>
          </w:p>
        </w:tc>
        <w:tc>
          <w:tcPr>
            <w:tcW w:type="dxa" w:w="6192"/>
          </w:tcPr>
          <w:p>
            <w:pPr>
              <w:spacing w:before="30" w:after="30" w:line="276" w:lineRule="auto"/>
              <w:jc w:val="left"/>
            </w:pPr>
            <w:r/>
            <w:r>
              <w:rPr>
                <w:rFonts w:ascii="Times New Roman" w:hAnsi="Times New Roman"/>
                <w:sz w:val="20"/>
              </w:rPr>
              <w:t>Frame Error Rate</w:t>
            </w:r>
          </w:p>
        </w:tc>
      </w:tr>
      <w:tr>
        <w:tc>
          <w:tcPr>
            <w:tcW w:type="dxa" w:w="3168"/>
          </w:tcPr>
          <w:p>
            <w:pPr>
              <w:spacing w:before="30" w:after="30" w:line="276" w:lineRule="auto"/>
              <w:jc w:val="left"/>
            </w:pPr>
            <w:r/>
            <w:r>
              <w:rPr>
                <w:rFonts w:ascii="Times New Roman" w:hAnsi="Times New Roman"/>
                <w:sz w:val="20"/>
              </w:rPr>
              <w:t>FOV</w:t>
            </w:r>
          </w:p>
        </w:tc>
        <w:tc>
          <w:tcPr>
            <w:tcW w:type="dxa" w:w="6192"/>
          </w:tcPr>
          <w:p>
            <w:pPr>
              <w:spacing w:before="30" w:after="30" w:line="276" w:lineRule="auto"/>
              <w:jc w:val="left"/>
            </w:pPr>
            <w:r/>
            <w:r>
              <w:rPr>
                <w:rFonts w:ascii="Times New Roman" w:hAnsi="Times New Roman"/>
                <w:sz w:val="20"/>
              </w:rPr>
              <w:t>Field of View (Photodiode Angular Acceptance)</w:t>
            </w:r>
          </w:p>
        </w:tc>
      </w:tr>
      <w:tr>
        <w:tc>
          <w:tcPr>
            <w:tcW w:type="dxa" w:w="3168"/>
          </w:tcPr>
          <w:p>
            <w:pPr>
              <w:spacing w:before="30" w:after="30" w:line="276" w:lineRule="auto"/>
              <w:jc w:val="left"/>
            </w:pPr>
            <w:r/>
            <w:r>
              <w:rPr>
                <w:rFonts w:ascii="Times New Roman" w:hAnsi="Times New Roman"/>
                <w:sz w:val="20"/>
              </w:rPr>
              <w:t>GF(2^8)</w:t>
            </w:r>
          </w:p>
        </w:tc>
        <w:tc>
          <w:tcPr>
            <w:tcW w:type="dxa" w:w="6192"/>
          </w:tcPr>
          <w:p>
            <w:pPr>
              <w:spacing w:before="30" w:after="30" w:line="276" w:lineRule="auto"/>
              <w:jc w:val="left"/>
            </w:pPr>
            <w:r/>
            <w:r>
              <w:rPr>
                <w:rFonts w:ascii="Times New Roman" w:hAnsi="Times New Roman"/>
                <w:sz w:val="20"/>
              </w:rPr>
              <w:t>Galois Field of Order 256</w:t>
            </w:r>
          </w:p>
        </w:tc>
      </w:tr>
      <w:tr>
        <w:tc>
          <w:tcPr>
            <w:tcW w:type="dxa" w:w="3168"/>
          </w:tcPr>
          <w:p>
            <w:pPr>
              <w:spacing w:before="30" w:after="30" w:line="276" w:lineRule="auto"/>
              <w:jc w:val="left"/>
            </w:pPr>
            <w:r/>
            <w:r>
              <w:rPr>
                <w:rFonts w:ascii="Times New Roman" w:hAnsi="Times New Roman"/>
                <w:sz w:val="20"/>
              </w:rPr>
              <w:t>H_0</w:t>
            </w:r>
          </w:p>
        </w:tc>
        <w:tc>
          <w:tcPr>
            <w:tcW w:type="dxa" w:w="6192"/>
          </w:tcPr>
          <w:p>
            <w:pPr>
              <w:spacing w:before="30" w:after="30" w:line="276" w:lineRule="auto"/>
              <w:jc w:val="left"/>
            </w:pPr>
            <w:r/>
            <w:r>
              <w:rPr>
                <w:rFonts w:ascii="Times New Roman" w:hAnsi="Times New Roman"/>
                <w:sz w:val="20"/>
              </w:rPr>
              <w:t>Line-of-Sight Channel DC Optical Gain</w:t>
            </w:r>
          </w:p>
        </w:tc>
      </w:tr>
      <w:tr>
        <w:tc>
          <w:tcPr>
            <w:tcW w:type="dxa" w:w="3168"/>
          </w:tcPr>
          <w:p>
            <w:pPr>
              <w:spacing w:before="30" w:after="30" w:line="276" w:lineRule="auto"/>
              <w:jc w:val="left"/>
            </w:pPr>
            <w:r/>
            <w:r>
              <w:rPr>
                <w:rFonts w:ascii="Times New Roman" w:hAnsi="Times New Roman"/>
                <w:sz w:val="20"/>
              </w:rPr>
              <w:t>IEEE</w:t>
            </w:r>
          </w:p>
        </w:tc>
        <w:tc>
          <w:tcPr>
            <w:tcW w:type="dxa" w:w="6192"/>
          </w:tcPr>
          <w:p>
            <w:pPr>
              <w:spacing w:before="30" w:after="30" w:line="276" w:lineRule="auto"/>
              <w:jc w:val="left"/>
            </w:pPr>
            <w:r/>
            <w:r>
              <w:rPr>
                <w:rFonts w:ascii="Times New Roman" w:hAnsi="Times New Roman"/>
                <w:sz w:val="20"/>
              </w:rPr>
              <w:t>Institute of Electrical and Electronics Engineers</w:t>
            </w:r>
          </w:p>
        </w:tc>
      </w:tr>
      <w:tr>
        <w:tc>
          <w:tcPr>
            <w:tcW w:type="dxa" w:w="3168"/>
          </w:tcPr>
          <w:p>
            <w:pPr>
              <w:spacing w:before="30" w:after="30" w:line="276" w:lineRule="auto"/>
              <w:jc w:val="left"/>
            </w:pPr>
            <w:r/>
            <w:r>
              <w:rPr>
                <w:rFonts w:ascii="Times New Roman" w:hAnsi="Times New Roman"/>
                <w:sz w:val="20"/>
              </w:rPr>
              <w:t>LED</w:t>
            </w:r>
          </w:p>
        </w:tc>
        <w:tc>
          <w:tcPr>
            <w:tcW w:type="dxa" w:w="6192"/>
          </w:tcPr>
          <w:p>
            <w:pPr>
              <w:spacing w:before="30" w:after="30" w:line="276" w:lineRule="auto"/>
              <w:jc w:val="left"/>
            </w:pPr>
            <w:r/>
            <w:r>
              <w:rPr>
                <w:rFonts w:ascii="Times New Roman" w:hAnsi="Times New Roman"/>
                <w:sz w:val="20"/>
              </w:rPr>
              <w:t>Light Emitting Diode</w:t>
            </w:r>
          </w:p>
        </w:tc>
      </w:tr>
      <w:tr>
        <w:tc>
          <w:tcPr>
            <w:tcW w:type="dxa" w:w="3168"/>
          </w:tcPr>
          <w:p>
            <w:pPr>
              <w:spacing w:before="30" w:after="30" w:line="276" w:lineRule="auto"/>
              <w:jc w:val="left"/>
            </w:pPr>
            <w:r/>
            <w:r>
              <w:rPr>
                <w:rFonts w:ascii="Times New Roman" w:hAnsi="Times New Roman"/>
                <w:sz w:val="20"/>
              </w:rPr>
              <w:t>Li-Fi</w:t>
            </w:r>
          </w:p>
        </w:tc>
        <w:tc>
          <w:tcPr>
            <w:tcW w:type="dxa" w:w="6192"/>
          </w:tcPr>
          <w:p>
            <w:pPr>
              <w:spacing w:before="30" w:after="30" w:line="276" w:lineRule="auto"/>
              <w:jc w:val="left"/>
            </w:pPr>
            <w:r/>
            <w:r>
              <w:rPr>
                <w:rFonts w:ascii="Times New Roman" w:hAnsi="Times New Roman"/>
                <w:sz w:val="20"/>
              </w:rPr>
              <w:t>Light Fidelity</w:t>
            </w:r>
          </w:p>
        </w:tc>
      </w:tr>
      <w:tr>
        <w:tc>
          <w:tcPr>
            <w:tcW w:type="dxa" w:w="3168"/>
          </w:tcPr>
          <w:p>
            <w:pPr>
              <w:spacing w:before="30" w:after="30" w:line="276" w:lineRule="auto"/>
              <w:jc w:val="left"/>
            </w:pPr>
            <w:r/>
            <w:r>
              <w:rPr>
                <w:rFonts w:ascii="Times New Roman" w:hAnsi="Times New Roman"/>
                <w:sz w:val="20"/>
              </w:rPr>
              <w:t>LOS</w:t>
            </w:r>
          </w:p>
        </w:tc>
        <w:tc>
          <w:tcPr>
            <w:tcW w:type="dxa" w:w="6192"/>
          </w:tcPr>
          <w:p>
            <w:pPr>
              <w:spacing w:before="30" w:after="30" w:line="276" w:lineRule="auto"/>
              <w:jc w:val="left"/>
            </w:pPr>
            <w:r/>
            <w:r>
              <w:rPr>
                <w:rFonts w:ascii="Times New Roman" w:hAnsi="Times New Roman"/>
                <w:sz w:val="20"/>
              </w:rPr>
              <w:t>Line-of-Sight</w:t>
            </w:r>
          </w:p>
        </w:tc>
      </w:tr>
      <w:tr>
        <w:tc>
          <w:tcPr>
            <w:tcW w:type="dxa" w:w="3168"/>
          </w:tcPr>
          <w:p>
            <w:pPr>
              <w:spacing w:before="30" w:after="30" w:line="276" w:lineRule="auto"/>
              <w:jc w:val="left"/>
            </w:pPr>
            <w:r/>
            <w:r>
              <w:rPr>
                <w:rFonts w:ascii="Times New Roman" w:hAnsi="Times New Roman"/>
                <w:sz w:val="20"/>
              </w:rPr>
              <w:t>LUT</w:t>
            </w:r>
          </w:p>
        </w:tc>
        <w:tc>
          <w:tcPr>
            <w:tcW w:type="dxa" w:w="6192"/>
          </w:tcPr>
          <w:p>
            <w:pPr>
              <w:spacing w:before="30" w:after="30" w:line="276" w:lineRule="auto"/>
              <w:jc w:val="left"/>
            </w:pPr>
            <w:r/>
            <w:r>
              <w:rPr>
                <w:rFonts w:ascii="Times New Roman" w:hAnsi="Times New Roman"/>
                <w:sz w:val="20"/>
              </w:rPr>
              <w:t>Look-Up Table</w:t>
            </w:r>
          </w:p>
        </w:tc>
      </w:tr>
      <w:tr>
        <w:tc>
          <w:tcPr>
            <w:tcW w:type="dxa" w:w="3168"/>
          </w:tcPr>
          <w:p>
            <w:pPr>
              <w:spacing w:before="30" w:after="30" w:line="276" w:lineRule="auto"/>
              <w:jc w:val="left"/>
            </w:pPr>
            <w:r/>
            <w:r>
              <w:rPr>
                <w:rFonts w:ascii="Times New Roman" w:hAnsi="Times New Roman"/>
                <w:sz w:val="20"/>
              </w:rPr>
              <w:t>MIMO</w:t>
            </w:r>
          </w:p>
        </w:tc>
        <w:tc>
          <w:tcPr>
            <w:tcW w:type="dxa" w:w="6192"/>
          </w:tcPr>
          <w:p>
            <w:pPr>
              <w:spacing w:before="30" w:after="30" w:line="276" w:lineRule="auto"/>
              <w:jc w:val="left"/>
            </w:pPr>
            <w:r/>
            <w:r>
              <w:rPr>
                <w:rFonts w:ascii="Times New Roman" w:hAnsi="Times New Roman"/>
                <w:sz w:val="20"/>
              </w:rPr>
              <w:t>Multiple-Input Multiple-Output</w:t>
            </w:r>
          </w:p>
        </w:tc>
      </w:tr>
      <w:tr>
        <w:tc>
          <w:tcPr>
            <w:tcW w:type="dxa" w:w="3168"/>
          </w:tcPr>
          <w:p>
            <w:pPr>
              <w:spacing w:before="30" w:after="30" w:line="276" w:lineRule="auto"/>
              <w:jc w:val="left"/>
            </w:pPr>
            <w:r/>
            <w:r>
              <w:rPr>
                <w:rFonts w:ascii="Times New Roman" w:hAnsi="Times New Roman"/>
                <w:sz w:val="20"/>
              </w:rPr>
              <w:t>OOK</w:t>
            </w:r>
          </w:p>
        </w:tc>
        <w:tc>
          <w:tcPr>
            <w:tcW w:type="dxa" w:w="6192"/>
          </w:tcPr>
          <w:p>
            <w:pPr>
              <w:spacing w:before="30" w:after="30" w:line="276" w:lineRule="auto"/>
              <w:jc w:val="left"/>
            </w:pPr>
            <w:r/>
            <w:r>
              <w:rPr>
                <w:rFonts w:ascii="Times New Roman" w:hAnsi="Times New Roman"/>
                <w:sz w:val="20"/>
              </w:rPr>
              <w:t>On-Off Keying</w:t>
            </w:r>
          </w:p>
        </w:tc>
      </w:tr>
      <w:tr>
        <w:tc>
          <w:tcPr>
            <w:tcW w:type="dxa" w:w="3168"/>
          </w:tcPr>
          <w:p>
            <w:pPr>
              <w:spacing w:before="30" w:after="30" w:line="276" w:lineRule="auto"/>
              <w:jc w:val="left"/>
            </w:pPr>
            <w:r/>
            <w:r>
              <w:rPr>
                <w:rFonts w:ascii="Times New Roman" w:hAnsi="Times New Roman"/>
                <w:sz w:val="20"/>
              </w:rPr>
              <w:t>OWC</w:t>
            </w:r>
          </w:p>
        </w:tc>
        <w:tc>
          <w:tcPr>
            <w:tcW w:type="dxa" w:w="6192"/>
          </w:tcPr>
          <w:p>
            <w:pPr>
              <w:spacing w:before="30" w:after="30" w:line="276" w:lineRule="auto"/>
              <w:jc w:val="left"/>
            </w:pPr>
            <w:r/>
            <w:r>
              <w:rPr>
                <w:rFonts w:ascii="Times New Roman" w:hAnsi="Times New Roman"/>
                <w:sz w:val="20"/>
              </w:rPr>
              <w:t>Optical Wireless Communication</w:t>
            </w:r>
          </w:p>
        </w:tc>
      </w:tr>
      <w:tr>
        <w:tc>
          <w:tcPr>
            <w:tcW w:type="dxa" w:w="3168"/>
          </w:tcPr>
          <w:p>
            <w:pPr>
              <w:spacing w:before="30" w:after="30" w:line="276" w:lineRule="auto"/>
              <w:jc w:val="left"/>
            </w:pPr>
            <w:r/>
            <w:r>
              <w:rPr>
                <w:rFonts w:ascii="Times New Roman" w:hAnsi="Times New Roman"/>
                <w:sz w:val="20"/>
              </w:rPr>
              <w:t>PD</w:t>
            </w:r>
          </w:p>
        </w:tc>
        <w:tc>
          <w:tcPr>
            <w:tcW w:type="dxa" w:w="6192"/>
          </w:tcPr>
          <w:p>
            <w:pPr>
              <w:spacing w:before="30" w:after="30" w:line="276" w:lineRule="auto"/>
              <w:jc w:val="left"/>
            </w:pPr>
            <w:r/>
            <w:r>
              <w:rPr>
                <w:rFonts w:ascii="Times New Roman" w:hAnsi="Times New Roman"/>
                <w:sz w:val="20"/>
              </w:rPr>
              <w:t>Photodiode</w:t>
            </w:r>
          </w:p>
        </w:tc>
      </w:tr>
      <w:tr>
        <w:tc>
          <w:tcPr>
            <w:tcW w:type="dxa" w:w="3168"/>
          </w:tcPr>
          <w:p>
            <w:pPr>
              <w:spacing w:before="30" w:after="30" w:line="276" w:lineRule="auto"/>
              <w:jc w:val="left"/>
            </w:pPr>
            <w:r/>
            <w:r>
              <w:rPr>
                <w:rFonts w:ascii="Times New Roman" w:hAnsi="Times New Roman"/>
                <w:sz w:val="20"/>
              </w:rPr>
              <w:t>PHY</w:t>
            </w:r>
          </w:p>
        </w:tc>
        <w:tc>
          <w:tcPr>
            <w:tcW w:type="dxa" w:w="6192"/>
          </w:tcPr>
          <w:p>
            <w:pPr>
              <w:spacing w:before="30" w:after="30" w:line="276" w:lineRule="auto"/>
              <w:jc w:val="left"/>
            </w:pPr>
            <w:r/>
            <w:r>
              <w:rPr>
                <w:rFonts w:ascii="Times New Roman" w:hAnsi="Times New Roman"/>
                <w:sz w:val="20"/>
              </w:rPr>
              <w:t>Physical Layer</w:t>
            </w:r>
          </w:p>
        </w:tc>
      </w:tr>
      <w:tr>
        <w:tc>
          <w:tcPr>
            <w:tcW w:type="dxa" w:w="3168"/>
          </w:tcPr>
          <w:p>
            <w:pPr>
              <w:spacing w:before="30" w:after="30" w:line="276" w:lineRule="auto"/>
              <w:jc w:val="left"/>
            </w:pPr>
            <w:r/>
            <w:r>
              <w:rPr>
                <w:rFonts w:ascii="Times New Roman" w:hAnsi="Times New Roman"/>
                <w:sz w:val="20"/>
              </w:rPr>
              <w:t>PIN</w:t>
            </w:r>
          </w:p>
        </w:tc>
        <w:tc>
          <w:tcPr>
            <w:tcW w:type="dxa" w:w="6192"/>
          </w:tcPr>
          <w:p>
            <w:pPr>
              <w:spacing w:before="30" w:after="30" w:line="276" w:lineRule="auto"/>
              <w:jc w:val="left"/>
            </w:pPr>
            <w:r/>
            <w:r>
              <w:rPr>
                <w:rFonts w:ascii="Times New Roman" w:hAnsi="Times New Roman"/>
                <w:sz w:val="20"/>
              </w:rPr>
              <w:t>Positive-Intrinsic-Negative Photodiode</w:t>
            </w:r>
          </w:p>
        </w:tc>
      </w:tr>
      <w:tr>
        <w:tc>
          <w:tcPr>
            <w:tcW w:type="dxa" w:w="3168"/>
          </w:tcPr>
          <w:p>
            <w:pPr>
              <w:spacing w:before="30" w:after="30" w:line="276" w:lineRule="auto"/>
              <w:jc w:val="left"/>
            </w:pPr>
            <w:r/>
            <w:r>
              <w:rPr>
                <w:rFonts w:ascii="Times New Roman" w:hAnsi="Times New Roman"/>
                <w:sz w:val="20"/>
              </w:rPr>
              <w:t>PPM</w:t>
            </w:r>
          </w:p>
        </w:tc>
        <w:tc>
          <w:tcPr>
            <w:tcW w:type="dxa" w:w="6192"/>
          </w:tcPr>
          <w:p>
            <w:pPr>
              <w:spacing w:before="30" w:after="30" w:line="276" w:lineRule="auto"/>
              <w:jc w:val="left"/>
            </w:pPr>
            <w:r/>
            <w:r>
              <w:rPr>
                <w:rFonts w:ascii="Times New Roman" w:hAnsi="Times New Roman"/>
                <w:sz w:val="20"/>
              </w:rPr>
              <w:t>Pulse Position Modulation</w:t>
            </w:r>
          </w:p>
        </w:tc>
      </w:tr>
      <w:tr>
        <w:tc>
          <w:tcPr>
            <w:tcW w:type="dxa" w:w="3168"/>
          </w:tcPr>
          <w:p>
            <w:pPr>
              <w:spacing w:before="30" w:after="30" w:line="276" w:lineRule="auto"/>
              <w:jc w:val="left"/>
            </w:pPr>
            <w:r/>
            <w:r>
              <w:rPr>
                <w:rFonts w:ascii="Times New Roman" w:hAnsi="Times New Roman"/>
                <w:sz w:val="20"/>
              </w:rPr>
              <w:t>QoS</w:t>
            </w:r>
          </w:p>
        </w:tc>
        <w:tc>
          <w:tcPr>
            <w:tcW w:type="dxa" w:w="6192"/>
          </w:tcPr>
          <w:p>
            <w:pPr>
              <w:spacing w:before="30" w:after="30" w:line="276" w:lineRule="auto"/>
              <w:jc w:val="left"/>
            </w:pPr>
            <w:r/>
            <w:r>
              <w:rPr>
                <w:rFonts w:ascii="Times New Roman" w:hAnsi="Times New Roman"/>
                <w:sz w:val="20"/>
              </w:rPr>
              <w:t>Quality of Service</w:t>
            </w:r>
          </w:p>
        </w:tc>
      </w:tr>
      <w:tr>
        <w:tc>
          <w:tcPr>
            <w:tcW w:type="dxa" w:w="3168"/>
          </w:tcPr>
          <w:p>
            <w:pPr>
              <w:spacing w:before="30" w:after="30" w:line="276" w:lineRule="auto"/>
              <w:jc w:val="left"/>
            </w:pPr>
            <w:r/>
            <w:r>
              <w:rPr>
                <w:rFonts w:ascii="Times New Roman" w:hAnsi="Times New Roman"/>
                <w:sz w:val="20"/>
              </w:rPr>
              <w:t>RF</w:t>
            </w:r>
          </w:p>
        </w:tc>
        <w:tc>
          <w:tcPr>
            <w:tcW w:type="dxa" w:w="6192"/>
          </w:tcPr>
          <w:p>
            <w:pPr>
              <w:spacing w:before="30" w:after="30" w:line="276" w:lineRule="auto"/>
              <w:jc w:val="left"/>
            </w:pPr>
            <w:r/>
            <w:r>
              <w:rPr>
                <w:rFonts w:ascii="Times New Roman" w:hAnsi="Times New Roman"/>
                <w:sz w:val="20"/>
              </w:rPr>
              <w:t>Radio Frequency</w:t>
            </w:r>
          </w:p>
        </w:tc>
      </w:tr>
      <w:tr>
        <w:tc>
          <w:tcPr>
            <w:tcW w:type="dxa" w:w="3168"/>
          </w:tcPr>
          <w:p>
            <w:pPr>
              <w:spacing w:before="30" w:after="30" w:line="276" w:lineRule="auto"/>
              <w:jc w:val="left"/>
            </w:pPr>
            <w:r/>
            <w:r>
              <w:rPr>
                <w:rFonts w:ascii="Times New Roman" w:hAnsi="Times New Roman"/>
                <w:sz w:val="20"/>
              </w:rPr>
              <w:t>RGB</w:t>
            </w:r>
          </w:p>
        </w:tc>
        <w:tc>
          <w:tcPr>
            <w:tcW w:type="dxa" w:w="6192"/>
          </w:tcPr>
          <w:p>
            <w:pPr>
              <w:spacing w:before="30" w:after="30" w:line="276" w:lineRule="auto"/>
              <w:jc w:val="left"/>
            </w:pPr>
            <w:r/>
            <w:r>
              <w:rPr>
                <w:rFonts w:ascii="Times New Roman" w:hAnsi="Times New Roman"/>
                <w:sz w:val="20"/>
              </w:rPr>
              <w:t>Red-Green-Blue Optical Channels</w:t>
            </w:r>
          </w:p>
        </w:tc>
      </w:tr>
      <w:tr>
        <w:tc>
          <w:tcPr>
            <w:tcW w:type="dxa" w:w="3168"/>
          </w:tcPr>
          <w:p>
            <w:pPr>
              <w:spacing w:before="30" w:after="30" w:line="276" w:lineRule="auto"/>
              <w:jc w:val="left"/>
            </w:pPr>
            <w:r/>
            <w:r>
              <w:rPr>
                <w:rFonts w:ascii="Times New Roman" w:hAnsi="Times New Roman"/>
                <w:sz w:val="20"/>
              </w:rPr>
              <w:t>RS</w:t>
            </w:r>
          </w:p>
        </w:tc>
        <w:tc>
          <w:tcPr>
            <w:tcW w:type="dxa" w:w="6192"/>
          </w:tcPr>
          <w:p>
            <w:pPr>
              <w:spacing w:before="30" w:after="30" w:line="276" w:lineRule="auto"/>
              <w:jc w:val="left"/>
            </w:pPr>
            <w:r/>
            <w:r>
              <w:rPr>
                <w:rFonts w:ascii="Times New Roman" w:hAnsi="Times New Roman"/>
                <w:sz w:val="20"/>
              </w:rPr>
              <w:t>Reed-Solomon Error Correcting Code</w:t>
            </w:r>
          </w:p>
        </w:tc>
      </w:tr>
      <w:tr>
        <w:tc>
          <w:tcPr>
            <w:tcW w:type="dxa" w:w="3168"/>
          </w:tcPr>
          <w:p>
            <w:pPr>
              <w:spacing w:before="30" w:after="30" w:line="276" w:lineRule="auto"/>
              <w:jc w:val="left"/>
            </w:pPr>
            <w:r/>
            <w:r>
              <w:rPr>
                <w:rFonts w:ascii="Times New Roman" w:hAnsi="Times New Roman"/>
                <w:sz w:val="20"/>
              </w:rPr>
              <w:t>SER</w:t>
            </w:r>
          </w:p>
        </w:tc>
        <w:tc>
          <w:tcPr>
            <w:tcW w:type="dxa" w:w="6192"/>
          </w:tcPr>
          <w:p>
            <w:pPr>
              <w:spacing w:before="30" w:after="30" w:line="276" w:lineRule="auto"/>
              <w:jc w:val="left"/>
            </w:pPr>
            <w:r/>
            <w:r>
              <w:rPr>
                <w:rFonts w:ascii="Times New Roman" w:hAnsi="Times New Roman"/>
                <w:sz w:val="20"/>
              </w:rPr>
              <w:t>Symbol Error Rate</w:t>
            </w:r>
          </w:p>
        </w:tc>
      </w:tr>
      <w:tr>
        <w:tc>
          <w:tcPr>
            <w:tcW w:type="dxa" w:w="3168"/>
          </w:tcPr>
          <w:p>
            <w:pPr>
              <w:spacing w:before="30" w:after="30" w:line="276" w:lineRule="auto"/>
              <w:jc w:val="left"/>
            </w:pPr>
            <w:r/>
            <w:r>
              <w:rPr>
                <w:rFonts w:ascii="Times New Roman" w:hAnsi="Times New Roman"/>
                <w:sz w:val="20"/>
              </w:rPr>
              <w:t>SNR</w:t>
            </w:r>
          </w:p>
        </w:tc>
        <w:tc>
          <w:tcPr>
            <w:tcW w:type="dxa" w:w="6192"/>
          </w:tcPr>
          <w:p>
            <w:pPr>
              <w:spacing w:before="30" w:after="30" w:line="276" w:lineRule="auto"/>
              <w:jc w:val="left"/>
            </w:pPr>
            <w:r/>
            <w:r>
              <w:rPr>
                <w:rFonts w:ascii="Times New Roman" w:hAnsi="Times New Roman"/>
                <w:sz w:val="20"/>
              </w:rPr>
              <w:t>Signal-to-Noise Ratio (dB)</w:t>
            </w:r>
          </w:p>
        </w:tc>
      </w:tr>
      <w:tr>
        <w:tc>
          <w:tcPr>
            <w:tcW w:type="dxa" w:w="3168"/>
          </w:tcPr>
          <w:p>
            <w:pPr>
              <w:spacing w:before="30" w:after="30" w:line="276" w:lineRule="auto"/>
              <w:jc w:val="left"/>
            </w:pPr>
            <w:r/>
            <w:r>
              <w:rPr>
                <w:rFonts w:ascii="Times New Roman" w:hAnsi="Times New Roman"/>
                <w:sz w:val="20"/>
              </w:rPr>
              <w:t>SPD</w:t>
            </w:r>
          </w:p>
        </w:tc>
        <w:tc>
          <w:tcPr>
            <w:tcW w:type="dxa" w:w="6192"/>
          </w:tcPr>
          <w:p>
            <w:pPr>
              <w:spacing w:before="30" w:after="30" w:line="276" w:lineRule="auto"/>
              <w:jc w:val="left"/>
            </w:pPr>
            <w:r/>
            <w:r>
              <w:rPr>
                <w:rFonts w:ascii="Times New Roman" w:hAnsi="Times New Roman"/>
                <w:sz w:val="20"/>
              </w:rPr>
              <w:t>Spectral Power Distribution</w:t>
            </w:r>
          </w:p>
        </w:tc>
      </w:tr>
      <w:tr>
        <w:tc>
          <w:tcPr>
            <w:tcW w:type="dxa" w:w="3168"/>
          </w:tcPr>
          <w:p>
            <w:pPr>
              <w:spacing w:before="30" w:after="30" w:line="276" w:lineRule="auto"/>
              <w:jc w:val="left"/>
            </w:pPr>
            <w:r/>
            <w:r>
              <w:rPr>
                <w:rFonts w:ascii="Times New Roman" w:hAnsi="Times New Roman"/>
                <w:sz w:val="20"/>
              </w:rPr>
              <w:t>TIA</w:t>
            </w:r>
          </w:p>
        </w:tc>
        <w:tc>
          <w:tcPr>
            <w:tcW w:type="dxa" w:w="6192"/>
          </w:tcPr>
          <w:p>
            <w:pPr>
              <w:spacing w:before="30" w:after="30" w:line="276" w:lineRule="auto"/>
              <w:jc w:val="left"/>
            </w:pPr>
            <w:r/>
            <w:r>
              <w:rPr>
                <w:rFonts w:ascii="Times New Roman" w:hAnsi="Times New Roman"/>
                <w:sz w:val="20"/>
              </w:rPr>
              <w:t>Transimpedance Amplifier</w:t>
            </w:r>
          </w:p>
        </w:tc>
      </w:tr>
      <w:tr>
        <w:tc>
          <w:tcPr>
            <w:tcW w:type="dxa" w:w="3168"/>
          </w:tcPr>
          <w:p>
            <w:pPr>
              <w:spacing w:before="30" w:after="30" w:line="276" w:lineRule="auto"/>
              <w:jc w:val="left"/>
            </w:pPr>
            <w:r/>
            <w:r>
              <w:rPr>
                <w:rFonts w:ascii="Times New Roman" w:hAnsi="Times New Roman"/>
                <w:sz w:val="20"/>
              </w:rPr>
              <w:t>VLC</w:t>
            </w:r>
          </w:p>
        </w:tc>
        <w:tc>
          <w:tcPr>
            <w:tcW w:type="dxa" w:w="6192"/>
          </w:tcPr>
          <w:p>
            <w:pPr>
              <w:spacing w:before="30" w:after="30" w:line="276" w:lineRule="auto"/>
              <w:jc w:val="left"/>
            </w:pPr>
            <w:r/>
            <w:r>
              <w:rPr>
                <w:rFonts w:ascii="Times New Roman" w:hAnsi="Times New Roman"/>
                <w:sz w:val="20"/>
              </w:rPr>
              <w:t>Visible Light Communication</w:t>
            </w:r>
          </w:p>
        </w:tc>
      </w:tr>
      <w:tr>
        <w:tc>
          <w:tcPr>
            <w:tcW w:type="dxa" w:w="3168"/>
          </w:tcPr>
          <w:p>
            <w:pPr>
              <w:spacing w:before="30" w:after="30" w:line="276" w:lineRule="auto"/>
              <w:jc w:val="left"/>
            </w:pPr>
            <w:r/>
            <w:r>
              <w:rPr>
                <w:rFonts w:ascii="Times New Roman" w:hAnsi="Times New Roman"/>
                <w:sz w:val="20"/>
              </w:rPr>
              <w:t>VPPM</w:t>
            </w:r>
          </w:p>
        </w:tc>
        <w:tc>
          <w:tcPr>
            <w:tcW w:type="dxa" w:w="6192"/>
          </w:tcPr>
          <w:p>
            <w:pPr>
              <w:spacing w:before="30" w:after="30" w:line="276" w:lineRule="auto"/>
              <w:jc w:val="left"/>
            </w:pPr>
            <w:r/>
            <w:r>
              <w:rPr>
                <w:rFonts w:ascii="Times New Roman" w:hAnsi="Times New Roman"/>
                <w:sz w:val="20"/>
              </w:rPr>
              <w:t>Variable Pulse Position Modulation</w:t>
            </w:r>
          </w:p>
        </w:tc>
      </w:tr>
    </w:tbl>
    <w:p>
      <w:pPr>
        <w:sectPr>
          <w:headerReference w:type="default" r:id="rId10"/>
          <w:footerReference w:type="default" r:id="rId11"/>
          <w:pgSz w:w="11909" w:h="16834"/>
          <w:pgMar w:top="1440" w:right="1440" w:bottom="1440" w:left="1440" w:header="720" w:footer="720" w:gutter="0"/>
          <w:cols w:space="720"/>
          <w:docGrid w:linePitch="360"/>
          <w:pgNumType w:fmt="lowerRoman" w:start="1"/>
        </w:sectPr>
      </w:pPr>
    </w:p>
    <w:p>
      <w:pPr>
        <w:jc w:val="left"/>
        <w:spacing w:before="240" w:after="240" w:line="360" w:lineRule="auto"/>
        <w:jc w:val="left"/>
      </w:pPr>
      <w:r>
        <w:rPr>
          <w:rFonts w:ascii="Times New Roman" w:hAnsi="Times New Roman"/>
          <w:b/>
          <w:sz w:val="28"/>
        </w:rPr>
        <w:t>CHAPTER 1</w:t>
        <w:br/>
      </w:r>
      <w:r>
        <w:rPr>
          <w:rFonts w:ascii="Times New Roman" w:hAnsi="Times New Roman"/>
          <w:b/>
          <w:sz w:val="28"/>
        </w:rPr>
        <w:t>INTRODUCTION</w:t>
      </w:r>
    </w:p>
    <w:p>
      <w:pPr>
        <w:jc w:val="left"/>
        <w:spacing w:before="240" w:after="80" w:line="360" w:lineRule="auto"/>
        <w:jc w:val="left"/>
      </w:pPr>
      <w:r>
        <w:rPr>
          <w:rFonts w:ascii="Times New Roman" w:hAnsi="Times New Roman"/>
          <w:b/>
          <w:sz w:val="26"/>
        </w:rPr>
        <w:t>1.1 Background of Visible Light Communication (VLC)</w:t>
      </w:r>
    </w:p>
    <w:p>
      <w:pPr>
        <w:jc w:val="both"/>
        <w:spacing w:before="0" w:after="120" w:line="360" w:lineRule="auto"/>
        <w:jc w:val="both"/>
      </w:pPr>
      <w:r>
        <w:rPr>
          <w:rFonts w:ascii="Times New Roman" w:hAnsi="Times New Roman"/>
          <w:sz w:val="24"/>
        </w:rPr>
        <w:t>Over the past two decades, wireless data traffic has grown at an exponential pace driven by the ubiquitous deployment of high-density mobile computing, industrial Internet of Things (IoT) sensors, cloud computing telemetry, and immersive multimedia streaming. This surge in data consumption has placed unprecedented strain on conventional radio frequency (RF) bands, which span from hundreds of megahertz to approximately six gigahertz. As commercial wireless carriers densify cellular base stations and deploy multi-carrier Wi-Fi access points, the unlicensed RF spectrum suffers from acute electromagnetic saturation, severe co-channel interference, regulatory power caps, and stringent bandwidth constraints. In response to this looming spectrum crunch, researchers and standardization bodies have turned their attention toward optical wireless communication (OWC), specifically Visible Light Communication (VLC).</w:t>
      </w:r>
    </w:p>
    <w:p>
      <w:pPr>
        <w:jc w:val="both"/>
        <w:spacing w:before="0" w:after="120" w:line="360" w:lineRule="auto"/>
        <w:jc w:val="both"/>
      </w:pPr>
      <w:r>
        <w:rPr>
          <w:rFonts w:ascii="Times New Roman" w:hAnsi="Times New Roman"/>
          <w:sz w:val="24"/>
        </w:rPr>
        <w:t>Visible Light Communication utilizes the unregulated, unlicensed electromagnetic spectrum between 380 nm and 780 nm—a spectral expanse comprising approximately 400 terahertz of optical bandwidth, which is more than ten thousand times larger than the entire allocated radio-frequency spectrum. Rather than requiring dedicated high-power radio transmitters, VLC repurposes ubiquitous solid-state Light Emitting Diodes (LEDs) installed throughout modern indoor infrastructure (such as offices, hospitals, aircraft cabins, hazardous industrial facilities, and smart homes) to perform dual functions: high-quality spatial illumination and simultaneous broadband wireless data transmission.</w:t>
      </w:r>
    </w:p>
    <w:p>
      <w:pPr>
        <w:jc w:val="both"/>
        <w:spacing w:before="0" w:after="120" w:line="360" w:lineRule="auto"/>
        <w:jc w:val="both"/>
      </w:pPr>
      <w:r>
        <w:rPr>
          <w:rFonts w:ascii="Times New Roman" w:hAnsi="Times New Roman"/>
          <w:sz w:val="24"/>
        </w:rPr>
        <w:t>Unlike RF signals, optical radiation cannot penetrate opaque solid walls or physical partitions. While this characteristic limits transmission ranges strictly to localized room dimensions, it provides exceptional physical-layer spatial security: wireless data transmission cannot be intercepted or eavesdropped outside the illuminated optical boundary. Furthermore, visible light generates zero electromagnetic interference (EMI), permitting uninterrupted broadband wireless deployment in EMI-sensitive healthcare intensive care units, petrochemical manufacturing plants, nuclear power generation facilities, and commercial aviation cabins where conventional RF emissions are strictly prohibited.</w:t>
      </w:r>
    </w:p>
    <w:p>
      <w:pPr>
        <w:jc w:val="left"/>
        <w:spacing w:before="240" w:after="80" w:line="360" w:lineRule="auto"/>
        <w:jc w:val="left"/>
      </w:pPr>
      <w:r>
        <w:rPr>
          <w:rFonts w:ascii="Times New Roman" w:hAnsi="Times New Roman"/>
          <w:b/>
          <w:sz w:val="26"/>
        </w:rPr>
        <w:t>1.2 The Spectrum Bottleneck and Optical Wireless Solutions</w:t>
      </w:r>
    </w:p>
    <w:p>
      <w:pPr>
        <w:jc w:val="both"/>
        <w:spacing w:before="0" w:after="120" w:line="360" w:lineRule="auto"/>
        <w:jc w:val="both"/>
      </w:pPr>
      <w:r>
        <w:rPr>
          <w:rFonts w:ascii="Times New Roman" w:hAnsi="Times New Roman"/>
          <w:sz w:val="24"/>
        </w:rPr>
        <w:t>The radio spectrum crisis represents a structural bottleneck in wireless network engineering. Traditional remedies have sought to push carrier frequencies into the millimeter-wave (mmWave) and sub-terahertz regimes (28 GHz to 300 GHz). However, mmWave propagation in indoor environments suffers from acute atmospheric attenuation, severe oxygen absorption resonance, high penetration loss through lightweight building materials, and costly radio-frequency transceivers plagued by phase noise and thermal dissipation constraints. VLC sidesteps these physical drawbacks by deploying cost-effective silicon photodiodes and semiconductor LEDs operating entirely in the optical domain.</w:t>
      </w:r>
    </w:p>
    <w:p>
      <w:pPr>
        <w:jc w:val="both"/>
        <w:spacing w:before="0" w:after="120" w:line="360" w:lineRule="auto"/>
        <w:jc w:val="both"/>
      </w:pPr>
      <w:r>
        <w:rPr>
          <w:rFonts w:ascii="Times New Roman" w:hAnsi="Times New Roman"/>
          <w:sz w:val="24"/>
        </w:rPr>
        <w:t>To formalize the indoor optical channel geometry, consider a typical line-of-sight (LOS) link between a ceiling-mounted LED luminaire and a desktop-level photodiode receiver. The direct optical path loss is governed by the generalized Lambertian radiant intensity distribution. The optical line-of-sight channel direct-current (DC) gain, denoted as H_LOS(0), is rigorously expressed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H_{LOS}(0) = \frac{(m+1) A_{det}}{2 \pi d^2} \cos^m(\phi) T_s(\psi) g(\psi) \cos(\psi), \quad 0 \le \psi \le \Psi_c</w:t>
            </w:r>
          </w:p>
        </w:tc>
        <w:tc>
          <w:tcPr>
            <w:tcW w:type="dxa" w:w="1296"/>
          </w:tcPr>
          <w:p>
            <w:pPr>
              <w:jc w:val="right"/>
              <w:spacing w:before="60" w:after="60"/>
            </w:pPr>
            <w:r>
              <w:rPr>
                <w:rFonts w:ascii="Times New Roman" w:hAnsi="Times New Roman"/>
                <w:b/>
                <w:sz w:val="22"/>
              </w:rPr>
              <w:t>... (1.1)</w:t>
            </w:r>
          </w:p>
        </w:tc>
      </w:tr>
    </w:tbl>
    <w:p>
      <w:pPr>
        <w:spacing w:before="0" w:after="80"/>
      </w:pPr>
    </w:p>
    <w:p>
      <w:pPr>
        <w:jc w:val="both"/>
        <w:spacing w:before="0" w:after="120" w:line="360" w:lineRule="auto"/>
        <w:jc w:val="both"/>
      </w:pPr>
      <w:r>
        <w:rPr>
          <w:rFonts w:ascii="Times New Roman" w:hAnsi="Times New Roman"/>
          <w:sz w:val="24"/>
        </w:rPr>
        <w:t>where m represents the Lambertian emission order determined by the semi-angle at half illuminance Phi_{1/2}, A_{det} represents the active physical surface area of the receiving photodetector, d is the direct Euclidean distance separating the optical transmitter and receiver, phi is the angle of irradiance relative to the luminaire normal vector, psi is the angle of incidence relative to the receiver surface normal, T_s(psi) is the transmission characteristic of the optical bandpass filter, g(psi) is the internal refractive optical concentrator gain, and Psi_c is the semi-angle field-of-view (FOV) of the photodetector.</w:t>
      </w:r>
    </w:p>
    <w:p>
      <w:pPr>
        <w:jc w:val="both"/>
        <w:spacing w:before="0" w:after="120" w:line="360" w:lineRule="auto"/>
        <w:jc w:val="both"/>
      </w:pPr>
      <w:r>
        <w:rPr>
          <w:rFonts w:ascii="Times New Roman" w:hAnsi="Times New Roman"/>
          <w:sz w:val="24"/>
        </w:rPr>
        <w:t>Because the received optical power scales inversely with the square of Euclidean distance (d^2) and attenuates sharply as the receiver moves away from the primary luminaire axis (cos^m(phi) cos(psi)), indoor mobile receivers experience severe spatial power gradients. A receiver traversing across an ordinary office room experiences received optical power fluctuations spanning 15 dB to 30 dB over a span of merely two meters, demanding robust transmission protocols.</w:t>
      </w:r>
    </w:p>
    <w:p>
      <w:pPr>
        <w:jc w:val="left"/>
        <w:spacing w:before="240" w:after="80" w:line="360" w:lineRule="auto"/>
        <w:jc w:val="left"/>
      </w:pPr>
      <w:r>
        <w:rPr>
          <w:rFonts w:ascii="Times New Roman" w:hAnsi="Times New Roman"/>
          <w:b/>
          <w:sz w:val="26"/>
        </w:rPr>
        <w:t>1.3 Motivation: Static Coding Inefficiencies in Dynamic VLC</w:t>
      </w:r>
    </w:p>
    <w:p>
      <w:pPr>
        <w:jc w:val="both"/>
        <w:spacing w:before="0" w:after="120" w:line="360" w:lineRule="auto"/>
        <w:jc w:val="both"/>
      </w:pPr>
      <w:r>
        <w:rPr>
          <w:rFonts w:ascii="Times New Roman" w:hAnsi="Times New Roman"/>
          <w:sz w:val="24"/>
        </w:rPr>
        <w:t>In traditional digital communication architectures, reliable data delivery across impaired channels is achieved through Forward Error Correction (FEC). The IEEE 802.15.7 standard for optical wireless communications recommends Reed-Solomon (RS) algebraic block codes implemented over Galois Field GF(2^8). However, standard implementations enforce static, unvarying error correction parameters. For instance, a system might be configured permanently with a high-redundancy code such as RS(255, 191), or permanently with a low-redundancy code such as RS(255, 247).</w:t>
      </w:r>
    </w:p>
    <w:p>
      <w:pPr>
        <w:jc w:val="both"/>
        <w:spacing w:before="0" w:after="120" w:line="360" w:lineRule="auto"/>
        <w:jc w:val="both"/>
      </w:pPr>
      <w:r>
        <w:rPr>
          <w:rFonts w:ascii="Times New Roman" w:hAnsi="Times New Roman"/>
          <w:sz w:val="24"/>
        </w:rPr>
        <w:t>This static design paradigm imposes a severe operational dilemma in dynamic indoor VLC environments: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Excessive Redundancy Overhead: </w:t>
      </w:r>
      <w:r>
        <w:rPr>
          <w:rFonts w:ascii="Times New Roman" w:hAnsi="Times New Roman"/>
          <w:sz w:val="24"/>
        </w:rPr>
        <w:t>Under benign channel conditions (e.g., when the mobile receiver sits directly beneath the luminaire at high SNR), conservative error correction wastes valuable channel bandwidth by transmitting unnecessary parity symbols. This imposes an unrecoverable 25.1% goodput penalty.</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Catastrophic Frame Loss: </w:t>
      </w:r>
      <w:r>
        <w:rPr>
          <w:rFonts w:ascii="Times New Roman" w:hAnsi="Times New Roman"/>
          <w:sz w:val="24"/>
        </w:rPr>
        <w:t>Conversely, under aggressive coding (e.g., RS(255, 247)), if an optical path is temporarily obstructed by a walking occupant, dimmed for energy conservation, or misaligned due to device tilting, channel SNR plummets below the decodability threshold. The uncorrectable symbol errors cause immediate CRC32 checksum failures, catastrophic frame drops, and severe goodput collapse.</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Coupled Physical Impairments: </w:t>
      </w:r>
      <w:r>
        <w:rPr>
          <w:rFonts w:ascii="Times New Roman" w:hAnsi="Times New Roman"/>
          <w:sz w:val="24"/>
        </w:rPr>
        <w:t>Because illumination is the primary function of indoor lighting, luminaire drivers frequently adjust LED drive currents to satisfy user dimming preferences (e.g., dimming down to 20% illuminance). Furthermore, tri-chromatic RGB emitters suffer from temperature-dependent optical crosstalk across red, green, and blue spectral bands. A static channel code cannot cope with these coupled physical-layer variations.</w:t>
      </w:r>
    </w:p>
    <w:p>
      <w:pPr>
        <w:jc w:val="both"/>
        <w:spacing w:before="0" w:after="120" w:line="360" w:lineRule="auto"/>
        <w:jc w:val="both"/>
      </w:pPr>
      <w:r>
        <w:rPr>
          <w:rFonts w:ascii="Times New Roman" w:hAnsi="Times New Roman"/>
          <w:sz w:val="24"/>
        </w:rPr>
        <w:t>These fundamental inefficiencies establish the compelling engineering necessity for Channel-Aware Adaptive Reed-Solomon Error Control: an intelligent, closed-loop mechanism capable of dynamically estimating physical channel quality and tuning code rates in real time.</w:t>
      </w:r>
    </w:p>
    <w:p>
      <w:pPr>
        <w:jc w:val="left"/>
        <w:spacing w:before="240" w:after="80" w:line="360" w:lineRule="auto"/>
        <w:jc w:val="left"/>
      </w:pPr>
      <w:r>
        <w:rPr>
          <w:rFonts w:ascii="Times New Roman" w:hAnsi="Times New Roman"/>
          <w:b/>
          <w:sz w:val="26"/>
        </w:rPr>
        <w:t>1.4 Problem Formulation and Mathematical Framework</w:t>
      </w:r>
    </w:p>
    <w:p>
      <w:pPr>
        <w:jc w:val="both"/>
        <w:spacing w:before="0" w:after="120" w:line="360" w:lineRule="auto"/>
        <w:jc w:val="both"/>
      </w:pPr>
      <w:r>
        <w:rPr>
          <w:rFonts w:ascii="Times New Roman" w:hAnsi="Times New Roman"/>
          <w:sz w:val="24"/>
        </w:rPr>
        <w:t>The fundamental objective of an adaptive error control framework is to maximize the link effective Goodput, denoted as G_{eff}, while strictly enforcing an upper bound on the receiver Frame Error Rate (FER), denoted as FER_{target}. Let N denote the fixed Reed-Solomon block length in bytes (N = 255 for standard GF(2^8) codes), and let K denote the variable payload length in bytes, where K in {191, 207, 223, 239, 247, 255}. The error correction capability t of an RS(N, K) code satisfies t = floor((N - K) / 2) symbol errors per block.</w:t>
      </w:r>
    </w:p>
    <w:p>
      <w:pPr>
        <w:jc w:val="both"/>
        <w:spacing w:before="0" w:after="120" w:line="360" w:lineRule="auto"/>
        <w:jc w:val="both"/>
      </w:pPr>
      <w:r>
        <w:rPr>
          <w:rFonts w:ascii="Times New Roman" w:hAnsi="Times New Roman"/>
          <w:sz w:val="24"/>
        </w:rPr>
        <w:t>Let R_s denote the physical symbol transmission rate in symbols per second, let M denote the modulation constellation cardinality (M = 4 for 4-CSK, corresponding to log_2(4) = 2 bits per optical symbol), and let L_{data} represent the unencoded application payload size in bytes. The effective Goodput of the optical link is rigorously formulated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G_{eff}(K, \text{SNR}) = \frac{L_{data}}{T_{frame}(K)} \cdot \left[ 1 - \text{FER}(K, \text{SNR}) \right] \quad [\text{Bytes/second}]</w:t>
            </w:r>
          </w:p>
        </w:tc>
        <w:tc>
          <w:tcPr>
            <w:tcW w:type="dxa" w:w="1296"/>
          </w:tcPr>
          <w:p>
            <w:pPr>
              <w:jc w:val="right"/>
              <w:spacing w:before="60" w:after="60"/>
            </w:pPr>
            <w:r>
              <w:rPr>
                <w:rFonts w:ascii="Times New Roman" w:hAnsi="Times New Roman"/>
                <w:b/>
                <w:sz w:val="22"/>
              </w:rPr>
              <w:t>... (1.2)</w:t>
            </w:r>
          </w:p>
        </w:tc>
      </w:tr>
    </w:tbl>
    <w:p>
      <w:pPr>
        <w:spacing w:before="0" w:after="80"/>
      </w:pPr>
    </w:p>
    <w:p>
      <w:pPr>
        <w:jc w:val="both"/>
        <w:spacing w:before="0" w:after="120" w:line="360" w:lineRule="auto"/>
        <w:jc w:val="both"/>
      </w:pPr>
      <w:r>
        <w:rPr>
          <w:rFonts w:ascii="Times New Roman" w:hAnsi="Times New Roman"/>
          <w:sz w:val="24"/>
        </w:rPr>
        <w:t>where T_{frame}(K) represents the total transmission duration of the physical frame including preamble, frame header, variable Reed-Solomon parity blocks, and CRC32 tail. The optimization problem is mathematically stated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K^*(t) = \arg\max_{K_i \in \mathcal{S}_{RS}} G_{eff}(K_i, \widehat{\text{SNR}}(t)) \quad \text{subject to} \quad \text{FER}(K_i, \widehat{\text{SNR}}(t)) \le 10^{-3}</w:t>
            </w:r>
          </w:p>
        </w:tc>
        <w:tc>
          <w:tcPr>
            <w:tcW w:type="dxa" w:w="1296"/>
          </w:tcPr>
          <w:p>
            <w:pPr>
              <w:jc w:val="right"/>
              <w:spacing w:before="60" w:after="60"/>
            </w:pPr>
            <w:r>
              <w:rPr>
                <w:rFonts w:ascii="Times New Roman" w:hAnsi="Times New Roman"/>
                <w:b/>
                <w:sz w:val="22"/>
              </w:rPr>
              <w:t>... (1.3)</w:t>
            </w:r>
          </w:p>
        </w:tc>
      </w:tr>
    </w:tbl>
    <w:p>
      <w:pPr>
        <w:spacing w:before="0" w:after="80"/>
      </w:pPr>
    </w:p>
    <w:p>
      <w:pPr>
        <w:jc w:val="both"/>
        <w:spacing w:before="0" w:after="120" w:line="360" w:lineRule="auto"/>
        <w:jc w:val="both"/>
      </w:pPr>
      <w:r>
        <w:rPr>
          <w:rFonts w:ascii="Times New Roman" w:hAnsi="Times New Roman"/>
          <w:sz w:val="24"/>
        </w:rPr>
        <w:t>where S_{RS} = {255, 247, 239, 223, 207, 191} represents the set of discrete permissible Reed-Solomon payload capacities, and hat{SNR}(t) represents the estimated channel quality derived from sliding-window Error Vector Magnitude (EVM) feedback.</w:t>
      </w:r>
    </w:p>
    <w:p>
      <w:pPr>
        <w:spacing w:before="160" w:after="80"/>
        <w:jc w:val="center"/>
      </w:pPr>
      <w:r>
        <w:drawing>
          <wp:inline xmlns:a="http://schemas.openxmlformats.org/drawingml/2006/main" xmlns:pic="http://schemas.openxmlformats.org/drawingml/2006/picture">
            <wp:extent cx="5303520" cy="2024980"/>
            <wp:docPr id="2" name="Picture 2"/>
            <wp:cNvGraphicFramePr>
              <a:graphicFrameLocks noChangeAspect="1"/>
            </wp:cNvGraphicFramePr>
            <a:graphic>
              <a:graphicData uri="http://schemas.openxmlformats.org/drawingml/2006/picture">
                <pic:pic>
                  <pic:nvPicPr>
                    <pic:cNvPr id="0" name="fig_pipeline_architecture.png"/>
                    <pic:cNvPicPr/>
                  </pic:nvPicPr>
                  <pic:blipFill>
                    <a:blip r:embed="rId14"/>
                    <a:stretch>
                      <a:fillRect/>
                    </a:stretch>
                  </pic:blipFill>
                  <pic:spPr>
                    <a:xfrm>
                      <a:off x="0" y="0"/>
                      <a:ext cx="5303520" cy="2024980"/>
                    </a:xfrm>
                    <a:prstGeom prst="rect"/>
                  </pic:spPr>
                </pic:pic>
              </a:graphicData>
            </a:graphic>
          </wp:inline>
        </w:drawing>
      </w:r>
    </w:p>
    <w:p>
      <w:pPr>
        <w:jc w:val="center"/>
        <w:spacing w:before="40" w:after="200"/>
        <w:jc w:val="center"/>
      </w:pPr>
      <w:r>
        <w:rPr>
          <w:rFonts w:ascii="Times New Roman" w:hAnsi="Times New Roman"/>
          <w:b/>
          <w:sz w:val="21"/>
        </w:rPr>
        <w:t>Figure 1.1  End-to-End Channel-Aware Adaptive VLC System Architecture and Dataflow</w:t>
      </w:r>
    </w:p>
    <w:p>
      <w:pPr>
        <w:jc w:val="left"/>
        <w:spacing w:before="240" w:after="80" w:line="360" w:lineRule="auto"/>
        <w:jc w:val="left"/>
      </w:pPr>
      <w:r>
        <w:rPr>
          <w:rFonts w:ascii="Times New Roman" w:hAnsi="Times New Roman"/>
          <w:b/>
          <w:sz w:val="26"/>
        </w:rPr>
        <w:t>1.5 Objectives of the Mini Project</w:t>
      </w:r>
    </w:p>
    <w:p>
      <w:pPr>
        <w:jc w:val="both"/>
        <w:spacing w:before="0" w:after="120" w:line="360" w:lineRule="auto"/>
        <w:jc w:val="both"/>
      </w:pPr>
      <w:r>
        <w:rPr>
          <w:rFonts w:ascii="Times New Roman" w:hAnsi="Times New Roman"/>
          <w:sz w:val="24"/>
        </w:rPr>
        <w:t>To resolve the aforementioned problem within the scope of the Mini Project, the following specific engineering objectives are established:</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Objective 1: End-to-End Protocol Pipeline: </w:t>
      </w:r>
      <w:r>
        <w:rPr>
          <w:rFonts w:ascii="Times New Roman" w:hAnsi="Times New Roman"/>
          <w:sz w:val="24"/>
        </w:rPr>
        <w:t>Design and implement a complete software simulation pipeline covering application data generation, 12-byte framed packetization, CRC32 error detection, variable Reed-Solomon codec over Galois Field GF(2^8), and IEEE 802.15.7 4-CSK modulation.</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Objective 2: Physical Optical Channel Modeling: </w:t>
      </w:r>
      <w:r>
        <w:rPr>
          <w:rFonts w:ascii="Times New Roman" w:hAnsi="Times New Roman"/>
          <w:sz w:val="24"/>
        </w:rPr>
        <w:t>Develop a realistic indoor optical channel simulator incorporating line-of-sight path loss, variable additive Gaussian receiver noise, photodiode optical crosstalk across RGB channels, and variable LED dimming attenuation.</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Objective 3: Receiver Quality Estimation: </w:t>
      </w:r>
      <w:r>
        <w:rPr>
          <w:rFonts w:ascii="Times New Roman" w:hAnsi="Times New Roman"/>
          <w:sz w:val="24"/>
        </w:rPr>
        <w:t>Formulate a fast, sliding-window Channel Quality Estimator at the optical receiver that evaluates Error Vector Magnitude (EVM) from recovered CSK constellation coordinates to derive continuous SNR estimates.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Objective 4: Crossover Boundary Calibration: </w:t>
      </w:r>
      <w:r>
        <w:rPr>
          <w:rFonts w:ascii="Times New Roman" w:hAnsi="Times New Roman"/>
          <w:sz w:val="24"/>
        </w:rPr>
        <w:t>Conduct extensive offline Monte Carlo crossover calibration sweeps to identify exact mathematical SNR switching boundaries where neighboring Reed-Solomon code profiles intersect in effective goodput.</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Objective 5: Explainable Adaptive Controller: </w:t>
      </w:r>
      <w:r>
        <w:rPr>
          <w:rFonts w:ascii="Times New Roman" w:hAnsi="Times New Roman"/>
          <w:sz w:val="24"/>
        </w:rPr>
        <w:t>Engineer an explainable, deterministic, rule-based adaptive controller incorporating dual-threshold hysteresis to eliminate ping-pong oscillations and multi-indicator escalation triggers for burst recovery.</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Objective 6: Workbench &amp; Empirical Validation: </w:t>
      </w:r>
      <w:r>
        <w:rPr>
          <w:rFonts w:ascii="Times New Roman" w:hAnsi="Times New Roman"/>
          <w:sz w:val="24"/>
        </w:rPr>
        <w:t>Construct an interactive research workbench (Streamlit dashboard) and validate the complete architecture through multi-seed statistical benchmarks and comprehensive automated unit test suites.</w:t>
      </w:r>
    </w:p>
    <w:p>
      <w:pPr>
        <w:jc w:val="left"/>
        <w:spacing w:before="240" w:after="80" w:line="360" w:lineRule="auto"/>
        <w:jc w:val="left"/>
      </w:pPr>
      <w:r>
        <w:rPr>
          <w:rFonts w:ascii="Times New Roman" w:hAnsi="Times New Roman"/>
          <w:b/>
          <w:sz w:val="26"/>
        </w:rPr>
        <w:t>1.6 Scope and Delimitations of the Work</w:t>
      </w:r>
    </w:p>
    <w:p>
      <w:pPr>
        <w:jc w:val="both"/>
        <w:spacing w:before="0" w:after="120" w:line="360" w:lineRule="auto"/>
        <w:jc w:val="both"/>
      </w:pPr>
      <w:r>
        <w:rPr>
          <w:rFonts w:ascii="Times New Roman" w:hAnsi="Times New Roman"/>
          <w:sz w:val="24"/>
        </w:rPr>
        <w:t>It is crucial to define the formal boundaries and scope of this Mini Project:</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Rule-Based Scope (No AI/ML in Core): </w:t>
      </w:r>
      <w:r>
        <w:rPr>
          <w:rFonts w:ascii="Times New Roman" w:hAnsi="Times New Roman"/>
          <w:sz w:val="24"/>
        </w:rPr>
        <w:t>This Mini Project deliberately restricts its focus to a fully explainable, deterministic, rule-based adaptive controller. Complex machine learning or Deep Reinforcement Learning (DRL) algorithms are strictly reserved for the upcoming Major Project phase. The mini project provides the foundational, verified simulation engine.</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Modulation Boundary: </w:t>
      </w:r>
      <w:r>
        <w:rPr>
          <w:rFonts w:ascii="Times New Roman" w:hAnsi="Times New Roman"/>
          <w:sz w:val="24"/>
        </w:rPr>
        <w:t>Modulation is anchored strictly to IEEE 802.15.7 Color Shift Keying with cardinality M=4 (4-CSK) over tri-chromatic red, green, and blue LEDs. Higher-order constellations (8-CSK, 16-CSK) and single-color OOK/VPPM are delimited.</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Channel Assumptions: </w:t>
      </w:r>
      <w:r>
        <w:rPr>
          <w:rFonts w:ascii="Times New Roman" w:hAnsi="Times New Roman"/>
          <w:sz w:val="24"/>
        </w:rPr>
        <w:t>The physical optical channel assumes a direct Line-of-Sight (LOS) link with additive white Gaussian noise (thermal noise plus ambient optical shot noise) and memoryless inter-channel crosstalk. Multi-path diffuse non-line-of-sight reflections with temporal dispersion are omitted due to typical indoor symbol rates remaining below the channel delay spread.</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Software Implementation: </w:t>
      </w:r>
      <w:r>
        <w:rPr>
          <w:rFonts w:ascii="Times New Roman" w:hAnsi="Times New Roman"/>
          <w:sz w:val="24"/>
        </w:rPr>
        <w:t>All experiments are conducted via high-fidelity, bit-level and symbol-level Python simulation, backed by mathematical models validated in IEEE OWC literature.</w:t>
      </w:r>
    </w:p>
    <w:p>
      <w:pPr>
        <w:jc w:val="left"/>
        <w:spacing w:before="160" w:after="60"/>
      </w:pPr>
      <w:r>
        <w:rPr>
          <w:rFonts w:ascii="Times New Roman" w:hAnsi="Times New Roman"/>
          <w:b/>
          <w:sz w:val="22"/>
        </w:rPr>
        <w:t>Table 1.1  Project Work Packages, Methodological Premises, and Engineering Targets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2257"/>
        <w:gridCol w:w="2257"/>
        <w:gridCol w:w="2257"/>
        <w:gridCol w:w="2257"/>
      </w:tblGrid>
      <w:tr>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Work Package</w:t>
            </w:r>
          </w:p>
        </w:tc>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Technical Focus</w:t>
            </w:r>
          </w:p>
        </w:tc>
        <w:tc>
          <w:tcPr>
            <w:tcW w:type="dxa" w:w="331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Core Mechanism</w:t>
            </w:r>
          </w:p>
        </w:tc>
        <w:tc>
          <w:tcPr>
            <w:tcW w:type="dxa" w:w="216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Empirical Deliverable</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WP1: Central Config</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System Parameters</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Static &amp; dynamic constant definitions in config.py</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Validated parameter dictionary</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WP2: Framing &amp; Codec</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Data Link Layer</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CRC32 packing &amp; dynamic RS(255,K) GF(2^8) codec</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100% bit-accurate decode test suite</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WP3: Optical PHY</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Physical Layer</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IEEE 802.15.7 4-CSK mapper &amp; noisy optical channel</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3D constellation scatter &amp; AGC validation</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WP4: Calibration</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Crossover Analysis</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4000-frame Monte Carlo sweep across SNR 0-25 dB</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Calibrated switching threshold JSON</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WP5: Controller</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Adaptation Logic</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Sliding-window EVM, 0.8 dB hysteresis, escalation</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Deterministic profile decision engine</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WP6: Benchmarking</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Empirical Validation</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Multi-seed comparative simulation &amp; Streamlit UI</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Statistical summary CSV &amp; 9 PNG figures</w:t>
            </w:r>
          </w:p>
        </w:tc>
      </w:tr>
    </w:tbl>
    <w:p>
      <w:pPr>
        <w:spacing w:before="0" w:after="120"/>
      </w:pPr>
    </w:p>
    <w:p>
      <w:pPr>
        <w:jc w:val="left"/>
        <w:spacing w:before="240" w:after="80" w:line="360" w:lineRule="auto"/>
        <w:jc w:val="left"/>
      </w:pPr>
      <w:r>
        <w:rPr>
          <w:rFonts w:ascii="Times New Roman" w:hAnsi="Times New Roman"/>
          <w:b/>
          <w:sz w:val="26"/>
        </w:rPr>
        <w:t>1.7 Organization of the Project Report</w:t>
      </w:r>
    </w:p>
    <w:p>
      <w:pPr>
        <w:jc w:val="both"/>
        <w:spacing w:before="0" w:after="120" w:line="360" w:lineRule="auto"/>
        <w:jc w:val="both"/>
      </w:pPr>
      <w:r>
        <w:rPr>
          <w:rFonts w:ascii="Times New Roman" w:hAnsi="Times New Roman"/>
          <w:sz w:val="24"/>
        </w:rPr>
        <w:t>The remainder of this Mini Project Report is organized into seven subsequent chapters: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Chapter 2 (Literature Review): </w:t>
      </w:r>
      <w:r>
        <w:rPr>
          <w:rFonts w:ascii="Times New Roman" w:hAnsi="Times New Roman"/>
          <w:sz w:val="24"/>
        </w:rPr>
        <w:t>Reviews the historical evolution of optical wireless networking, IEEE 802.15.7 standards, Galois Field arithmetic, Reed-Solomon decoding theory, and channel estimation literature.</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Chapter 3 (Optical Channel &amp; 4-CSK): </w:t>
      </w:r>
      <w:r>
        <w:rPr>
          <w:rFonts w:ascii="Times New Roman" w:hAnsi="Times New Roman"/>
          <w:sz w:val="24"/>
        </w:rPr>
        <w:t>Formulates the indoor Lambertian optical channel physics, photodiode electrical properties, IEEE 802.15.7 4-CSK constellation mapping, optical crosstalk leakage, and dimming invariance.</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Chapter 4 (Framing &amp; RS Codec): </w:t>
      </w:r>
      <w:r>
        <w:rPr>
          <w:rFonts w:ascii="Times New Roman" w:hAnsi="Times New Roman"/>
          <w:sz w:val="24"/>
        </w:rPr>
        <w:t>Details the 12-byte framed packet structure, CRC32 generation, payload chunking, and the dynamic Reed-Solomon encoder/decoder implementation over GF(2^8).</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Chapter 5 (Adaptive Controller): </w:t>
      </w:r>
      <w:r>
        <w:rPr>
          <w:rFonts w:ascii="Times New Roman" w:hAnsi="Times New Roman"/>
          <w:sz w:val="24"/>
        </w:rPr>
        <w:t>Presents the architectural mechanics of the explainable adaptive controller, including sliding-window EVM-SNR estimation, crossover calibration, and dual-threshold hysteresis.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Chapter 6 (Simulation Engine): </w:t>
      </w:r>
      <w:r>
        <w:rPr>
          <w:rFonts w:ascii="Times New Roman" w:hAnsi="Times New Roman"/>
          <w:sz w:val="24"/>
        </w:rPr>
        <w:t>Details the object-oriented software architecture, the interactive research workbench (Streamlit), and the automated Pytest unit test harness.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Chapter 7 (Experimental Results): </w:t>
      </w:r>
      <w:r>
        <w:rPr>
          <w:rFonts w:ascii="Times New Roman" w:hAnsi="Times New Roman"/>
          <w:sz w:val="24"/>
        </w:rPr>
        <w:t>Presents extensive experimental evaluations, including BER waterfall curves, goodput envelopes, dynamic time-series tracking, multi-seed statistical benchmarks, and sensitivity curves.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Chapter 8 (Conclusion &amp; Future Scope): </w:t>
      </w:r>
      <w:r>
        <w:rPr>
          <w:rFonts w:ascii="Times New Roman" w:hAnsi="Times New Roman"/>
          <w:sz w:val="24"/>
        </w:rPr>
        <w:t>Discusses engineering challenges, analyzes heuristic limitations, and formally specifies the Gymnasium-compliant RL interface for the Major Project continuation.</w:t>
      </w:r>
    </w:p>
    <w:p>
      <w:r>
        <w:br w:type="page"/>
      </w:r>
    </w:p>
    <w:p>
      <w:pPr>
        <w:jc w:val="left"/>
        <w:spacing w:before="240" w:after="240" w:line="360" w:lineRule="auto"/>
        <w:jc w:val="left"/>
      </w:pPr>
      <w:r>
        <w:rPr>
          <w:rFonts w:ascii="Times New Roman" w:hAnsi="Times New Roman"/>
          <w:b/>
          <w:sz w:val="28"/>
        </w:rPr>
        <w:t>CHAPTER 2</w:t>
        <w:br/>
      </w:r>
      <w:r>
        <w:rPr>
          <w:rFonts w:ascii="Times New Roman" w:hAnsi="Times New Roman"/>
          <w:b/>
          <w:sz w:val="28"/>
        </w:rPr>
        <w:t>LITERATURE REVIEW AND THEORETICAL FOUNDATIONS</w:t>
      </w:r>
    </w:p>
    <w:p>
      <w:pPr>
        <w:jc w:val="left"/>
        <w:spacing w:before="240" w:after="80" w:line="360" w:lineRule="auto"/>
        <w:jc w:val="left"/>
      </w:pPr>
      <w:r>
        <w:rPr>
          <w:rFonts w:ascii="Times New Roman" w:hAnsi="Times New Roman"/>
          <w:b/>
          <w:sz w:val="26"/>
        </w:rPr>
        <w:t>2.1 Evolution of Optical Wireless and Li-Fi Technologies</w:t>
      </w:r>
    </w:p>
    <w:p>
      <w:pPr>
        <w:jc w:val="both"/>
        <w:spacing w:before="0" w:after="120" w:line="360" w:lineRule="auto"/>
        <w:jc w:val="both"/>
      </w:pPr>
      <w:r>
        <w:rPr>
          <w:rFonts w:ascii="Times New Roman" w:hAnsi="Times New Roman"/>
          <w:sz w:val="24"/>
        </w:rPr>
        <w:t>Optical wireless communication traces its conceptual origins to Alexander Graham Bell's 1880 Photophone, which modulated sunlight reflected from a vibrating mirror to transmit human voice over atmospheric air. However, modern solid-state optical wireless communication emerged in the late 1990s and early 2000s following the invention of high-brightness gallium nitride (GaN) blue Light Emitting Diodes by Shuji Nakamura, which catalyzed the global transition from incandescent and fluorescent lighting to energy-efficient solid-state LED illumination.</w:t>
      </w:r>
    </w:p>
    <w:p>
      <w:pPr>
        <w:jc w:val="both"/>
        <w:spacing w:before="0" w:after="120" w:line="360" w:lineRule="auto"/>
        <w:jc w:val="both"/>
      </w:pPr>
      <w:r>
        <w:rPr>
          <w:rFonts w:ascii="Times New Roman" w:hAnsi="Times New Roman"/>
          <w:sz w:val="24"/>
        </w:rPr>
        <w:t>In 2004, Tanaka, Komine, and Nakagawa at Keio University published seminal foundational papers establishing the feasibility of using domestic white LEDs for simultaneous room lighting and high-speed data communications. They formulated the fundamental optical path loss equations, multi-path reflection models, and signal-to-noise ratio distributions across typical indoor environments. In 2011, Professor Harald Haas coined the term 'Li-Fi' (Light Fidelity) during an internationally acclaimed TED demonstration, highlighting optical wireless networking as an essential 5G/6G complementary technology capable of transforming every overhead light bulb into an ultra-broadband wireless access point.</w:t>
      </w:r>
    </w:p>
    <w:p>
      <w:pPr>
        <w:jc w:val="both"/>
        <w:spacing w:before="0" w:after="120" w:line="360" w:lineRule="auto"/>
        <w:jc w:val="both"/>
      </w:pPr>
      <w:r>
        <w:rPr>
          <w:rFonts w:ascii="Times New Roman" w:hAnsi="Times New Roman"/>
          <w:sz w:val="24"/>
        </w:rPr>
        <w:t>In recent years, VLC has expanded across diverse operational domains: intelligent transportation systems (vehicle-to-vehicle optical links using LED headlights), underwater wireless telemetry where radio waves suffer severe conductive attenuation, and hospital environments where RF transmission risks disrupting sensitive patient telemetry.</w:t>
      </w:r>
    </w:p>
    <w:p>
      <w:pPr>
        <w:jc w:val="left"/>
        <w:spacing w:before="240" w:after="80" w:line="360" w:lineRule="auto"/>
        <w:jc w:val="left"/>
      </w:pPr>
      <w:r>
        <w:rPr>
          <w:rFonts w:ascii="Times New Roman" w:hAnsi="Times New Roman"/>
          <w:b/>
          <w:sz w:val="26"/>
        </w:rPr>
        <w:t>2.2 IEEE 802.15.7 Physical Layer Standards and Modulation Schemes</w:t>
      </w:r>
    </w:p>
    <w:p>
      <w:pPr>
        <w:jc w:val="both"/>
        <w:spacing w:before="0" w:after="120" w:line="360" w:lineRule="auto"/>
        <w:jc w:val="both"/>
      </w:pPr>
      <w:r>
        <w:rPr>
          <w:rFonts w:ascii="Times New Roman" w:hAnsi="Times New Roman"/>
          <w:sz w:val="24"/>
        </w:rPr>
        <w:t>To unify disparate industrial and academic optical wireless developments, the IEEE 802.15 working group established the IEEE 802.15.7-2011 standard for Short-Range Optical Wireless Communications Using Visible Light. The standard classifies optical physical layers into three distinct operational profiles: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PHY I: </w:t>
      </w:r>
      <w:r>
        <w:rPr>
          <w:rFonts w:ascii="Times New Roman" w:hAnsi="Times New Roman"/>
          <w:sz w:val="24"/>
        </w:rPr>
        <w:t>Intended for low-data-rate outdoor applications (11.67 kbps to 266.6 kbps) utilizing On-Off Keying (OOK) and Variable Pulse Position Modulation (VPPM) with mandatory convolutional coding.</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PHY II: </w:t>
      </w:r>
      <w:r>
        <w:rPr>
          <w:rFonts w:ascii="Times New Roman" w:hAnsi="Times New Roman"/>
          <w:sz w:val="24"/>
        </w:rPr>
        <w:t>Designed for moderate indoor data rates (1.25 Mbps to 96 Mbps) utilizing OOK or VPPM with run-length limited (RLL) line codes and Reed-Solomon Forward Error Correction.</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PHY III: </w:t>
      </w:r>
      <w:r>
        <w:rPr>
          <w:rFonts w:ascii="Times New Roman" w:hAnsi="Times New Roman"/>
          <w:sz w:val="24"/>
        </w:rPr>
        <w:t>Engineered specifically for multi-color optical sources (such as tri-chromatic RGB LED arrays) utilizing Color Shift Keying (CSK). PHY III achieves high spectral efficiency (12 Mbps to 96 Mbps) by modulating information into the instantaneous color chromaticity of the transmitted light while maintaining strictly constant overall luminous intensity.</w:t>
      </w:r>
    </w:p>
    <w:p>
      <w:pPr>
        <w:jc w:val="both"/>
        <w:spacing w:before="0" w:after="120" w:line="360" w:lineRule="auto"/>
        <w:jc w:val="both"/>
      </w:pPr>
      <w:r>
        <w:rPr>
          <w:rFonts w:ascii="Times New Roman" w:hAnsi="Times New Roman"/>
          <w:sz w:val="24"/>
        </w:rPr>
        <w:t>Table 2.1 presents a comparative taxonomy of modulation techniques formalized under IEEE 802.15.7, highlighting the distinct advantages of Color Shift Keying in maintaining human-perceptible illumination stability.</w:t>
      </w:r>
    </w:p>
    <w:p>
      <w:pPr>
        <w:jc w:val="left"/>
        <w:spacing w:before="160" w:after="60"/>
      </w:pPr>
      <w:r>
        <w:rPr>
          <w:rFonts w:ascii="Times New Roman" w:hAnsi="Times New Roman"/>
          <w:b/>
          <w:sz w:val="22"/>
        </w:rPr>
        <w:t>Table 2.1  Comparative Taxonomy of Optical Modulation Techniques in IEEE 802.15.7</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1806"/>
        <w:gridCol w:w="1806"/>
        <w:gridCol w:w="1806"/>
        <w:gridCol w:w="1806"/>
        <w:gridCol w:w="1806"/>
      </w:tblGrid>
      <w:tr>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Modulation Scheme</w:t>
            </w:r>
          </w:p>
        </w:tc>
        <w:tc>
          <w:tcPr>
            <w:tcW w:type="dxa" w:w="216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Optical Mechanism</w:t>
            </w:r>
          </w:p>
        </w:tc>
        <w:tc>
          <w:tcPr>
            <w:tcW w:type="dxa" w:w="1728"/>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Bandwidth Efficiency</w:t>
            </w:r>
          </w:p>
        </w:tc>
        <w:tc>
          <w:tcPr>
            <w:tcW w:type="dxa" w:w="187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Flicker Mitigation</w:t>
            </w:r>
          </w:p>
        </w:tc>
        <w:tc>
          <w:tcPr>
            <w:tcW w:type="dxa" w:w="1728"/>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Primary Implementation Domain</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On-Off Keying (OOK)</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Direct LED intensity pulsing</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1.0 bps/Hz</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Requires Manchester / 8B10B line coding</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Outdoor / Low-cost links</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Variable PPM (VPPM)</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Pulse position with pulse width duty cycle</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0.5 - 1.0 bps/Hz</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Inherently integrated into pulse duty cycle</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Dimming-centric applications</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Color Shift Keying (CSK)</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Instantaneous RGB color coordinates</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2.0 - 4.0 bps/Hz</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Absolute constant optical power invariant</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High-speed multi-color indoor Li-Fi</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Optical OFDM (DCO/ACO)</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Multi-carrier subcarrier intensity</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3.0 - 6.0 bps/Hz</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Complex analog clipping required</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Advanced multi-user indoor research</w:t>
            </w:r>
          </w:p>
        </w:tc>
      </w:tr>
    </w:tbl>
    <w:p>
      <w:pPr>
        <w:spacing w:before="0" w:after="120"/>
      </w:pPr>
    </w:p>
    <w:p>
      <w:pPr>
        <w:jc w:val="left"/>
        <w:spacing w:before="240" w:after="80" w:line="360" w:lineRule="auto"/>
        <w:jc w:val="left"/>
      </w:pPr>
      <w:r>
        <w:rPr>
          <w:rFonts w:ascii="Times New Roman" w:hAnsi="Times New Roman"/>
          <w:b/>
          <w:sz w:val="26"/>
        </w:rPr>
        <w:t>2.3 Error Control Coding Fundamentals</w:t>
      </w:r>
    </w:p>
    <w:p>
      <w:pPr>
        <w:jc w:val="both"/>
        <w:spacing w:before="0" w:after="120" w:line="360" w:lineRule="auto"/>
        <w:jc w:val="both"/>
      </w:pPr>
      <w:r>
        <w:rPr>
          <w:rFonts w:ascii="Times New Roman" w:hAnsi="Times New Roman"/>
          <w:sz w:val="24"/>
        </w:rPr>
        <w:t>In optical wireless links, signal propagation is non-coherent: detectors measure instantaneous optical irradiance rather than optical field phase. Consequently, optical channels are vulnerable to intensity variations, ambient solar and fluorescent shot noise, and optical path occlusions. Forward Error Correction (FEC) is the fundamental line of defense ensuring that transmitted frames can be accurately decoded at the receiver without requiring excessive retransmission requests.</w:t>
      </w:r>
    </w:p>
    <w:p>
      <w:pPr>
        <w:jc w:val="left"/>
        <w:spacing w:before="160" w:after="60" w:line="360" w:lineRule="auto"/>
        <w:jc w:val="left"/>
      </w:pPr>
      <w:r>
        <w:rPr>
          <w:rFonts w:ascii="Times New Roman" w:hAnsi="Times New Roman"/>
          <w:b/>
          <w:sz w:val="24"/>
        </w:rPr>
        <w:t>2.3.1 Galois Field GF(2^8) Arithmetic</w:t>
      </w:r>
    </w:p>
    <w:p>
      <w:pPr>
        <w:jc w:val="both"/>
        <w:spacing w:before="0" w:after="120" w:line="360" w:lineRule="auto"/>
        <w:jc w:val="both"/>
      </w:pPr>
      <w:r>
        <w:rPr>
          <w:rFonts w:ascii="Times New Roman" w:hAnsi="Times New Roman"/>
          <w:sz w:val="24"/>
        </w:rPr>
        <w:t>Reed-Solomon codes operate over finite fields, universally denoted as Galois Fields GF(q). In byte-oriented communication systems, the field order is selected as q = 2^b = 2^8 = 256. Every element in GF(2^8) is uniquely represented either as an 8-bit binary vector (b_7, b_6, ..., b_0) or as a degree-7 polynomial over the binary field GF(2):</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a(x) = a_7 x^7 + a_6 x^6 + a_5 x^5 + a_4 x^4 + a_3 x^3 + a_2 x^2 + a_1 x + a_0, \quad a_i \in \{0, 1\}</w:t>
            </w:r>
          </w:p>
        </w:tc>
        <w:tc>
          <w:tcPr>
            <w:tcW w:type="dxa" w:w="1296"/>
          </w:tcPr>
          <w:p>
            <w:pPr>
              <w:jc w:val="right"/>
              <w:spacing w:before="60" w:after="60"/>
            </w:pPr>
            <w:r>
              <w:rPr>
                <w:rFonts w:ascii="Times New Roman" w:hAnsi="Times New Roman"/>
                <w:b/>
                <w:sz w:val="22"/>
              </w:rPr>
              <w:t>... (2.1)</w:t>
            </w:r>
          </w:p>
        </w:tc>
      </w:tr>
    </w:tbl>
    <w:p>
      <w:pPr>
        <w:spacing w:before="0" w:after="80"/>
      </w:pPr>
    </w:p>
    <w:p>
      <w:pPr>
        <w:jc w:val="both"/>
        <w:spacing w:before="0" w:after="120" w:line="360" w:lineRule="auto"/>
        <w:jc w:val="both"/>
      </w:pPr>
      <w:r>
        <w:rPr>
          <w:rFonts w:ascii="Times New Roman" w:hAnsi="Times New Roman"/>
          <w:sz w:val="24"/>
        </w:rPr>
        <w:t>Field addition and subtraction in GF(2^8) are mathematically identical and correspond to bitwise exclusive-OR (XOR) operations. However, field multiplication requires polynomial multiplication followed by polynomial division modulo an irreducible, primitive field generator polynomial p(x). In accordance with standard IEEE communication specifications, the primitive polynomial is chosen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p(x) = x^8 + x^4 + x^3 + x^2 + 1 \quad (\text{Binary: } 100011101_2 = 0\text{x}11D)</w:t>
            </w:r>
          </w:p>
        </w:tc>
        <w:tc>
          <w:tcPr>
            <w:tcW w:type="dxa" w:w="1296"/>
          </w:tcPr>
          <w:p>
            <w:pPr>
              <w:jc w:val="right"/>
              <w:spacing w:before="60" w:after="60"/>
            </w:pPr>
            <w:r>
              <w:rPr>
                <w:rFonts w:ascii="Times New Roman" w:hAnsi="Times New Roman"/>
                <w:b/>
                <w:sz w:val="22"/>
              </w:rPr>
              <w:t>... (2.2)</w:t>
            </w:r>
          </w:p>
        </w:tc>
      </w:tr>
    </w:tbl>
    <w:p>
      <w:pPr>
        <w:spacing w:before="0" w:after="80"/>
      </w:pPr>
    </w:p>
    <w:p>
      <w:pPr>
        <w:jc w:val="left"/>
        <w:spacing w:before="160" w:after="60"/>
      </w:pPr>
      <w:r>
        <w:rPr>
          <w:rFonts w:ascii="Times New Roman" w:hAnsi="Times New Roman"/>
          <w:b/>
          <w:sz w:val="22"/>
        </w:rPr>
        <w:t>Table 2.2  Galois Field GF(2^8) Primitive Polynomial and Characteristic Properties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2257"/>
        <w:gridCol w:w="2257"/>
        <w:gridCol w:w="2257"/>
        <w:gridCol w:w="2257"/>
      </w:tblGrid>
      <w:tr>
        <w:tc>
          <w:tcPr>
            <w:tcW w:type="dxa" w:w="216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Galois Field Property</w:t>
            </w:r>
          </w:p>
        </w:tc>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Mathematical Value</w:t>
            </w:r>
          </w:p>
        </w:tc>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Binary / Hex Representation</w:t>
            </w:r>
          </w:p>
        </w:tc>
        <w:tc>
          <w:tcPr>
            <w:tcW w:type="dxa" w:w="331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Engineering Role in Codec</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Field Characteristic</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p = 2</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Modulo 2 arithmetic</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Ensures addition equals bitwise XOR</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Field Order (Cardinality)</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q = 2^8 = 256</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Byte-sized symbols (0 to 255)</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Direct mapping to standard byte memory</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Primitive Polynomial p(x)</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x^8 + x^4 + x^3 + x^2 + 1</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0x11D (285 decimal)</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Defines non-zero cyclic group multiplication</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Primitive Element alpha</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Root of p(x) (x = 2)</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0x02</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Generates all 255 non-zero field elements</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Multiplication Mechanics</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alpha^i . alpha^j = alpha^{(i+j) mod 255}</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Log / Anti-Log LUTs</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Accelerates hardware/software multiplication</w:t>
            </w:r>
          </w:p>
        </w:tc>
      </w:tr>
    </w:tbl>
    <w:p>
      <w:pPr>
        <w:spacing w:before="0" w:after="120"/>
      </w:pPr>
    </w:p>
    <w:p>
      <w:pPr>
        <w:jc w:val="left"/>
        <w:spacing w:before="160" w:after="60" w:line="360" w:lineRule="auto"/>
        <w:jc w:val="left"/>
      </w:pPr>
      <w:r>
        <w:rPr>
          <w:rFonts w:ascii="Times New Roman" w:hAnsi="Times New Roman"/>
          <w:b/>
          <w:sz w:val="24"/>
        </w:rPr>
        <w:t>2.3.2 Reed-Solomon Algebraic Structure and Generator Polynomials</w:t>
      </w:r>
    </w:p>
    <w:p>
      <w:pPr>
        <w:jc w:val="both"/>
        <w:spacing w:before="0" w:after="120" w:line="360" w:lineRule="auto"/>
        <w:jc w:val="both"/>
      </w:pPr>
      <w:r>
        <w:rPr>
          <w:rFonts w:ascii="Times New Roman" w:hAnsi="Times New Roman"/>
          <w:sz w:val="24"/>
        </w:rPr>
        <w:t>A Reed-Solomon code, designated as RS(N, K), takes an input message vector consisting of K information symbols in GF(2^8) and appends 2t parity symbols to construct a codeword of length N = 255 symbols. The error correction capability t is strictly bounded by the Singleton bound, establishing RS codes as Maximum Distance Separable (MDS) codes: d_{min} = N - K + 1 = 2t + 1. The code can correct up to t arbitrary symbol errors occurring anywhere within the 255-byte block.</w:t>
      </w:r>
    </w:p>
    <w:p>
      <w:pPr>
        <w:jc w:val="both"/>
        <w:spacing w:before="0" w:after="120" w:line="360" w:lineRule="auto"/>
        <w:jc w:val="both"/>
      </w:pPr>
      <w:r>
        <w:rPr>
          <w:rFonts w:ascii="Times New Roman" w:hAnsi="Times New Roman"/>
          <w:sz w:val="24"/>
        </w:rPr>
        <w:t>The encoding process is defined by the generator polynomial g(x), whose roots are consecutive powers of the primitive element alpha in GF(2^8):</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g(x) = \prod_{j=0}^{2t-1} (x - \alpha^j) = (x - 1)(x - \alpha)(x - \alpha^2) \cdots (x - \alpha^{2t-1})</w:t>
            </w:r>
          </w:p>
        </w:tc>
        <w:tc>
          <w:tcPr>
            <w:tcW w:type="dxa" w:w="1296"/>
          </w:tcPr>
          <w:p>
            <w:pPr>
              <w:jc w:val="right"/>
              <w:spacing w:before="60" w:after="60"/>
            </w:pPr>
            <w:r>
              <w:rPr>
                <w:rFonts w:ascii="Times New Roman" w:hAnsi="Times New Roman"/>
                <w:b/>
                <w:sz w:val="22"/>
              </w:rPr>
              <w:t>... (2.3)</w:t>
            </w:r>
          </w:p>
        </w:tc>
      </w:tr>
    </w:tbl>
    <w:p>
      <w:pPr>
        <w:spacing w:before="0" w:after="80"/>
      </w:pPr>
    </w:p>
    <w:p>
      <w:pPr>
        <w:jc w:val="both"/>
        <w:spacing w:before="0" w:after="120" w:line="360" w:lineRule="auto"/>
        <w:jc w:val="both"/>
      </w:pPr>
      <w:r>
        <w:rPr>
          <w:rFonts w:ascii="Times New Roman" w:hAnsi="Times New Roman"/>
          <w:sz w:val="24"/>
        </w:rPr>
        <w:t>In systematic encoding, the message polynomial m(x) is shifted by multiplying by x^{2t}, and divided by g(x). The remainder polynomial b(x) = (m(x) x^{2t}) mod g(x) forms the parity block:</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c(x) = m(x) x^{2t} + b(x) = m(x) x^{2t} + \left[ m(x) x^{2t} \pmod{g(x)} \right]</w:t>
            </w:r>
          </w:p>
        </w:tc>
        <w:tc>
          <w:tcPr>
            <w:tcW w:type="dxa" w:w="1296"/>
          </w:tcPr>
          <w:p>
            <w:pPr>
              <w:jc w:val="right"/>
              <w:spacing w:before="60" w:after="60"/>
            </w:pPr>
            <w:r>
              <w:rPr>
                <w:rFonts w:ascii="Times New Roman" w:hAnsi="Times New Roman"/>
                <w:b/>
                <w:sz w:val="22"/>
              </w:rPr>
              <w:t>... (2.4)</w:t>
            </w:r>
          </w:p>
        </w:tc>
      </w:tr>
    </w:tbl>
    <w:p>
      <w:pPr>
        <w:spacing w:before="0" w:after="80"/>
      </w:pPr>
    </w:p>
    <w:p>
      <w:pPr>
        <w:jc w:val="left"/>
        <w:spacing w:before="160" w:after="60" w:line="360" w:lineRule="auto"/>
        <w:jc w:val="left"/>
      </w:pPr>
      <w:r>
        <w:rPr>
          <w:rFonts w:ascii="Times New Roman" w:hAnsi="Times New Roman"/>
          <w:b/>
          <w:sz w:val="24"/>
        </w:rPr>
        <w:t>2.3.3 Syndrome Computation and Berlekamp-Massey Decoding</w:t>
      </w:r>
    </w:p>
    <w:p>
      <w:pPr>
        <w:jc w:val="both"/>
        <w:spacing w:before="0" w:after="120" w:line="360" w:lineRule="auto"/>
        <w:jc w:val="both"/>
      </w:pPr>
      <w:r>
        <w:rPr>
          <w:rFonts w:ascii="Times New Roman" w:hAnsi="Times New Roman"/>
          <w:sz w:val="24"/>
        </w:rPr>
        <w:t>When the transmitted codeword c(x) traverses the impaired optical channel, it is corrupted by an error polynomial e(x), resulting in the received polynomial r(x) = c(x) + e(x). At the optical receiver, the Reed-Solomon decoder executes a four-stage algebraic decoding algorithm:</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1. Syndrome Evaluation: </w:t>
      </w:r>
      <w:r>
        <w:rPr>
          <w:rFonts w:ascii="Times New Roman" w:hAnsi="Times New Roman"/>
          <w:sz w:val="24"/>
        </w:rPr>
        <w:t>The decoder computes 2t syndrome values by evaluating r(x) at the 2t roots of g(x): S_i = r(alpha^i) = e(alpha^i) for i in {0, 1, ..., 2t-1}. If all syndromes are zero, the received block contains zero errors and passes immediately.</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2. Error Locator Synthesis: </w:t>
      </w:r>
      <w:r>
        <w:rPr>
          <w:rFonts w:ascii="Times New Roman" w:hAnsi="Times New Roman"/>
          <w:sz w:val="24"/>
        </w:rPr>
        <w:t>If non-zero syndromes exist, the decoder determines the error locator polynomial Lambda(x) = prod_{l=1}^v (1 - X_l x) using the Berlekamp-Massey iterative shift-register synthesis algorithm.</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3. Chien Search: </w:t>
      </w:r>
      <w:r>
        <w:rPr>
          <w:rFonts w:ascii="Times New Roman" w:hAnsi="Times New Roman"/>
          <w:sz w:val="24"/>
        </w:rPr>
        <w:t>The Chien search algorithm evaluates Lambda(x) across all elements alpha^{-j} for j in {0, 1, ..., N-1}. A zero evaluation Lambda(alpha^{-j}) = 0 identifies an error at symbol index j.</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4. Forney Algorithm: </w:t>
      </w:r>
      <w:r>
        <w:rPr>
          <w:rFonts w:ascii="Times New Roman" w:hAnsi="Times New Roman"/>
          <w:sz w:val="24"/>
        </w:rPr>
        <w:t>Forney's algebraic formula evaluates the error evaluator polynomial Omega(x) to compute the exact error magnitude Y_l at each identified error location, correcting the corrupted symbols.</w:t>
      </w:r>
    </w:p>
    <w:p>
      <w:pPr>
        <w:jc w:val="left"/>
        <w:spacing w:before="160" w:after="60"/>
      </w:pPr>
      <w:r>
        <w:rPr>
          <w:rFonts w:ascii="Times New Roman" w:hAnsi="Times New Roman"/>
          <w:b/>
          <w:sz w:val="22"/>
        </w:rPr>
        <w:t>Table 2.3  Algorithmic Complexity of Reed-Solomon Decoding Architectures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2257"/>
        <w:gridCol w:w="2257"/>
        <w:gridCol w:w="2257"/>
        <w:gridCol w:w="2257"/>
      </w:tblGrid>
      <w:tr>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Decoding Stage</w:t>
            </w:r>
          </w:p>
        </w:tc>
        <w:tc>
          <w:tcPr>
            <w:tcW w:type="dxa" w:w="216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Core Algorithm</w:t>
            </w:r>
          </w:p>
        </w:tc>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Computational Complexity</w:t>
            </w:r>
          </w:p>
        </w:tc>
        <w:tc>
          <w:tcPr>
            <w:tcW w:type="dxa" w:w="331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Software Execution Bottleneck</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Syndrome Calculation</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Direct polynomial evaluation</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O(2t . N)</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Inner loop field multiplications</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Key Equation Solver</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Berlekamp-Massey Algorithm</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O(t^2)</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Iterative discrepancy calculations</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Root Finding</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Chien Exhaustive Search</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O(t . N)</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Evaluation across all 255 field elements</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Magnitude Calculation</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Forney Algebraic Formula</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O(t^2)</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Polynomial derivative divisions in GF(2^8)</w:t>
            </w:r>
          </w:p>
        </w:tc>
      </w:tr>
    </w:tbl>
    <w:p>
      <w:pPr>
        <w:spacing w:before="0" w:after="120"/>
      </w:pPr>
    </w:p>
    <w:p>
      <w:pPr>
        <w:jc w:val="left"/>
        <w:spacing w:before="240" w:after="80" w:line="360" w:lineRule="auto"/>
        <w:jc w:val="left"/>
      </w:pPr>
      <w:r>
        <w:rPr>
          <w:rFonts w:ascii="Times New Roman" w:hAnsi="Times New Roman"/>
          <w:b/>
          <w:sz w:val="26"/>
        </w:rPr>
        <w:t>2.4 Channel Estimation and Error Vector Magnitude (EVM) Metrics</w:t>
      </w:r>
    </w:p>
    <w:p>
      <w:pPr>
        <w:jc w:val="both"/>
        <w:spacing w:before="0" w:after="120" w:line="360" w:lineRule="auto"/>
        <w:jc w:val="both"/>
      </w:pPr>
      <w:r>
        <w:rPr>
          <w:rFonts w:ascii="Times New Roman" w:hAnsi="Times New Roman"/>
          <w:sz w:val="24"/>
        </w:rPr>
        <w:t>Dynamic adaptation requires real-time knowledge of channel quality. In coherent radio systems, pilot subcarriers and channel state information (CSI) estimators are universally employed. However, in low-complexity optical wireless links, dedicated pilot transmissions consume valuable throughput. A highly effective metric for blind channel quality estimation in constellation-based optical communications is the Error Vector Magnitude (EVM).</w:t>
      </w:r>
    </w:p>
    <w:p>
      <w:pPr>
        <w:jc w:val="both"/>
        <w:spacing w:before="0" w:after="120" w:line="360" w:lineRule="auto"/>
        <w:jc w:val="both"/>
      </w:pPr>
      <w:r>
        <w:rPr>
          <w:rFonts w:ascii="Times New Roman" w:hAnsi="Times New Roman"/>
          <w:sz w:val="24"/>
        </w:rPr>
        <w:t>Let s_k = [r_k, g_k, b_k]^T denote the ideal, transmitted 4-CSK reference constellation vector, and let hat{s}_k = [hat{r}_k, hat{g}_k, hat{b}_k]^T denote the noisy constellation vector recovered at the receiver. The root-mean-square (RMS) Error Vector Magnitude computed over a block of N_s symbols is defined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\text{EVM}_{RMS} = \sqrt{ \frac{\frac{1}{N_s} \sum_{k=1}^{N_s} \| \widehat{\mathbf{s}}_k - \mathbf{s}_k \|^2}{\frac{1}{N_s} \sum_{k=1}^{N_s} \| \mathbf{s}_k \|^2} }</w:t>
            </w:r>
          </w:p>
        </w:tc>
        <w:tc>
          <w:tcPr>
            <w:tcW w:type="dxa" w:w="1296"/>
          </w:tcPr>
          <w:p>
            <w:pPr>
              <w:jc w:val="right"/>
              <w:spacing w:before="60" w:after="60"/>
            </w:pPr>
            <w:r>
              <w:rPr>
                <w:rFonts w:ascii="Times New Roman" w:hAnsi="Times New Roman"/>
                <w:b/>
                <w:sz w:val="22"/>
              </w:rPr>
              <w:t>... (2.5)</w:t>
            </w:r>
          </w:p>
        </w:tc>
      </w:tr>
    </w:tbl>
    <w:p>
      <w:pPr>
        <w:spacing w:before="0" w:after="80"/>
      </w:pPr>
    </w:p>
    <w:p>
      <w:pPr>
        <w:jc w:val="both"/>
        <w:spacing w:before="0" w:after="120" w:line="360" w:lineRule="auto"/>
        <w:jc w:val="both"/>
      </w:pPr>
      <w:r>
        <w:rPr>
          <w:rFonts w:ascii="Times New Roman" w:hAnsi="Times New Roman"/>
          <w:sz w:val="24"/>
        </w:rPr>
        <w:t>Under the assumption of additive white Gaussian noise (AWGN) and memoryless receiver demapping, the instantaneous Signal-to-Noise Ratio (SNR) in decibels is inversely related to EVM via the theoretical formulation:</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\widehat{\text{SNR}}_{dB} \approx -20 \log_{10}\left( \text{EVM}_{RMS} \right) - \Delta_{cal} \quad [\text{dB}]</w:t>
            </w:r>
          </w:p>
        </w:tc>
        <w:tc>
          <w:tcPr>
            <w:tcW w:type="dxa" w:w="1296"/>
          </w:tcPr>
          <w:p>
            <w:pPr>
              <w:jc w:val="right"/>
              <w:spacing w:before="60" w:after="60"/>
            </w:pPr>
            <w:r>
              <w:rPr>
                <w:rFonts w:ascii="Times New Roman" w:hAnsi="Times New Roman"/>
                <w:b/>
                <w:sz w:val="22"/>
              </w:rPr>
              <w:t>... (2.6)</w:t>
            </w:r>
          </w:p>
        </w:tc>
      </w:tr>
    </w:tbl>
    <w:p>
      <w:pPr>
        <w:spacing w:before="0" w:after="80"/>
      </w:pPr>
    </w:p>
    <w:p>
      <w:pPr>
        <w:jc w:val="both"/>
        <w:spacing w:before="0" w:after="120" w:line="360" w:lineRule="auto"/>
        <w:jc w:val="both"/>
      </w:pPr>
      <w:r>
        <w:rPr>
          <w:rFonts w:ascii="Times New Roman" w:hAnsi="Times New Roman"/>
          <w:sz w:val="24"/>
        </w:rPr>
        <w:t>where Delta_{cal} is a small empirical calibration offset accounting for optical photodiode responsivity scaling and non-linearities. This mathematical formulation allows the receiver to estimate link SNR directly from constellation scatter without requiring dedicated training sequences.</w:t>
      </w:r>
    </w:p>
    <w:p>
      <w:pPr>
        <w:jc w:val="left"/>
        <w:spacing w:before="240" w:after="80" w:line="360" w:lineRule="auto"/>
        <w:jc w:val="left"/>
      </w:pPr>
      <w:r>
        <w:rPr>
          <w:rFonts w:ascii="Times New Roman" w:hAnsi="Times New Roman"/>
          <w:b/>
          <w:sz w:val="26"/>
        </w:rPr>
        <w:t>2.5 Adaptive Modulation and Coding (AMC) in Optical Networks</w:t>
      </w:r>
    </w:p>
    <w:p>
      <w:pPr>
        <w:jc w:val="both"/>
        <w:spacing w:before="0" w:after="120" w:line="360" w:lineRule="auto"/>
        <w:jc w:val="both"/>
      </w:pPr>
      <w:r>
        <w:rPr>
          <w:rFonts w:ascii="Times New Roman" w:hAnsi="Times New Roman"/>
          <w:sz w:val="24"/>
        </w:rPr>
        <w:t>Adaptive Modulation and Coding (AMC) has been extensively explored in cellular LTE/5G and satellite communications. In optical wireless networks, early AMC research focused on rate-adaptive On-Off Keying and adaptive optical OFDM subcarrier bit loading. However, bit-loaded optical OFDM incurs severe Peak-to-Average Power Ratios (PAPR), requiring high-precision digital-to-analog converters and suffering from LED non-linear distortion. In contrast, adaptive Reed-Solomon coding over Color Shift Keying preserves constant optical emitter current while adapting error protection exclusively at the data-link layer.</w:t>
      </w:r>
    </w:p>
    <w:p>
      <w:pPr>
        <w:jc w:val="left"/>
        <w:spacing w:before="240" w:after="80" w:line="360" w:lineRule="auto"/>
        <w:jc w:val="left"/>
      </w:pPr>
      <w:r>
        <w:rPr>
          <w:rFonts w:ascii="Times New Roman" w:hAnsi="Times New Roman"/>
          <w:b/>
          <w:sz w:val="26"/>
        </w:rPr>
        <w:t>2.6 Gap Analysis and Summary of Identified Research Opportunities</w:t>
      </w:r>
    </w:p>
    <w:p>
      <w:pPr>
        <w:jc w:val="both"/>
        <w:spacing w:before="0" w:after="120" w:line="360" w:lineRule="auto"/>
        <w:jc w:val="both"/>
      </w:pPr>
      <w:r>
        <w:rPr>
          <w:rFonts w:ascii="Times New Roman" w:hAnsi="Times New Roman"/>
          <w:sz w:val="24"/>
        </w:rPr>
        <w:t>A comprehensive review of existing optical wireless literature reveals significant gaps in current approaches: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Gap 1: Absence of Dynamic AMC in IEEE 802.15.7 CSK: </w:t>
      </w:r>
      <w:r>
        <w:rPr>
          <w:rFonts w:ascii="Times New Roman" w:hAnsi="Times New Roman"/>
          <w:sz w:val="24"/>
        </w:rPr>
        <w:t>Most published literature evaluates static Reed-Solomon coding under idealized, time-invariant AWGN channels, ignoring dynamic human blockage and LED dimming.</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Gap 2: Vulnerability to Channel Oscillation: </w:t>
      </w:r>
      <w:r>
        <w:rPr>
          <w:rFonts w:ascii="Times New Roman" w:hAnsi="Times New Roman"/>
          <w:sz w:val="24"/>
        </w:rPr>
        <w:t>Prior adaptive schemes rely purely on instantaneous SNR, resulting in frequent, unstable profile oscillations ('ping-pong effect') near switching thresholds.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Gap 3: Unrealistic Channel Estimation Assumptions: </w:t>
      </w:r>
      <w:r>
        <w:rPr>
          <w:rFonts w:ascii="Times New Roman" w:hAnsi="Times New Roman"/>
          <w:sz w:val="24"/>
        </w:rPr>
        <w:t>Existing adaptive systems frequently assume perfect Channel State Information (CSI) at the transmitter, overlooking realistic receiver estimation latency and noise.</w:t>
      </w:r>
    </w:p>
    <w:p>
      <w:pPr>
        <w:jc w:val="both"/>
        <w:spacing w:before="0" w:after="120" w:line="360" w:lineRule="auto"/>
        <w:jc w:val="both"/>
      </w:pPr>
      <w:r>
        <w:rPr>
          <w:rFonts w:ascii="Times New Roman" w:hAnsi="Times New Roman"/>
          <w:sz w:val="24"/>
        </w:rPr>
        <w:t>This Mini Project directly addresses these identified research gaps by developing a robust, multi-indicator adaptive controller that integrates sliding-window EVM estimation, dual-threshold hysteresis stabilization, and explainable multi-metric escalation triggers.</w:t>
      </w:r>
    </w:p>
    <w:p>
      <w:r>
        <w:br w:type="page"/>
      </w:r>
    </w:p>
    <w:p>
      <w:pPr>
        <w:jc w:val="left"/>
        <w:spacing w:before="240" w:after="240" w:line="360" w:lineRule="auto"/>
        <w:jc w:val="left"/>
      </w:pPr>
      <w:r>
        <w:rPr>
          <w:rFonts w:ascii="Times New Roman" w:hAnsi="Times New Roman"/>
          <w:b/>
          <w:sz w:val="28"/>
        </w:rPr>
        <w:t>CHAPTER 3</w:t>
        <w:br/>
      </w:r>
      <w:r>
        <w:rPr>
          <w:rFonts w:ascii="Times New Roman" w:hAnsi="Times New Roman"/>
          <w:b/>
          <w:sz w:val="28"/>
        </w:rPr>
        <w:t>OPTICAL CHANNEL AND 4-CSK MODULATION ARCHITECTURE</w:t>
      </w:r>
    </w:p>
    <w:p>
      <w:pPr>
        <w:jc w:val="left"/>
        <w:spacing w:before="240" w:after="80" w:line="360" w:lineRule="auto"/>
        <w:jc w:val="left"/>
      </w:pPr>
      <w:r>
        <w:rPr>
          <w:rFonts w:ascii="Times New Roman" w:hAnsi="Times New Roman"/>
          <w:b/>
          <w:sz w:val="26"/>
        </w:rPr>
        <w:t>3.1 Physics of the Indoor Line-of-Sight (LOS) Optical Channel</w:t>
      </w:r>
    </w:p>
    <w:p>
      <w:pPr>
        <w:jc w:val="both"/>
        <w:spacing w:before="0" w:after="120" w:line="360" w:lineRule="auto"/>
        <w:jc w:val="both"/>
      </w:pPr>
      <w:r>
        <w:rPr>
          <w:rFonts w:ascii="Times New Roman" w:hAnsi="Times New Roman"/>
          <w:sz w:val="24"/>
        </w:rPr>
        <w:t>The indoor optical wireless propagation environment differs fundamentally from conventional RF propagation. Solid-state Light Emitting Diodes (LEDs) emit incoherent optical radiation with large spatial divergence angles to illuminate indoor physical spaces. Because optical wavelengths (380 nm to 780 nm) are orders of magnitude smaller than physical furniture and room dimensions, optical propagation is dominated by line-of-sight (LOS) rectilinear rays and diffuse Lambertian surface scattering.</w:t>
      </w:r>
    </w:p>
    <w:p>
      <w:pPr>
        <w:jc w:val="both"/>
        <w:spacing w:before="0" w:after="120" w:line="360" w:lineRule="auto"/>
        <w:jc w:val="both"/>
      </w:pPr>
      <w:r>
        <w:rPr>
          <w:rFonts w:ascii="Times New Roman" w:hAnsi="Times New Roman"/>
          <w:sz w:val="24"/>
        </w:rPr>
        <w:t>In typical indoor scenarios (such as an office room of dimensions 5.0 m x 5.0 m x 3.0 m), the line-of-sight optical path contributes more than 90% of the total received optical power at the photodetector active surface. The optical channel can be accurately modeled as a linear, time-invariant, baseband channel where instantaneous received photocurrent i_{rx}(t) is directly proportional to instantaneous transmitted optical power P_{tx}(t), scaled by photodiode responsivity R_{pd} and optical channel DC gain H_0:</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i_{rx}(t) = R_{pd} \cdot H_{0} \cdot P_{tx}(t) + n(t)</w:t>
            </w:r>
          </w:p>
        </w:tc>
        <w:tc>
          <w:tcPr>
            <w:tcW w:type="dxa" w:w="1296"/>
          </w:tcPr>
          <w:p>
            <w:pPr>
              <w:jc w:val="right"/>
              <w:spacing w:before="60" w:after="60"/>
            </w:pPr>
            <w:r>
              <w:rPr>
                <w:rFonts w:ascii="Times New Roman" w:hAnsi="Times New Roman"/>
                <w:b/>
                <w:sz w:val="22"/>
              </w:rPr>
              <w:t>... (3.1)</w:t>
            </w:r>
          </w:p>
        </w:tc>
      </w:tr>
    </w:tbl>
    <w:p>
      <w:pPr>
        <w:spacing w:before="0" w:after="80"/>
      </w:pPr>
    </w:p>
    <w:p>
      <w:pPr>
        <w:jc w:val="both"/>
        <w:spacing w:before="0" w:after="120" w:line="360" w:lineRule="auto"/>
        <w:jc w:val="both"/>
      </w:pPr>
      <w:r>
        <w:rPr>
          <w:rFonts w:ascii="Times New Roman" w:hAnsi="Times New Roman"/>
          <w:sz w:val="24"/>
        </w:rPr>
        <w:t>where n(t) represents additive Gaussian receiver noise comprising ambient shot noise and receiver thermal preamplifier noise. Unlike radio channels where fading arises from multipath destructive phase interference, VLC links do not experience multipath fading because the photodiode physical surface area (typically 1.0 cm^2) spans millions of square optical wavelengths, effectively integrating across the optical wavefront and averaging out spatial multipath interference.</w:t>
      </w:r>
    </w:p>
    <w:p>
      <w:pPr>
        <w:jc w:val="left"/>
        <w:spacing w:before="240" w:after="80" w:line="360" w:lineRule="auto"/>
        <w:jc w:val="left"/>
      </w:pPr>
      <w:r>
        <w:rPr>
          <w:rFonts w:ascii="Times New Roman" w:hAnsi="Times New Roman"/>
          <w:b/>
          <w:sz w:val="26"/>
        </w:rPr>
        <w:t>3.2 Optical Emitter Characteristics and Lambertian Radiation Modeling</w:t>
      </w:r>
    </w:p>
    <w:p>
      <w:pPr>
        <w:jc w:val="both"/>
        <w:spacing w:before="0" w:after="120" w:line="360" w:lineRule="auto"/>
        <w:jc w:val="both"/>
      </w:pPr>
      <w:r>
        <w:rPr>
          <w:rFonts w:ascii="Times New Roman" w:hAnsi="Times New Roman"/>
          <w:sz w:val="24"/>
        </w:rPr>
        <w:t>Solid-state commercial LED luminaires exhibit a spatial radiant intensity distribution that conforms to the generalized Lambertian radiation pattern. The emission order m of the optical source is determined directly by the transmitter semi-angle at half illuminance, denoted as Phi_{1/2}:</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m = -\frac{\ln(2)}{\ln(\cos(\Phi_{1/2}))}</w:t>
            </w:r>
          </w:p>
        </w:tc>
        <w:tc>
          <w:tcPr>
            <w:tcW w:type="dxa" w:w="1296"/>
          </w:tcPr>
          <w:p>
            <w:pPr>
              <w:jc w:val="right"/>
              <w:spacing w:before="60" w:after="60"/>
            </w:pPr>
            <w:r>
              <w:rPr>
                <w:rFonts w:ascii="Times New Roman" w:hAnsi="Times New Roman"/>
                <w:b/>
                <w:sz w:val="22"/>
              </w:rPr>
              <w:t>... (3.2)</w:t>
            </w:r>
          </w:p>
        </w:tc>
      </w:tr>
    </w:tbl>
    <w:p>
      <w:pPr>
        <w:spacing w:before="0" w:after="80"/>
      </w:pPr>
    </w:p>
    <w:p>
      <w:pPr>
        <w:jc w:val="both"/>
        <w:spacing w:before="0" w:after="120" w:line="360" w:lineRule="auto"/>
        <w:jc w:val="both"/>
      </w:pPr>
      <w:r>
        <w:rPr>
          <w:rFonts w:ascii="Times New Roman" w:hAnsi="Times New Roman"/>
          <w:sz w:val="24"/>
        </w:rPr>
        <w:t>For a standard wide-beam commercial LED luminaire with Phi_{1/2} = 60 degrees, the Lambertian emission order evaluates to m = -ln(2) / ln(cos(60 deg)) = -ln(2) / ln(0.5) = 1.0. For narrower spot beams (e.g., Phi_{1/2} = 30 degrees), m = 4.8, concentrating optical power along the central transmitter normal vector.</w:t>
      </w:r>
    </w:p>
    <w:p>
      <w:pPr>
        <w:jc w:val="left"/>
        <w:spacing w:before="160" w:after="60"/>
      </w:pPr>
      <w:r>
        <w:rPr>
          <w:rFonts w:ascii="Times New Roman" w:hAnsi="Times New Roman"/>
          <w:b/>
          <w:sz w:val="22"/>
        </w:rPr>
        <w:t>Table 3.1  Physical Indoor Optical Channel Geometrical and Physical Parameters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2257"/>
        <w:gridCol w:w="2257"/>
        <w:gridCol w:w="2257"/>
        <w:gridCol w:w="2257"/>
      </w:tblGrid>
      <w:tr>
        <w:tc>
          <w:tcPr>
            <w:tcW w:type="dxa" w:w="331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Parameter Description</w:t>
            </w:r>
          </w:p>
        </w:tc>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Symbol</w:t>
            </w:r>
          </w:p>
        </w:tc>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Default Value</w:t>
            </w:r>
          </w:p>
        </w:tc>
        <w:tc>
          <w:tcPr>
            <w:tcW w:type="dxa" w:w="216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Physical Unit</w:t>
            </w:r>
          </w:p>
        </w:tc>
      </w:tr>
      <w:tr>
        <w:tc>
          <w:tcPr>
            <w:tcW w:type="dxa" w:w="3312"/>
            <w:tcMar>
              <w:top w:w="60" w:type="dxa"/>
              <w:bottom w:w="60" w:type="dxa"/>
              <w:left w:w="100" w:type="dxa"/>
              <w:right w:w="100" w:type="dxa"/>
            </w:tcMar>
            <w:vAlign w:val="center"/>
          </w:tcPr>
          <w:p>
            <w:pPr>
              <w:jc w:val="left"/>
              <w:spacing w:before="60" w:after="60"/>
            </w:pPr>
            <w:r/>
            <w:r>
              <w:rPr>
                <w:rFonts w:ascii="Times New Roman" w:hAnsi="Times New Roman"/>
                <w:sz w:val="20"/>
              </w:rPr>
              <w:t>Room Dimensions (Length x Width x Height)</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L x W x H</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5.0 x 5.0 x 3.0</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Meters (m)</w:t>
            </w:r>
          </w:p>
        </w:tc>
      </w:tr>
      <w:tr>
        <w:tc>
          <w:tcPr>
            <w:tcW w:type="dxa" w:w="3312"/>
            <w:tcMar>
              <w:top w:w="60" w:type="dxa"/>
              <w:bottom w:w="60" w:type="dxa"/>
              <w:left w:w="100" w:type="dxa"/>
              <w:right w:w="100" w:type="dxa"/>
            </w:tcMar>
            <w:vAlign w:val="center"/>
          </w:tcPr>
          <w:p>
            <w:pPr>
              <w:jc w:val="left"/>
              <w:spacing w:before="60" w:after="60"/>
            </w:pPr>
            <w:r/>
            <w:r>
              <w:rPr>
                <w:rFonts w:ascii="Times New Roman" w:hAnsi="Times New Roman"/>
                <w:sz w:val="20"/>
              </w:rPr>
              <w:t>Ceiling Luminaire Position (x, y, z)</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(x_tx, y_tx, z_tx)</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(2.5, 2.5, 3.0)</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Meters (m)</w:t>
            </w:r>
          </w:p>
        </w:tc>
      </w:tr>
      <w:tr>
        <w:tc>
          <w:tcPr>
            <w:tcW w:type="dxa" w:w="3312"/>
            <w:tcMar>
              <w:top w:w="60" w:type="dxa"/>
              <w:bottom w:w="60" w:type="dxa"/>
              <w:left w:w="100" w:type="dxa"/>
              <w:right w:w="100" w:type="dxa"/>
            </w:tcMar>
            <w:vAlign w:val="center"/>
          </w:tcPr>
          <w:p>
            <w:pPr>
              <w:jc w:val="left"/>
              <w:spacing w:before="60" w:after="60"/>
            </w:pPr>
            <w:r/>
            <w:r>
              <w:rPr>
                <w:rFonts w:ascii="Times New Roman" w:hAnsi="Times New Roman"/>
                <w:sz w:val="20"/>
              </w:rPr>
              <w:t>Desktop Receiver Position (x, y, z)</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(x_rx, y_rx, z_rx)</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(2.5, 2.5, 0.8)</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Meters (m)</w:t>
            </w:r>
          </w:p>
        </w:tc>
      </w:tr>
      <w:tr>
        <w:tc>
          <w:tcPr>
            <w:tcW w:type="dxa" w:w="3312"/>
            <w:tcMar>
              <w:top w:w="60" w:type="dxa"/>
              <w:bottom w:w="60" w:type="dxa"/>
              <w:left w:w="100" w:type="dxa"/>
              <w:right w:w="100" w:type="dxa"/>
            </w:tcMar>
            <w:vAlign w:val="center"/>
          </w:tcPr>
          <w:p>
            <w:pPr>
              <w:jc w:val="left"/>
              <w:spacing w:before="60" w:after="60"/>
            </w:pPr>
            <w:r/>
            <w:r>
              <w:rPr>
                <w:rFonts w:ascii="Times New Roman" w:hAnsi="Times New Roman"/>
                <w:sz w:val="20"/>
              </w:rPr>
              <w:t>Vertical Link Separation Distance</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h = z_tx - z_rx</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2.2</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Meters (m)</w:t>
            </w:r>
          </w:p>
        </w:tc>
      </w:tr>
      <w:tr>
        <w:tc>
          <w:tcPr>
            <w:tcW w:type="dxa" w:w="3312"/>
            <w:tcMar>
              <w:top w:w="60" w:type="dxa"/>
              <w:bottom w:w="60" w:type="dxa"/>
              <w:left w:w="100" w:type="dxa"/>
              <w:right w:w="100" w:type="dxa"/>
            </w:tcMar>
            <w:vAlign w:val="center"/>
          </w:tcPr>
          <w:p>
            <w:pPr>
              <w:jc w:val="left"/>
              <w:spacing w:before="60" w:after="60"/>
            </w:pPr>
            <w:r/>
            <w:r>
              <w:rPr>
                <w:rFonts w:ascii="Times New Roman" w:hAnsi="Times New Roman"/>
                <w:sz w:val="20"/>
              </w:rPr>
              <w:t>Transmitter Semi-Angle at Half Power</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Phi_{1/2}</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60.0</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Degrees (deg)</w:t>
            </w:r>
          </w:p>
        </w:tc>
      </w:tr>
      <w:tr>
        <w:tc>
          <w:tcPr>
            <w:tcW w:type="dxa" w:w="3312"/>
            <w:tcMar>
              <w:top w:w="60" w:type="dxa"/>
              <w:bottom w:w="60" w:type="dxa"/>
              <w:left w:w="100" w:type="dxa"/>
              <w:right w:w="100" w:type="dxa"/>
            </w:tcMar>
            <w:vAlign w:val="center"/>
          </w:tcPr>
          <w:p>
            <w:pPr>
              <w:jc w:val="left"/>
              <w:spacing w:before="60" w:after="60"/>
            </w:pPr>
            <w:r/>
            <w:r>
              <w:rPr>
                <w:rFonts w:ascii="Times New Roman" w:hAnsi="Times New Roman"/>
                <w:sz w:val="20"/>
              </w:rPr>
              <w:t>Photodiode Active Surface Area</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A_{det}</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1.0</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Centimeter squared (cm^2)</w:t>
            </w:r>
          </w:p>
        </w:tc>
      </w:tr>
      <w:tr>
        <w:tc>
          <w:tcPr>
            <w:tcW w:type="dxa" w:w="3312"/>
            <w:tcMar>
              <w:top w:w="60" w:type="dxa"/>
              <w:bottom w:w="60" w:type="dxa"/>
              <w:left w:w="100" w:type="dxa"/>
              <w:right w:w="100" w:type="dxa"/>
            </w:tcMar>
            <w:vAlign w:val="center"/>
          </w:tcPr>
          <w:p>
            <w:pPr>
              <w:jc w:val="left"/>
              <w:spacing w:before="60" w:after="60"/>
            </w:pPr>
            <w:r/>
            <w:r>
              <w:rPr>
                <w:rFonts w:ascii="Times New Roman" w:hAnsi="Times New Roman"/>
                <w:sz w:val="20"/>
              </w:rPr>
              <w:t>Photodiode Field of View (FOV)</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Psi_c</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70.0</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Degrees (deg)</w:t>
            </w:r>
          </w:p>
        </w:tc>
      </w:tr>
      <w:tr>
        <w:tc>
          <w:tcPr>
            <w:tcW w:type="dxa" w:w="3312"/>
            <w:tcMar>
              <w:top w:w="60" w:type="dxa"/>
              <w:bottom w:w="60" w:type="dxa"/>
              <w:left w:w="100" w:type="dxa"/>
              <w:right w:w="100" w:type="dxa"/>
            </w:tcMar>
            <w:vAlign w:val="center"/>
          </w:tcPr>
          <w:p>
            <w:pPr>
              <w:jc w:val="left"/>
              <w:spacing w:before="60" w:after="60"/>
            </w:pPr>
            <w:r/>
            <w:r>
              <w:rPr>
                <w:rFonts w:ascii="Times New Roman" w:hAnsi="Times New Roman"/>
                <w:sz w:val="20"/>
              </w:rPr>
              <w:t>Optical Concentrator Internal Refractive Index</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n_c</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1.5</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Dimensionless</w:t>
            </w:r>
          </w:p>
        </w:tc>
      </w:tr>
      <w:tr>
        <w:tc>
          <w:tcPr>
            <w:tcW w:type="dxa" w:w="3312"/>
            <w:tcMar>
              <w:top w:w="60" w:type="dxa"/>
              <w:bottom w:w="60" w:type="dxa"/>
              <w:left w:w="100" w:type="dxa"/>
              <w:right w:w="100" w:type="dxa"/>
            </w:tcMar>
            <w:vAlign w:val="center"/>
          </w:tcPr>
          <w:p>
            <w:pPr>
              <w:jc w:val="left"/>
              <w:spacing w:before="60" w:after="60"/>
            </w:pPr>
            <w:r/>
            <w:r>
              <w:rPr>
                <w:rFonts w:ascii="Times New Roman" w:hAnsi="Times New Roman"/>
                <w:sz w:val="20"/>
              </w:rPr>
              <w:t>Optical Bandpass Filter Transmission</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T_s(psi)</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0.95</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Dimensionless</w:t>
            </w:r>
          </w:p>
        </w:tc>
      </w:tr>
    </w:tbl>
    <w:p>
      <w:pPr>
        <w:spacing w:before="0" w:after="120"/>
      </w:pPr>
    </w:p>
    <w:p>
      <w:pPr>
        <w:jc w:val="left"/>
        <w:spacing w:before="240" w:after="80" w:line="360" w:lineRule="auto"/>
        <w:jc w:val="left"/>
      </w:pPr>
      <w:r>
        <w:rPr>
          <w:rFonts w:ascii="Times New Roman" w:hAnsi="Times New Roman"/>
          <w:b/>
          <w:sz w:val="26"/>
        </w:rPr>
        <w:t>3.3 Receiver Photodiode Responsivity and Thermal Noise Mechanics</w:t>
      </w:r>
    </w:p>
    <w:p>
      <w:pPr>
        <w:jc w:val="both"/>
        <w:spacing w:before="0" w:after="120" w:line="360" w:lineRule="auto"/>
        <w:jc w:val="both"/>
      </w:pPr>
      <w:r>
        <w:rPr>
          <w:rFonts w:ascii="Times New Roman" w:hAnsi="Times New Roman"/>
          <w:sz w:val="24"/>
        </w:rPr>
        <w:t>At the optical receiver, a silicon positive-intrinsic-negative (PIN) photodiode converts incident photons into electrical current through the photoelectric effect. The conversion efficiency is quantified by the photodiode responsivity R_{pd}(lambda) in amperes per watt (A/W):</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R_{pd}(\lambda) = \frac{\eta_{qe} q \lambda}{h c}</w:t>
            </w:r>
          </w:p>
        </w:tc>
        <w:tc>
          <w:tcPr>
            <w:tcW w:type="dxa" w:w="1296"/>
          </w:tcPr>
          <w:p>
            <w:pPr>
              <w:jc w:val="right"/>
              <w:spacing w:before="60" w:after="60"/>
            </w:pPr>
            <w:r>
              <w:rPr>
                <w:rFonts w:ascii="Times New Roman" w:hAnsi="Times New Roman"/>
                <w:b/>
                <w:sz w:val="22"/>
              </w:rPr>
              <w:t>... (3.3)</w:t>
            </w:r>
          </w:p>
        </w:tc>
      </w:tr>
    </w:tbl>
    <w:p>
      <w:pPr>
        <w:spacing w:before="0" w:after="80"/>
      </w:pPr>
    </w:p>
    <w:p>
      <w:pPr>
        <w:jc w:val="both"/>
        <w:spacing w:before="0" w:after="120" w:line="360" w:lineRule="auto"/>
        <w:jc w:val="both"/>
      </w:pPr>
      <w:r>
        <w:rPr>
          <w:rFonts w:ascii="Times New Roman" w:hAnsi="Times New Roman"/>
          <w:sz w:val="24"/>
        </w:rPr>
        <w:t>where eta_{qe} represents the quantum efficiency of the semiconductor junction, q is the electron charge (1.602 x 10^-19 C), h is Planck's constant (6.626 x 10^-34 J.s), c is the speed of light in vacuum (3.0 x 10^8 m/s), and lambda is the incident optical wavelength. For tri-chromatic visible wavelengths, typical silicon responsivity evaluates to 0.45 A/W for red (625 nm), 0.38 A/W for green (530 nm), and 0.28 A/W for blue (470 nm).</w:t>
      </w:r>
    </w:p>
    <w:p>
      <w:pPr>
        <w:jc w:val="both"/>
        <w:spacing w:before="0" w:after="120" w:line="360" w:lineRule="auto"/>
        <w:jc w:val="both"/>
      </w:pPr>
      <w:r>
        <w:rPr>
          <w:rFonts w:ascii="Times New Roman" w:hAnsi="Times New Roman"/>
          <w:sz w:val="24"/>
        </w:rPr>
        <w:t>The performance of the optical receiver is fundamentally limited by noise. The total noise variance sigma_{total}^2 at the output of the transimpedance amplifier (TIA) is modeled as the sum of shot noise and thermal preamplifier noise:</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\sigma_{total}^2 = \sigma_{shot}^2 + \sigma_{thermal}^2 = 2 q \left( R_{pd} P_{rx} + I_{amb} \right) B + \left( \frac{4 k_B T}{R_L} + 2 \pi k_B T \eta_{fet} A_{det} \frac{I_3}{g_m} B \right) B</w:t>
            </w:r>
          </w:p>
        </w:tc>
        <w:tc>
          <w:tcPr>
            <w:tcW w:type="dxa" w:w="1296"/>
          </w:tcPr>
          <w:p>
            <w:pPr>
              <w:jc w:val="right"/>
              <w:spacing w:before="60" w:after="60"/>
            </w:pPr>
            <w:r>
              <w:rPr>
                <w:rFonts w:ascii="Times New Roman" w:hAnsi="Times New Roman"/>
                <w:b/>
                <w:sz w:val="22"/>
              </w:rPr>
              <w:t>... (3.4)</w:t>
            </w:r>
          </w:p>
        </w:tc>
      </w:tr>
    </w:tbl>
    <w:p>
      <w:pPr>
        <w:spacing w:before="0" w:after="80"/>
      </w:pPr>
    </w:p>
    <w:p>
      <w:pPr>
        <w:jc w:val="left"/>
        <w:spacing w:before="160" w:after="60"/>
      </w:pPr>
      <w:r>
        <w:rPr>
          <w:rFonts w:ascii="Times New Roman" w:hAnsi="Times New Roman"/>
          <w:b/>
          <w:sz w:val="22"/>
        </w:rPr>
        <w:t>Table 3.2  PIN Photodiode Electrical and Responsivity Characteristics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2257"/>
        <w:gridCol w:w="2257"/>
        <w:gridCol w:w="2257"/>
        <w:gridCol w:w="2257"/>
      </w:tblGrid>
      <w:tr>
        <w:tc>
          <w:tcPr>
            <w:tcW w:type="dxa" w:w="331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Receiver Physical Parameter</w:t>
            </w:r>
          </w:p>
        </w:tc>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Symbol</w:t>
            </w:r>
          </w:p>
        </w:tc>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Numerical Value</w:t>
            </w:r>
          </w:p>
        </w:tc>
        <w:tc>
          <w:tcPr>
            <w:tcW w:type="dxa" w:w="216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Physical Unit</w:t>
            </w:r>
          </w:p>
        </w:tc>
      </w:tr>
      <w:tr>
        <w:tc>
          <w:tcPr>
            <w:tcW w:type="dxa" w:w="3312"/>
            <w:tcMar>
              <w:top w:w="60" w:type="dxa"/>
              <w:bottom w:w="60" w:type="dxa"/>
              <w:left w:w="100" w:type="dxa"/>
              <w:right w:w="100" w:type="dxa"/>
            </w:tcMar>
            <w:vAlign w:val="center"/>
          </w:tcPr>
          <w:p>
            <w:pPr>
              <w:jc w:val="left"/>
              <w:spacing w:before="60" w:after="60"/>
            </w:pPr>
            <w:r/>
            <w:r>
              <w:rPr>
                <w:rFonts w:ascii="Times New Roman" w:hAnsi="Times New Roman"/>
                <w:sz w:val="20"/>
              </w:rPr>
              <w:t>Electron Elementary Charge</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q</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1.602 x 10^-19</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Coulombs (C)</w:t>
            </w:r>
          </w:p>
        </w:tc>
      </w:tr>
      <w:tr>
        <w:tc>
          <w:tcPr>
            <w:tcW w:type="dxa" w:w="3312"/>
            <w:tcMar>
              <w:top w:w="60" w:type="dxa"/>
              <w:bottom w:w="60" w:type="dxa"/>
              <w:left w:w="100" w:type="dxa"/>
              <w:right w:w="100" w:type="dxa"/>
            </w:tcMar>
            <w:vAlign w:val="center"/>
          </w:tcPr>
          <w:p>
            <w:pPr>
              <w:jc w:val="left"/>
              <w:spacing w:before="60" w:after="60"/>
            </w:pPr>
            <w:r/>
            <w:r>
              <w:rPr>
                <w:rFonts w:ascii="Times New Roman" w:hAnsi="Times New Roman"/>
                <w:sz w:val="20"/>
              </w:rPr>
              <w:t>Boltzmann Physical Constant</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k_B</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1.381 x 10^-23</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Joules / Kelvin (J/K)</w:t>
            </w:r>
          </w:p>
        </w:tc>
      </w:tr>
      <w:tr>
        <w:tc>
          <w:tcPr>
            <w:tcW w:type="dxa" w:w="3312"/>
            <w:tcMar>
              <w:top w:w="60" w:type="dxa"/>
              <w:bottom w:w="60" w:type="dxa"/>
              <w:left w:w="100" w:type="dxa"/>
              <w:right w:w="100" w:type="dxa"/>
            </w:tcMar>
            <w:vAlign w:val="center"/>
          </w:tcPr>
          <w:p>
            <w:pPr>
              <w:jc w:val="left"/>
              <w:spacing w:before="60" w:after="60"/>
            </w:pPr>
            <w:r/>
            <w:r>
              <w:rPr>
                <w:rFonts w:ascii="Times New Roman" w:hAnsi="Times New Roman"/>
                <w:sz w:val="20"/>
              </w:rPr>
              <w:t>Absolute Operational Temperature</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T</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298.15 (25 deg C)</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Kelvin (K)</w:t>
            </w:r>
          </w:p>
        </w:tc>
      </w:tr>
      <w:tr>
        <w:tc>
          <w:tcPr>
            <w:tcW w:type="dxa" w:w="3312"/>
            <w:tcMar>
              <w:top w:w="60" w:type="dxa"/>
              <w:bottom w:w="60" w:type="dxa"/>
              <w:left w:w="100" w:type="dxa"/>
              <w:right w:w="100" w:type="dxa"/>
            </w:tcMar>
            <w:vAlign w:val="center"/>
          </w:tcPr>
          <w:p>
            <w:pPr>
              <w:jc w:val="left"/>
              <w:spacing w:before="60" w:after="60"/>
            </w:pPr>
            <w:r/>
            <w:r>
              <w:rPr>
                <w:rFonts w:ascii="Times New Roman" w:hAnsi="Times New Roman"/>
                <w:sz w:val="20"/>
              </w:rPr>
              <w:t>Transimpedance Load Resistance</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R_L</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10.0 x 10^3</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Ohms (kilo-ohm)</w:t>
            </w:r>
          </w:p>
        </w:tc>
      </w:tr>
      <w:tr>
        <w:tc>
          <w:tcPr>
            <w:tcW w:type="dxa" w:w="3312"/>
            <w:tcMar>
              <w:top w:w="60" w:type="dxa"/>
              <w:bottom w:w="60" w:type="dxa"/>
              <w:left w:w="100" w:type="dxa"/>
              <w:right w:w="100" w:type="dxa"/>
            </w:tcMar>
            <w:vAlign w:val="center"/>
          </w:tcPr>
          <w:p>
            <w:pPr>
              <w:jc w:val="left"/>
              <w:spacing w:before="60" w:after="60"/>
            </w:pPr>
            <w:r/>
            <w:r>
              <w:rPr>
                <w:rFonts w:ascii="Times New Roman" w:hAnsi="Times New Roman"/>
                <w:sz w:val="20"/>
              </w:rPr>
              <w:t>Ambient Solar / Background Current</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I_{amb}</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510.0 x 10^-6</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Microamperes (uA)</w:t>
            </w:r>
          </w:p>
        </w:tc>
      </w:tr>
      <w:tr>
        <w:tc>
          <w:tcPr>
            <w:tcW w:type="dxa" w:w="3312"/>
            <w:tcMar>
              <w:top w:w="60" w:type="dxa"/>
              <w:bottom w:w="60" w:type="dxa"/>
              <w:left w:w="100" w:type="dxa"/>
              <w:right w:w="100" w:type="dxa"/>
            </w:tcMar>
            <w:vAlign w:val="center"/>
          </w:tcPr>
          <w:p>
            <w:pPr>
              <w:jc w:val="left"/>
              <w:spacing w:before="60" w:after="60"/>
            </w:pPr>
            <w:r/>
            <w:r>
              <w:rPr>
                <w:rFonts w:ascii="Times New Roman" w:hAnsi="Times New Roman"/>
                <w:sz w:val="20"/>
              </w:rPr>
              <w:t>Equivalent Noise Bandwidth</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B</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20.0 x 10^6</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Megahertz (MHz)</w:t>
            </w:r>
          </w:p>
        </w:tc>
      </w:tr>
      <w:tr>
        <w:tc>
          <w:tcPr>
            <w:tcW w:type="dxa" w:w="3312"/>
            <w:tcMar>
              <w:top w:w="60" w:type="dxa"/>
              <w:bottom w:w="60" w:type="dxa"/>
              <w:left w:w="100" w:type="dxa"/>
              <w:right w:w="100" w:type="dxa"/>
            </w:tcMar>
            <w:vAlign w:val="center"/>
          </w:tcPr>
          <w:p>
            <w:pPr>
              <w:jc w:val="left"/>
              <w:spacing w:before="60" w:after="60"/>
            </w:pPr>
            <w:r/>
            <w:r>
              <w:rPr>
                <w:rFonts w:ascii="Times New Roman" w:hAnsi="Times New Roman"/>
                <w:sz w:val="20"/>
              </w:rPr>
              <w:t>FET Channel Transconductance</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g_m</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30.0 x 10^-3</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Siemens (mS)</w:t>
            </w:r>
          </w:p>
        </w:tc>
      </w:tr>
    </w:tbl>
    <w:p>
      <w:pPr>
        <w:spacing w:before="0" w:after="120"/>
      </w:pPr>
    </w:p>
    <w:p>
      <w:pPr>
        <w:jc w:val="left"/>
        <w:spacing w:before="240" w:after="80" w:line="360" w:lineRule="auto"/>
        <w:jc w:val="left"/>
      </w:pPr>
      <w:r>
        <w:rPr>
          <w:rFonts w:ascii="Times New Roman" w:hAnsi="Times New Roman"/>
          <w:b/>
          <w:sz w:val="26"/>
        </w:rPr>
        <w:t>3.4 Color Shift Keying (4-CSK) Constellation Mapping in RGB Space</w:t>
      </w:r>
    </w:p>
    <w:p>
      <w:pPr>
        <w:jc w:val="both"/>
        <w:spacing w:before="0" w:after="120" w:line="360" w:lineRule="auto"/>
        <w:jc w:val="both"/>
      </w:pPr>
      <w:r>
        <w:rPr>
          <w:rFonts w:ascii="Times New Roman" w:hAnsi="Times New Roman"/>
          <w:sz w:val="24"/>
        </w:rPr>
        <w:t>The IEEE 802.15.7 standard establishes Color Shift Keying (CSK) as the premier modulation scheme for multi-color optical transmitters. Unlike traditional intensity modulation where optical power fluctuates across time, CSK modulates data into the instantaneous spectral color coordinates of the emitted light while maintaining strictly constant overall luminous intensity: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I_R(t) + I_G(t) + I_B(t) = I_{total} = 1.0, \quad \forall t \ge 0</w:t>
            </w:r>
          </w:p>
        </w:tc>
        <w:tc>
          <w:tcPr>
            <w:tcW w:type="dxa" w:w="1296"/>
          </w:tcPr>
          <w:p>
            <w:pPr>
              <w:jc w:val="right"/>
              <w:spacing w:before="60" w:after="60"/>
            </w:pPr>
            <w:r>
              <w:rPr>
                <w:rFonts w:ascii="Times New Roman" w:hAnsi="Times New Roman"/>
                <w:b/>
                <w:sz w:val="22"/>
              </w:rPr>
              <w:t>... (3.5)</w:t>
            </w:r>
          </w:p>
        </w:tc>
      </w:tr>
    </w:tbl>
    <w:p>
      <w:pPr>
        <w:spacing w:before="0" w:after="80"/>
      </w:pPr>
    </w:p>
    <w:p>
      <w:pPr>
        <w:jc w:val="both"/>
        <w:spacing w:before="0" w:after="120" w:line="360" w:lineRule="auto"/>
        <w:jc w:val="both"/>
      </w:pPr>
      <w:r>
        <w:rPr>
          <w:rFonts w:ascii="Times New Roman" w:hAnsi="Times New Roman"/>
          <w:sz w:val="24"/>
        </w:rPr>
        <w:t>This constant total intensity property eliminates human-perceptible optical flicker and prevents thermal stress on the LED driver circuits. In 4-CSK, each optical symbol encodes exactly two bits of information (log_2(4) = 2 bits/symbol), mapping two consecutive bits b_0 b_1 into one of four distinct points in 3D RGB space:</w:t>
      </w:r>
    </w:p>
    <w:p>
      <w:pPr>
        <w:jc w:val="left"/>
        <w:spacing w:before="160" w:after="60"/>
      </w:pPr>
      <w:r>
        <w:rPr>
          <w:rFonts w:ascii="Times New Roman" w:hAnsi="Times New Roman"/>
          <w:b/>
          <w:sz w:val="22"/>
        </w:rPr>
        <w:t>Table 3.3  IEEE 802.15.7 Standard 4-CSK Chromatic Constellation Coordinates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1505"/>
        <w:gridCol w:w="1505"/>
        <w:gridCol w:w="1505"/>
        <w:gridCol w:w="1505"/>
        <w:gridCol w:w="1505"/>
        <w:gridCol w:w="1505"/>
      </w:tblGrid>
      <w:tr>
        <w:tc>
          <w:tcPr>
            <w:tcW w:type="dxa" w:w="216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Symbol Index</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Bit Pair</w:t>
            </w:r>
          </w:p>
        </w:tc>
        <w:tc>
          <w:tcPr>
            <w:tcW w:type="dxa" w:w="187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Red Intensity (I_R)</w:t>
            </w:r>
          </w:p>
        </w:tc>
        <w:tc>
          <w:tcPr>
            <w:tcW w:type="dxa" w:w="187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Green Intensity (I_G)</w:t>
            </w:r>
          </w:p>
        </w:tc>
        <w:tc>
          <w:tcPr>
            <w:tcW w:type="dxa" w:w="187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Blue Intensity (I_B)</w:t>
            </w:r>
          </w:p>
        </w:tc>
        <w:tc>
          <w:tcPr>
            <w:tcW w:type="dxa" w:w="144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Sum Intensity</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Symbol 0 (S0)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0.70</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0.20</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0.10</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1.000</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Symbol 1 (S1)</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01</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0.10</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0.80</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0.10</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1.000</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Symbol 2 (S2)</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10</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0.20</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0.10</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0.70</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1.000</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Symbol 3 (S3)</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11</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0.40</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0.40</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0.20</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1.000</w:t>
            </w:r>
          </w:p>
        </w:tc>
      </w:tr>
    </w:tbl>
    <w:p>
      <w:pPr>
        <w:spacing w:before="0" w:after="120"/>
      </w:pPr>
    </w:p>
    <w:p>
      <w:pPr>
        <w:spacing w:before="160" w:after="80"/>
        <w:jc w:val="center"/>
      </w:pPr>
      <w:r>
        <w:drawing>
          <wp:inline xmlns:a="http://schemas.openxmlformats.org/drawingml/2006/main" xmlns:pic="http://schemas.openxmlformats.org/drawingml/2006/picture">
            <wp:extent cx="5303520" cy="4640580"/>
            <wp:docPr id="3" name="Picture 3"/>
            <wp:cNvGraphicFramePr>
              <a:graphicFrameLocks noChangeAspect="1"/>
            </wp:cNvGraphicFramePr>
            <a:graphic>
              <a:graphicData uri="http://schemas.openxmlformats.org/drawingml/2006/picture">
                <pic:pic>
                  <pic:nvPicPr>
                    <pic:cNvPr id="0" name="fig1_csk_constellation_3d.png"/>
                    <pic:cNvPicPr/>
                  </pic:nvPicPr>
                  <pic:blipFill>
                    <a:blip r:embed="rId15"/>
                    <a:stretch>
                      <a:fillRect/>
                    </a:stretch>
                  </pic:blipFill>
                  <pic:spPr>
                    <a:xfrm>
                      <a:off x="0" y="0"/>
                      <a:ext cx="5303520" cy="4640580"/>
                    </a:xfrm>
                    <a:prstGeom prst="rect"/>
                  </pic:spPr>
                </pic:pic>
              </a:graphicData>
            </a:graphic>
          </wp:inline>
        </w:drawing>
      </w:r>
    </w:p>
    <w:p>
      <w:pPr>
        <w:jc w:val="center"/>
        <w:spacing w:before="40" w:after="200"/>
        <w:jc w:val="center"/>
      </w:pPr>
      <w:r>
        <w:rPr>
          <w:rFonts w:ascii="Times New Roman" w:hAnsi="Times New Roman"/>
          <w:b/>
          <w:sz w:val="21"/>
        </w:rPr>
        <w:t>Figure 3.1  IEEE 802.15.7 Standard 4-CSK Constellation in 3D Optical RGB Color Space</w:t>
      </w:r>
    </w:p>
    <w:p>
      <w:pPr>
        <w:jc w:val="left"/>
        <w:spacing w:before="240" w:after="80" w:line="360" w:lineRule="auto"/>
        <w:jc w:val="left"/>
      </w:pPr>
      <w:r>
        <w:rPr>
          <w:rFonts w:ascii="Times New Roman" w:hAnsi="Times New Roman"/>
          <w:b/>
          <w:sz w:val="26"/>
        </w:rPr>
        <w:t>3.5 Optical Crosstalk and Inter-Channel Interference Matrix</w:t>
      </w:r>
    </w:p>
    <w:p>
      <w:pPr>
        <w:jc w:val="both"/>
        <w:spacing w:before="0" w:after="120" w:line="360" w:lineRule="auto"/>
        <w:jc w:val="both"/>
      </w:pPr>
      <w:r>
        <w:rPr>
          <w:rFonts w:ascii="Times New Roman" w:hAnsi="Times New Roman"/>
          <w:sz w:val="24"/>
        </w:rPr>
        <w:t>A critical physical-layer impairment in practical multi-color VLC systems is optical crosstalk. Although red, green, and blue LEDs emit at distinct peak wavelengths (625 nm, 530 nm, 470 nm), their spectral power distributions (SPDs) exhibit finite emission bandwidths (typically 20 nm to 40 nm full-width at half-maximum). Furthermore, commercial optical bandpass filters placed before the photodiode receivers exhibit imperfect out-of-band rejection.</w:t>
      </w:r>
    </w:p>
    <w:p>
      <w:pPr>
        <w:jc w:val="both"/>
        <w:spacing w:before="0" w:after="120" w:line="360" w:lineRule="auto"/>
        <w:jc w:val="both"/>
      </w:pPr>
      <w:r>
        <w:rPr>
          <w:rFonts w:ascii="Times New Roman" w:hAnsi="Times New Roman"/>
          <w:sz w:val="24"/>
        </w:rPr>
        <w:t>As a result, optical emission from the green LED leaks partially into the red and blue photodetector channels, and vice versa. This inter-channel interference is modeled mathematically via a 3x3 optical crosstalk matrix H_{xtalk}:</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\begin{bmatrix} y_R \\ y_G \\ y_B \end{bmatrix} = \begin{bmatrix} h_{RR} &amp; h_{RG} &amp; h_{RB} \\ h_{GR} &amp; h_{GG} &amp; h_{GB} \\ h_{BR} &amp; h_{BG} &amp; h_{BB} \end{bmatrix} \begin{bmatrix} x_R \\ x_G \\ x_B \end{bmatrix} + \begin{bmatrix} n_R \\ n_G \\ n_B \end{bmatrix}</w:t>
            </w:r>
          </w:p>
        </w:tc>
        <w:tc>
          <w:tcPr>
            <w:tcW w:type="dxa" w:w="1296"/>
          </w:tcPr>
          <w:p>
            <w:pPr>
              <w:jc w:val="right"/>
              <w:spacing w:before="60" w:after="60"/>
            </w:pPr>
            <w:r>
              <w:rPr>
                <w:rFonts w:ascii="Times New Roman" w:hAnsi="Times New Roman"/>
                <w:b/>
                <w:sz w:val="22"/>
              </w:rPr>
              <w:t>... (3.6)</w:t>
            </w:r>
          </w:p>
        </w:tc>
      </w:tr>
    </w:tbl>
    <w:p>
      <w:pPr>
        <w:spacing w:before="0" w:after="80"/>
      </w:pPr>
    </w:p>
    <w:p>
      <w:pPr>
        <w:jc w:val="left"/>
        <w:spacing w:before="160" w:after="60"/>
      </w:pPr>
      <w:r>
        <w:rPr>
          <w:rFonts w:ascii="Times New Roman" w:hAnsi="Times New Roman"/>
          <w:b/>
          <w:sz w:val="22"/>
        </w:rPr>
        <w:t>Table 3.4  Optical Crosstalk Coupling Coefficients for Tri-Chromatic RGB Emitters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2257"/>
        <w:gridCol w:w="2257"/>
        <w:gridCol w:w="2257"/>
        <w:gridCol w:w="2257"/>
      </w:tblGrid>
      <w:tr>
        <w:tc>
          <w:tcPr>
            <w:tcW w:type="dxa" w:w="216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Coupling Channel</w:t>
            </w:r>
          </w:p>
        </w:tc>
        <w:tc>
          <w:tcPr>
            <w:tcW w:type="dxa" w:w="1728"/>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Coupling Coefficient</w:t>
            </w:r>
          </w:p>
        </w:tc>
        <w:tc>
          <w:tcPr>
            <w:tcW w:type="dxa" w:w="331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Physical Source</w:t>
            </w:r>
          </w:p>
        </w:tc>
        <w:tc>
          <w:tcPr>
            <w:tcW w:type="dxa" w:w="216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Leakage Magnitude</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h_{RR} (Direct Red)</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1.000</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In-band red transmission</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Primary signal path</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h_{RG} (Green into Red)</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0.080</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Green emission tail in red BPF</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Moderate crosstalk</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h_{RB} (Blue into Red)</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0.020</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Blue emission tail in red BPF</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Minor crosstalk</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h_{GR} (Red into Green)</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0.050</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Red side-lobe in green BPF</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Minor crosstalk</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h_{GG} (Direct Green)</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1.000</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In-band green transmission</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Primary signal path</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h_{GB} (Blue into Green)</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0.090</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Blue tail in green BPF</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Moderate crosstalk</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h_{BR} (Red into Blue)</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0.010</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Red side-lobe in blue BPF</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Negligible crosstalk</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h_{BG} (Green into Blue)</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0.070</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Green tail in blue BPF</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Moderate crosstalk</w:t>
            </w:r>
          </w:p>
        </w:tc>
      </w:tr>
      <w:tr>
        <w:tc>
          <w:tcPr>
            <w:tcW w:type="dxa" w:w="2160"/>
            <w:tcMar>
              <w:top w:w="60" w:type="dxa"/>
              <w:bottom w:w="60" w:type="dxa"/>
              <w:left w:w="100" w:type="dxa"/>
              <w:right w:w="100" w:type="dxa"/>
            </w:tcMar>
            <w:vAlign w:val="center"/>
          </w:tcPr>
          <w:p>
            <w:pPr>
              <w:jc w:val="left"/>
              <w:spacing w:before="60" w:after="60"/>
            </w:pPr>
            <w:r/>
            <w:r>
              <w:rPr>
                <w:rFonts w:ascii="Times New Roman" w:hAnsi="Times New Roman"/>
                <w:sz w:val="20"/>
              </w:rPr>
              <w:t>h_{BB} (Direct Blue)</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1.000</w:t>
            </w:r>
          </w:p>
        </w:tc>
        <w:tc>
          <w:tcPr>
            <w:tcW w:type="dxa" w:w="3312"/>
            <w:tcMar>
              <w:top w:w="60" w:type="dxa"/>
              <w:bottom w:w="60" w:type="dxa"/>
              <w:left w:w="100" w:type="dxa"/>
              <w:right w:w="100" w:type="dxa"/>
            </w:tcMar>
            <w:vAlign w:val="center"/>
          </w:tcPr>
          <w:p>
            <w:pPr>
              <w:jc w:val="center"/>
              <w:spacing w:before="60" w:after="60"/>
            </w:pPr>
            <w:r/>
            <w:r>
              <w:rPr>
                <w:rFonts w:ascii="Times New Roman" w:hAnsi="Times New Roman"/>
                <w:sz w:val="20"/>
              </w:rPr>
              <w:t>In-band blue transmission</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Primary signal path</w:t>
            </w:r>
          </w:p>
        </w:tc>
      </w:tr>
    </w:tbl>
    <w:p>
      <w:pPr>
        <w:spacing w:before="0" w:after="120"/>
      </w:pPr>
    </w:p>
    <w:p>
      <w:pPr>
        <w:jc w:val="left"/>
        <w:spacing w:before="240" w:after="80" w:line="360" w:lineRule="auto"/>
        <w:jc w:val="left"/>
      </w:pPr>
      <w:r>
        <w:rPr>
          <w:rFonts w:ascii="Times New Roman" w:hAnsi="Times New Roman"/>
          <w:b/>
          <w:sz w:val="26"/>
        </w:rPr>
        <w:t>3.6 Optical Dimming Mechanics and Constant Illuminance Invariance</w:t>
      </w:r>
    </w:p>
    <w:p>
      <w:pPr>
        <w:jc w:val="both"/>
        <w:spacing w:before="0" w:after="120" w:line="360" w:lineRule="auto"/>
        <w:jc w:val="both"/>
      </w:pPr>
      <w:r>
        <w:rPr>
          <w:rFonts w:ascii="Times New Roman" w:hAnsi="Times New Roman"/>
          <w:sz w:val="24"/>
        </w:rPr>
        <w:t>Indoor luminaires must satisfy dynamic illumination preferences specified by building occupants, such as dimming down room lights during presentations or late-night operations. In analog dimming, the transmitter scales the average forward bias current of the RGB LEDs by a dimming factor gamma_{dim} in (0.0, 1.0]:</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\mathbf{s}_{tx}(t) = \gamma_{dim} \cdot \mathbf{s}_k(t), \quad \gamma_{dim} \in [0.1, 1.0]</w:t>
            </w:r>
          </w:p>
        </w:tc>
        <w:tc>
          <w:tcPr>
            <w:tcW w:type="dxa" w:w="1296"/>
          </w:tcPr>
          <w:p>
            <w:pPr>
              <w:jc w:val="right"/>
              <w:spacing w:before="60" w:after="60"/>
            </w:pPr>
            <w:r>
              <w:rPr>
                <w:rFonts w:ascii="Times New Roman" w:hAnsi="Times New Roman"/>
                <w:b/>
                <w:sz w:val="22"/>
              </w:rPr>
              <w:t>... (3.7)</w:t>
            </w:r>
          </w:p>
        </w:tc>
      </w:tr>
    </w:tbl>
    <w:p>
      <w:pPr>
        <w:spacing w:before="0" w:after="80"/>
      </w:pPr>
    </w:p>
    <w:p>
      <w:pPr>
        <w:jc w:val="both"/>
        <w:spacing w:before="0" w:after="120" w:line="360" w:lineRule="auto"/>
        <w:jc w:val="both"/>
      </w:pPr>
      <w:r>
        <w:rPr>
          <w:rFonts w:ascii="Times New Roman" w:hAnsi="Times New Roman"/>
          <w:sz w:val="24"/>
        </w:rPr>
        <w:t>While reducing gamma_{dim} reduces room illuminance proportionally, it simultaneously scales down the Euclidean distance separating constellation points in signal space, causing a catastrophic reduction in effective receiver SNR:</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\text{SNR}_{dimmed} = \text{SNR}_{nominal} + 20 \log_{10}(\gamma_{dim}) \quad [\text{dB}]</w:t>
            </w:r>
          </w:p>
        </w:tc>
        <w:tc>
          <w:tcPr>
            <w:tcW w:type="dxa" w:w="1296"/>
          </w:tcPr>
          <w:p>
            <w:pPr>
              <w:jc w:val="right"/>
              <w:spacing w:before="60" w:after="60"/>
            </w:pPr>
            <w:r>
              <w:rPr>
                <w:rFonts w:ascii="Times New Roman" w:hAnsi="Times New Roman"/>
                <w:b/>
                <w:sz w:val="22"/>
              </w:rPr>
              <w:t>... (3.8)</w:t>
            </w:r>
          </w:p>
        </w:tc>
      </w:tr>
    </w:tbl>
    <w:p>
      <w:pPr>
        <w:spacing w:before="0" w:after="80"/>
      </w:pPr>
    </w:p>
    <w:p>
      <w:pPr>
        <w:jc w:val="both"/>
        <w:spacing w:before="0" w:after="120" w:line="360" w:lineRule="auto"/>
        <w:jc w:val="both"/>
      </w:pPr>
      <w:r>
        <w:rPr>
          <w:rFonts w:ascii="Times New Roman" w:hAnsi="Times New Roman"/>
          <w:sz w:val="24"/>
        </w:rPr>
        <w:t>For example, dimming the light to 30% illuminance (gamma_{dim} = 0.3) induces an immediate 10.46 dB drop in received optical SNR. Without adaptive coding, an active connection would experience severe packet loss.</w:t>
      </w:r>
    </w:p>
    <w:p>
      <w:pPr>
        <w:jc w:val="left"/>
        <w:spacing w:before="240" w:after="80" w:line="360" w:lineRule="auto"/>
        <w:jc w:val="left"/>
      </w:pPr>
      <w:r>
        <w:rPr>
          <w:rFonts w:ascii="Times New Roman" w:hAnsi="Times New Roman"/>
          <w:b/>
          <w:sz w:val="26"/>
        </w:rPr>
        <w:t>3.7 Demapping Dynamics and Automatic Gain Control (AGC)</w:t>
      </w:r>
    </w:p>
    <w:p>
      <w:pPr>
        <w:jc w:val="both"/>
        <w:spacing w:before="0" w:after="120" w:line="360" w:lineRule="auto"/>
        <w:jc w:val="both"/>
      </w:pPr>
      <w:r>
        <w:rPr>
          <w:rFonts w:ascii="Times New Roman" w:hAnsi="Times New Roman"/>
          <w:sz w:val="24"/>
        </w:rPr>
        <w:t>At the optical receiver, the front-end amplifier incorporates an Automatic Gain Control (AGC) circuit to normalize the received optical signal vector prior to constellation demapping. The AGC computes the total received power across the RGB channels and scales the vector so that its components sum to unity: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\widehat{\mathbf{y}} = \frac{\mathbf{y}_{rx}}{\sum_{c \in \{R, G, B\}} y_{rx, c}}</w:t>
            </w:r>
          </w:p>
        </w:tc>
        <w:tc>
          <w:tcPr>
            <w:tcW w:type="dxa" w:w="1296"/>
          </w:tcPr>
          <w:p>
            <w:pPr>
              <w:jc w:val="right"/>
              <w:spacing w:before="60" w:after="60"/>
            </w:pPr>
            <w:r>
              <w:rPr>
                <w:rFonts w:ascii="Times New Roman" w:hAnsi="Times New Roman"/>
                <w:b/>
                <w:sz w:val="22"/>
              </w:rPr>
              <w:t>... (3.9)</w:t>
            </w:r>
          </w:p>
        </w:tc>
      </w:tr>
    </w:tbl>
    <w:p>
      <w:pPr>
        <w:spacing w:before="0" w:after="80"/>
      </w:pPr>
    </w:p>
    <w:p>
      <w:pPr>
        <w:jc w:val="both"/>
        <w:spacing w:before="0" w:after="120" w:line="360" w:lineRule="auto"/>
        <w:jc w:val="both"/>
      </w:pPr>
      <w:r>
        <w:rPr>
          <w:rFonts w:ascii="Times New Roman" w:hAnsi="Times New Roman"/>
          <w:sz w:val="24"/>
        </w:rPr>
        <w:t>Following AGC normalization, the receiver executes a minimum Euclidean distance nearest-neighbor demapping decision to recover the transmitted symbol index hat{m}:</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\widehat{m} = \arg\min_{m \in \{0, 1, 2, 3\}} \| \widehat{\mathbf{y}} - \mathbf{s}_m \|^2</w:t>
            </w:r>
          </w:p>
        </w:tc>
        <w:tc>
          <w:tcPr>
            <w:tcW w:type="dxa" w:w="1296"/>
          </w:tcPr>
          <w:p>
            <w:pPr>
              <w:jc w:val="right"/>
              <w:spacing w:before="60" w:after="60"/>
            </w:pPr>
            <w:r>
              <w:rPr>
                <w:rFonts w:ascii="Times New Roman" w:hAnsi="Times New Roman"/>
                <w:b/>
                <w:sz w:val="22"/>
              </w:rPr>
              <w:t>... (3.10)</w:t>
            </w:r>
          </w:p>
        </w:tc>
      </w:tr>
    </w:tbl>
    <w:p>
      <w:pPr>
        <w:spacing w:before="0" w:after="80"/>
      </w:pPr>
    </w:p>
    <w:p>
      <w:r>
        <w:br w:type="page"/>
      </w:r>
    </w:p>
    <w:p>
      <w:pPr>
        <w:jc w:val="left"/>
        <w:spacing w:before="240" w:after="240" w:line="360" w:lineRule="auto"/>
        <w:jc w:val="left"/>
      </w:pPr>
      <w:r>
        <w:rPr>
          <w:rFonts w:ascii="Times New Roman" w:hAnsi="Times New Roman"/>
          <w:b/>
          <w:sz w:val="28"/>
        </w:rPr>
        <w:t>CHAPTER 4</w:t>
        <w:br/>
      </w:r>
      <w:r>
        <w:rPr>
          <w:rFonts w:ascii="Times New Roman" w:hAnsi="Times New Roman"/>
          <w:b/>
          <w:sz w:val="28"/>
        </w:rPr>
        <w:t>FRAME ASSEMBLY AND REED-SOLOMON CODEC DESIGN</w:t>
      </w:r>
    </w:p>
    <w:p>
      <w:pPr>
        <w:jc w:val="left"/>
        <w:spacing w:before="240" w:after="80" w:line="360" w:lineRule="auto"/>
        <w:jc w:val="left"/>
      </w:pPr>
      <w:r>
        <w:rPr>
          <w:rFonts w:ascii="Times New Roman" w:hAnsi="Times New Roman"/>
          <w:b/>
          <w:sz w:val="26"/>
        </w:rPr>
        <w:t>4.1 Protocol Stack and Frame Architecture Specification</w:t>
      </w:r>
    </w:p>
    <w:p>
      <w:pPr>
        <w:jc w:val="both"/>
        <w:spacing w:before="0" w:after="120" w:line="360" w:lineRule="auto"/>
        <w:jc w:val="both"/>
      </w:pPr>
      <w:r>
        <w:rPr>
          <w:rFonts w:ascii="Times New Roman" w:hAnsi="Times New Roman"/>
          <w:sz w:val="24"/>
        </w:rPr>
        <w:t>In accordance with standard computer network layering principles, our VLC simulator organizes communication into distinct Physical and Data Link layers. The Data Link layer encapsulates unencoded application payload bytes into structured frames equipped with synchronization preambles, metadata headers, and verification checksums.</w:t>
      </w:r>
    </w:p>
    <w:p>
      <w:pPr>
        <w:jc w:val="both"/>
        <w:spacing w:before="0" w:after="120" w:line="360" w:lineRule="auto"/>
        <w:jc w:val="both"/>
      </w:pPr>
      <w:r>
        <w:rPr>
          <w:rFonts w:ascii="Times New Roman" w:hAnsi="Times New Roman"/>
          <w:sz w:val="24"/>
        </w:rPr>
        <w:t>Each frame consists of exactly three functional components: an 8-byte Preamble/Header, a variable-length Reed-Solomon protected Payload block, and a 4-byte CRC32 error-detection Tail. The overall frame structure is defined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L_{total} = L_{hdr} + L_{payload} + L_{tail} = 8 + K + 4 = 12 + K \quad [\text{Bytes}]</w:t>
            </w:r>
          </w:p>
        </w:tc>
        <w:tc>
          <w:tcPr>
            <w:tcW w:type="dxa" w:w="1296"/>
          </w:tcPr>
          <w:p>
            <w:pPr>
              <w:jc w:val="right"/>
              <w:spacing w:before="60" w:after="60"/>
            </w:pPr>
            <w:r>
              <w:rPr>
                <w:rFonts w:ascii="Times New Roman" w:hAnsi="Times New Roman"/>
                <w:b/>
                <w:sz w:val="22"/>
              </w:rPr>
              <w:t>... (4.1)</w:t>
            </w:r>
          </w:p>
        </w:tc>
      </w:tr>
    </w:tbl>
    <w:p>
      <w:pPr>
        <w:spacing w:before="0" w:after="80"/>
      </w:pPr>
    </w:p>
    <w:p>
      <w:pPr>
        <w:spacing w:before="160" w:after="80"/>
        <w:jc w:val="center"/>
      </w:pPr>
      <w:r>
        <w:drawing>
          <wp:inline xmlns:a="http://schemas.openxmlformats.org/drawingml/2006/main" xmlns:pic="http://schemas.openxmlformats.org/drawingml/2006/picture">
            <wp:extent cx="5303520" cy="1484986"/>
            <wp:docPr id="4" name="Picture 4"/>
            <wp:cNvGraphicFramePr>
              <a:graphicFrameLocks noChangeAspect="1"/>
            </wp:cNvGraphicFramePr>
            <a:graphic>
              <a:graphicData uri="http://schemas.openxmlformats.org/drawingml/2006/picture">
                <pic:pic>
                  <pic:nvPicPr>
                    <pic:cNvPr id="0" name="fig_frame_format.png"/>
                    <pic:cNvPicPr/>
                  </pic:nvPicPr>
                  <pic:blipFill>
                    <a:blip r:embed="rId16"/>
                    <a:stretch>
                      <a:fillRect/>
                    </a:stretch>
                  </pic:blipFill>
                  <pic:spPr>
                    <a:xfrm>
                      <a:off x="0" y="0"/>
                      <a:ext cx="5303520" cy="1484986"/>
                    </a:xfrm>
                    <a:prstGeom prst="rect"/>
                  </pic:spPr>
                </pic:pic>
              </a:graphicData>
            </a:graphic>
          </wp:inline>
        </w:drawing>
      </w:r>
    </w:p>
    <w:p>
      <w:pPr>
        <w:jc w:val="center"/>
        <w:spacing w:before="40" w:after="200"/>
        <w:jc w:val="center"/>
      </w:pPr>
      <w:r>
        <w:rPr>
          <w:rFonts w:ascii="Times New Roman" w:hAnsi="Times New Roman"/>
          <w:b/>
          <w:sz w:val="21"/>
        </w:rPr>
        <w:t>Figure 4.1  Structured Frame Format Showing Header, Variable Payload, and CRC32 Tail</w:t>
      </w:r>
    </w:p>
    <w:p>
      <w:pPr>
        <w:jc w:val="left"/>
        <w:spacing w:before="240" w:after="80" w:line="360" w:lineRule="auto"/>
        <w:jc w:val="left"/>
      </w:pPr>
      <w:r>
        <w:rPr>
          <w:rFonts w:ascii="Times New Roman" w:hAnsi="Times New Roman"/>
          <w:b/>
          <w:sz w:val="26"/>
        </w:rPr>
        <w:t>4.2 Preamble, Frame Header, and CRC32 Checksum Encoding</w:t>
      </w:r>
    </w:p>
    <w:p>
      <w:pPr>
        <w:jc w:val="both"/>
        <w:spacing w:before="0" w:after="120" w:line="360" w:lineRule="auto"/>
        <w:jc w:val="both"/>
      </w:pPr>
      <w:r>
        <w:rPr>
          <w:rFonts w:ascii="Times New Roman" w:hAnsi="Times New Roman"/>
          <w:sz w:val="24"/>
        </w:rPr>
        <w:t>Table 4.1 specifies the granular bit-level layout of the 8-byte frame header and 4-byte tail fields.</w:t>
      </w:r>
    </w:p>
    <w:p>
      <w:pPr>
        <w:jc w:val="left"/>
        <w:spacing w:before="160" w:after="60"/>
      </w:pPr>
      <w:r>
        <w:rPr>
          <w:rFonts w:ascii="Times New Roman" w:hAnsi="Times New Roman"/>
          <w:b/>
          <w:sz w:val="22"/>
        </w:rPr>
        <w:t>Table 4.1  Complete 12-Byte Frame Header and Tail Field Bit-Level Specification</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1806"/>
        <w:gridCol w:w="1806"/>
        <w:gridCol w:w="1806"/>
        <w:gridCol w:w="1806"/>
        <w:gridCol w:w="1806"/>
      </w:tblGrid>
      <w:tr>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Field Name</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Byte Offset</w:t>
            </w:r>
          </w:p>
        </w:tc>
        <w:tc>
          <w:tcPr>
            <w:tcW w:type="dxa" w:w="129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Size (Bytes)</w:t>
            </w:r>
          </w:p>
        </w:tc>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Data Type</w:t>
            </w:r>
          </w:p>
        </w:tc>
        <w:tc>
          <w:tcPr>
            <w:tcW w:type="dxa" w:w="259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Functional Protocol Role</w:t>
            </w:r>
          </w:p>
        </w:tc>
      </w:tr>
      <w:tr>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PREAMBLE_1</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Byte 0</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1</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uint8 (0xAA)</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Receiver symbol timing synchronization</w:t>
            </w:r>
          </w:p>
        </w:tc>
      </w:tr>
      <w:tr>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PREAMBLE_2</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Byte 1</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1</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uint8 (0x55)</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Alternating transition bit-lock acquisition</w:t>
            </w:r>
          </w:p>
        </w:tc>
      </w:tr>
      <w:tr>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FRAME_ID</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Bytes 2-3</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2</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uint16 (Big-Endian)</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Sequential frame indexing and loss tracking</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RS_PROFILE_ID</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Byte 4</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1</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uint8 (0 to 4)</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Indicates active Reed-Solomon code profile</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PAYLOAD_LEN</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Bytes 5-6</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2</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uint16 (Big-Endian)</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Valid unpadded application payload length</w:t>
            </w:r>
          </w:p>
        </w:tc>
      </w:tr>
      <w:tr>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FLAGS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Byte 7</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1</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uint8 (Bitmask)</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Control flags (Retransmit, Escalation, Dimming)</w:t>
            </w:r>
          </w:p>
        </w:tc>
      </w:tr>
      <w:tr>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PAYLOAD</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Bytes 8 to (8+K-1)</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K</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Byte Array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Application data protected by RS parity</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CRC32_CHECKSUM</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Bytes (8+K) to (11+K)</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4</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uint32 (Big-Endian)</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IEEE 802.3 32-bit frame verification checksum</w:t>
            </w:r>
          </w:p>
        </w:tc>
      </w:tr>
    </w:tbl>
    <w:p>
      <w:pPr>
        <w:spacing w:before="0" w:after="120"/>
      </w:pPr>
    </w:p>
    <w:p>
      <w:pPr>
        <w:jc w:val="both"/>
        <w:spacing w:before="0" w:after="120" w:line="360" w:lineRule="auto"/>
        <w:jc w:val="both"/>
      </w:pPr>
      <w:r>
        <w:rPr>
          <w:rFonts w:ascii="Times New Roman" w:hAnsi="Times New Roman"/>
          <w:sz w:val="24"/>
        </w:rPr>
        <w:t>The 32-bit Cyclic Redundancy Check (CRC32) tail is computed over the entire frame header and payload bytes prior to transmission, utilizing the standard IEEE 802.3 Ethernet generator polynomial:</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P_{CRC}(x) = x^{32} + x^{26} + x^{23} + x^{22} + x^{16} + x^{12} + x^{11} + x^{10} + x^8 + x^7 + x^5 + x^4 + x^2 + x + 1</w:t>
            </w:r>
          </w:p>
        </w:tc>
        <w:tc>
          <w:tcPr>
            <w:tcW w:type="dxa" w:w="1296"/>
          </w:tcPr>
          <w:p>
            <w:pPr>
              <w:jc w:val="right"/>
              <w:spacing w:before="60" w:after="60"/>
            </w:pPr>
            <w:r>
              <w:rPr>
                <w:rFonts w:ascii="Times New Roman" w:hAnsi="Times New Roman"/>
                <w:b/>
                <w:sz w:val="22"/>
              </w:rPr>
              <w:t>... (4.2)</w:t>
            </w:r>
          </w:p>
        </w:tc>
      </w:tr>
    </w:tbl>
    <w:p>
      <w:pPr>
        <w:spacing w:before="0" w:after="80"/>
      </w:pPr>
    </w:p>
    <w:p>
      <w:pPr>
        <w:jc w:val="both"/>
        <w:spacing w:before="0" w:after="120" w:line="360" w:lineRule="auto"/>
        <w:jc w:val="both"/>
      </w:pPr>
      <w:r>
        <w:rPr>
          <w:rFonts w:ascii="Times New Roman" w:hAnsi="Times New Roman"/>
          <w:sz w:val="24"/>
        </w:rPr>
        <w:t>At the receiver, after Reed-Solomon error correction has repaired corrupted symbols, the CRC32 checksum is recalculated across the recovered frame. If the calculated CRC32 matches the received tail, the frame is declared error-free and passed to the application layer. If a mismatch occurs, the frame is marked as corrupted and dropped, triggering the adaptive controller escalation mechanism.</w:t>
      </w:r>
    </w:p>
    <w:p>
      <w:pPr>
        <w:jc w:val="left"/>
        <w:spacing w:before="240" w:after="80" w:line="360" w:lineRule="auto"/>
        <w:jc w:val="left"/>
      </w:pPr>
      <w:r>
        <w:rPr>
          <w:rFonts w:ascii="Times New Roman" w:hAnsi="Times New Roman"/>
          <w:b/>
          <w:sz w:val="26"/>
        </w:rPr>
        <w:t>4.3 Payload Chunking, Block Alignment, and Zero Padding Strategies</w:t>
      </w:r>
    </w:p>
    <w:p>
      <w:pPr>
        <w:jc w:val="both"/>
        <w:spacing w:before="0" w:after="120" w:line="360" w:lineRule="auto"/>
        <w:jc w:val="both"/>
      </w:pPr>
      <w:r>
        <w:rPr>
          <w:rFonts w:ascii="Times New Roman" w:hAnsi="Times New Roman"/>
          <w:sz w:val="24"/>
        </w:rPr>
        <w:t>Standard Reed-Solomon codes operate on fixed-size blocks of N = 255 symbols. However, application messages are arbitrary in size (e.g., 64 bytes, 500 bytes, or 10,000 bytes). To bridge this operational gap, the frame assembly engine executes payload chunking and deterministic zero-padding.</w:t>
      </w:r>
    </w:p>
    <w:p>
      <w:pPr>
        <w:jc w:val="both"/>
        <w:spacing w:before="0" w:after="120" w:line="360" w:lineRule="auto"/>
        <w:jc w:val="both"/>
      </w:pPr>
      <w:r>
        <w:rPr>
          <w:rFonts w:ascii="Times New Roman" w:hAnsi="Times New Roman"/>
          <w:sz w:val="24"/>
        </w:rPr>
        <w:t>Let L_{app} denote the total size of an outgoing application message. The engine segments the message into chunks of size at most K bytes, where K is the active payload capacity of the selected RS profile. If the final chunk contains fewer than K bytes (L_{chunk} &lt; K), the chunk is zero-padded up to K bytes for Reed-Solomon encoding. The actual valid length L_{chunk} is stored in the PAYLOAD_LEN header field, ensuring the receiver strips off the zero-padding seamlessly.</w:t>
      </w:r>
    </w:p>
    <w:p>
      <w:pPr>
        <w:jc w:val="left"/>
        <w:spacing w:before="240" w:after="80" w:line="360" w:lineRule="auto"/>
        <w:jc w:val="left"/>
      </w:pPr>
      <w:r>
        <w:rPr>
          <w:rFonts w:ascii="Times New Roman" w:hAnsi="Times New Roman"/>
          <w:b/>
          <w:sz w:val="26"/>
        </w:rPr>
        <w:t>4.4 Reed-Solomon Code Profiles and Redundancy Overhead Analysis</w:t>
      </w:r>
    </w:p>
    <w:p>
      <w:pPr>
        <w:jc w:val="both"/>
        <w:spacing w:before="0" w:after="120" w:line="360" w:lineRule="auto"/>
        <w:jc w:val="both"/>
      </w:pPr>
      <w:r>
        <w:rPr>
          <w:rFonts w:ascii="Times New Roman" w:hAnsi="Times New Roman"/>
          <w:sz w:val="24"/>
        </w:rPr>
        <w:t>To provide fine-grained adaptive granularity, the simulator defines five distinct Reed-Solomon code profiles spanning uncoded transmission to robust high-redundancy protection.</w:t>
      </w:r>
    </w:p>
    <w:p>
      <w:pPr>
        <w:jc w:val="left"/>
        <w:spacing w:before="160" w:after="60"/>
      </w:pPr>
      <w:r>
        <w:rPr>
          <w:rFonts w:ascii="Times New Roman" w:hAnsi="Times New Roman"/>
          <w:b/>
          <w:sz w:val="22"/>
        </w:rPr>
        <w:t>Table 4.2  Reed-Solomon Profile Specifications, Block Lengths, and Redundancy Ratios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1290"/>
        <w:gridCol w:w="1290"/>
        <w:gridCol w:w="1290"/>
        <w:gridCol w:w="1290"/>
        <w:gridCol w:w="1290"/>
        <w:gridCol w:w="1290"/>
        <w:gridCol w:w="1290"/>
      </w:tblGrid>
      <w:tr>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Profile Name</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RS Code</w:t>
            </w:r>
          </w:p>
        </w:tc>
        <w:tc>
          <w:tcPr>
            <w:tcW w:type="dxa" w:w="129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Payload (K)</w:t>
            </w:r>
          </w:p>
        </w:tc>
        <w:tc>
          <w:tcPr>
            <w:tcW w:type="dxa" w:w="115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Parity (2t)</w:t>
            </w:r>
          </w:p>
        </w:tc>
        <w:tc>
          <w:tcPr>
            <w:tcW w:type="dxa" w:w="129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Correction (t)</w:t>
            </w:r>
          </w:p>
        </w:tc>
        <w:tc>
          <w:tcPr>
            <w:tcW w:type="dxa" w:w="144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Redundancy Overhead</w:t>
            </w:r>
          </w:p>
        </w:tc>
        <w:tc>
          <w:tcPr>
            <w:tcW w:type="dxa" w:w="2448"/>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Target Operational Regime</w:t>
            </w:r>
          </w:p>
        </w:tc>
      </w:tr>
      <w:tr>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RS_OFF</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RS(255, 255)</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255</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0</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0 symbols</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0.00%</w:t>
            </w:r>
          </w:p>
        </w:tc>
        <w:tc>
          <w:tcPr>
            <w:tcW w:type="dxa" w:w="2448"/>
            <w:tcMar>
              <w:top w:w="60" w:type="dxa"/>
              <w:bottom w:w="60" w:type="dxa"/>
              <w:left w:w="100" w:type="dxa"/>
              <w:right w:w="100" w:type="dxa"/>
            </w:tcMar>
            <w:vAlign w:val="center"/>
          </w:tcPr>
          <w:p>
            <w:pPr>
              <w:jc w:val="center"/>
              <w:spacing w:before="60" w:after="60"/>
            </w:pPr>
            <w:r/>
            <w:r>
              <w:rPr>
                <w:rFonts w:ascii="Times New Roman" w:hAnsi="Times New Roman"/>
                <w:sz w:val="20"/>
              </w:rPr>
              <w:t>High SNR (&gt; 22.0 dB), clear channel</w:t>
            </w:r>
          </w:p>
        </w:tc>
      </w:tr>
      <w:tr>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RS_LIGHT</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RS(255, 247)</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247</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8</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4 symbols</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3.14%</w:t>
            </w:r>
          </w:p>
        </w:tc>
        <w:tc>
          <w:tcPr>
            <w:tcW w:type="dxa" w:w="2448"/>
            <w:tcMar>
              <w:top w:w="60" w:type="dxa"/>
              <w:bottom w:w="60" w:type="dxa"/>
              <w:left w:w="100" w:type="dxa"/>
              <w:right w:w="100" w:type="dxa"/>
            </w:tcMar>
            <w:vAlign w:val="center"/>
          </w:tcPr>
          <w:p>
            <w:pPr>
              <w:jc w:val="center"/>
              <w:spacing w:before="60" w:after="60"/>
            </w:pPr>
            <w:r/>
            <w:r>
              <w:rPr>
                <w:rFonts w:ascii="Times New Roman" w:hAnsi="Times New Roman"/>
                <w:sz w:val="20"/>
              </w:rPr>
              <w:t>Good SNR (18.5 - 22.0 dB)</w:t>
            </w:r>
          </w:p>
        </w:tc>
      </w:tr>
      <w:tr>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RS_MED</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RS(255, 239)</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239</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16</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8 symbols</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6.27%</w:t>
            </w:r>
          </w:p>
        </w:tc>
        <w:tc>
          <w:tcPr>
            <w:tcW w:type="dxa" w:w="2448"/>
            <w:tcMar>
              <w:top w:w="60" w:type="dxa"/>
              <w:bottom w:w="60" w:type="dxa"/>
              <w:left w:w="100" w:type="dxa"/>
              <w:right w:w="100" w:type="dxa"/>
            </w:tcMar>
            <w:vAlign w:val="center"/>
          </w:tcPr>
          <w:p>
            <w:pPr>
              <w:jc w:val="center"/>
              <w:spacing w:before="60" w:after="60"/>
            </w:pPr>
            <w:r/>
            <w:r>
              <w:rPr>
                <w:rFonts w:ascii="Times New Roman" w:hAnsi="Times New Roman"/>
                <w:sz w:val="20"/>
              </w:rPr>
              <w:t>Moderate SNR (14.5 - 18.5 dB)</w:t>
            </w:r>
          </w:p>
        </w:tc>
      </w:tr>
      <w:tr>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RS_HIGH</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RS(255, 223)</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223</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32</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16 symbols</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12.55%</w:t>
            </w:r>
          </w:p>
        </w:tc>
        <w:tc>
          <w:tcPr>
            <w:tcW w:type="dxa" w:w="2448"/>
            <w:tcMar>
              <w:top w:w="60" w:type="dxa"/>
              <w:bottom w:w="60" w:type="dxa"/>
              <w:left w:w="100" w:type="dxa"/>
              <w:right w:w="100" w:type="dxa"/>
            </w:tcMar>
            <w:vAlign w:val="center"/>
          </w:tcPr>
          <w:p>
            <w:pPr>
              <w:jc w:val="center"/>
              <w:spacing w:before="60" w:after="60"/>
            </w:pPr>
            <w:r/>
            <w:r>
              <w:rPr>
                <w:rFonts w:ascii="Times New Roman" w:hAnsi="Times New Roman"/>
                <w:sz w:val="20"/>
              </w:rPr>
              <w:t>Degraded SNR (10.0 - 14.5 dB)</w:t>
            </w:r>
          </w:p>
        </w:tc>
      </w:tr>
      <w:tr>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RS_ROBUST</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RS(255, 191)</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191</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64</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32 symbols</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25.10%</w:t>
            </w:r>
          </w:p>
        </w:tc>
        <w:tc>
          <w:tcPr>
            <w:tcW w:type="dxa" w:w="2448"/>
            <w:tcMar>
              <w:top w:w="60" w:type="dxa"/>
              <w:bottom w:w="60" w:type="dxa"/>
              <w:left w:w="100" w:type="dxa"/>
              <w:right w:w="100" w:type="dxa"/>
            </w:tcMar>
            <w:vAlign w:val="center"/>
          </w:tcPr>
          <w:p>
            <w:pPr>
              <w:jc w:val="center"/>
              <w:spacing w:before="60" w:after="60"/>
            </w:pPr>
            <w:r/>
            <w:r>
              <w:rPr>
                <w:rFonts w:ascii="Times New Roman" w:hAnsi="Times New Roman"/>
                <w:sz w:val="20"/>
              </w:rPr>
              <w:t>Severe SNR (&lt; 10.0 dB), high dimming</w:t>
            </w:r>
          </w:p>
        </w:tc>
      </w:tr>
    </w:tbl>
    <w:p>
      <w:pPr>
        <w:spacing w:before="0" w:after="120"/>
      </w:pPr>
    </w:p>
    <w:p>
      <w:pPr>
        <w:jc w:val="both"/>
        <w:spacing w:before="0" w:after="120" w:line="360" w:lineRule="auto"/>
        <w:jc w:val="both"/>
      </w:pPr>
      <w:r>
        <w:rPr>
          <w:rFonts w:ascii="Times New Roman" w:hAnsi="Times New Roman"/>
          <w:sz w:val="24"/>
        </w:rPr>
        <w:t>The redundancy overhead percentage is calculated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R_{overhead} = \frac{N - K}{N} \times 100\% = \frac{2t}{255} \times 100\%</w:t>
            </w:r>
          </w:p>
        </w:tc>
        <w:tc>
          <w:tcPr>
            <w:tcW w:type="dxa" w:w="1296"/>
          </w:tcPr>
          <w:p>
            <w:pPr>
              <w:jc w:val="right"/>
              <w:spacing w:before="60" w:after="60"/>
            </w:pPr>
            <w:r>
              <w:rPr>
                <w:rFonts w:ascii="Times New Roman" w:hAnsi="Times New Roman"/>
                <w:b/>
                <w:sz w:val="22"/>
              </w:rPr>
              <w:t>... (4.3)</w:t>
            </w:r>
          </w:p>
        </w:tc>
      </w:tr>
    </w:tbl>
    <w:p>
      <w:pPr>
        <w:spacing w:before="0" w:after="80"/>
      </w:pPr>
    </w:p>
    <w:p>
      <w:pPr>
        <w:jc w:val="both"/>
        <w:spacing w:before="0" w:after="120" w:line="360" w:lineRule="auto"/>
        <w:jc w:val="both"/>
      </w:pPr>
      <w:r>
        <w:rPr>
          <w:rFonts w:ascii="Times New Roman" w:hAnsi="Times New Roman"/>
          <w:sz w:val="24"/>
        </w:rPr>
        <w:t>Notice that RS_ROBUST sacrifices over 25% of raw channel bandwidth to parity symbols. However, because it can repair up to 32 corrupted bytes per 255-byte block (equivalent to up to 256 corrupted bits under clustered symbol errors), it prevents total connection blackout during deep optical path fades.</w:t>
      </w:r>
    </w:p>
    <w:p>
      <w:pPr>
        <w:jc w:val="left"/>
        <w:spacing w:before="240" w:after="80" w:line="360" w:lineRule="auto"/>
        <w:jc w:val="left"/>
      </w:pPr>
      <w:r>
        <w:rPr>
          <w:rFonts w:ascii="Times New Roman" w:hAnsi="Times New Roman"/>
          <w:b/>
          <w:sz w:val="26"/>
        </w:rPr>
        <w:t>4.5 Galois Field Hardware-Equivalent Software Implementation</w:t>
      </w:r>
    </w:p>
    <w:p>
      <w:pPr>
        <w:jc w:val="both"/>
        <w:spacing w:before="0" w:after="120" w:line="360" w:lineRule="auto"/>
        <w:jc w:val="both"/>
      </w:pPr>
      <w:r>
        <w:rPr>
          <w:rFonts w:ascii="Times New Roman" w:hAnsi="Times New Roman"/>
          <w:sz w:val="24"/>
        </w:rPr>
        <w:t>To execute dynamic Reed-Solomon encoding and decoding in real time within the Python simulation runtime, our implementation leverages the high-performance reedsolo codec library, which implements Galois Field arithmetic via pre-computed logarithmic and anti-logarithmic (exponential) lookup tables (LUTs).</w:t>
      </w:r>
    </w:p>
    <w:p>
      <w:pPr>
        <w:jc w:val="both"/>
        <w:spacing w:before="0" w:after="120" w:line="360" w:lineRule="auto"/>
        <w:jc w:val="both"/>
      </w:pPr>
      <w:r>
        <w:rPr>
          <w:rFonts w:ascii="Times New Roman" w:hAnsi="Times New Roman"/>
          <w:sz w:val="24"/>
        </w:rPr>
        <w:t>Multiplication of two non-zero field elements a, b in GF(2^8) is computed via table lookup without runtime division:</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a \cdot b = \alpha^{(\log_\alpha(a) + \log_\alpha(b)) \pmod{255}}</w:t>
            </w:r>
          </w:p>
        </w:tc>
        <w:tc>
          <w:tcPr>
            <w:tcW w:type="dxa" w:w="1296"/>
          </w:tcPr>
          <w:p>
            <w:pPr>
              <w:jc w:val="right"/>
              <w:spacing w:before="60" w:after="60"/>
            </w:pPr>
            <w:r>
              <w:rPr>
                <w:rFonts w:ascii="Times New Roman" w:hAnsi="Times New Roman"/>
                <w:b/>
                <w:sz w:val="22"/>
              </w:rPr>
              <w:t>... (4.4)</w:t>
            </w:r>
          </w:p>
        </w:tc>
      </w:tr>
    </w:tbl>
    <w:p>
      <w:pPr>
        <w:spacing w:before="0" w:after="80"/>
      </w:pPr>
    </w:p>
    <w:p>
      <w:pPr>
        <w:jc w:val="both"/>
        <w:spacing w:before="0" w:after="120" w:line="360" w:lineRule="auto"/>
        <w:jc w:val="both"/>
      </w:pPr>
      <w:r>
        <w:rPr>
          <w:rFonts w:ascii="Times New Roman" w:hAnsi="Times New Roman"/>
          <w:sz w:val="24"/>
        </w:rPr>
        <w:t>This algorithmic optimization ensures that encoding and decoding latencies scale linearly with block length, achieving sub-millisecond per-frame execution speeds suitable for real-time interactive research dashboards.</w:t>
      </w:r>
    </w:p>
    <w:p>
      <w:pPr>
        <w:jc w:val="left"/>
        <w:spacing w:before="240" w:after="80" w:line="360" w:lineRule="auto"/>
        <w:jc w:val="left"/>
      </w:pPr>
      <w:r>
        <w:rPr>
          <w:rFonts w:ascii="Times New Roman" w:hAnsi="Times New Roman"/>
          <w:b/>
          <w:sz w:val="26"/>
        </w:rPr>
        <w:t>4.6 Frame Assembly, Serial Stream Conversion, and Verification</w:t>
      </w:r>
    </w:p>
    <w:p>
      <w:pPr>
        <w:jc w:val="both"/>
        <w:spacing w:before="0" w:after="120" w:line="360" w:lineRule="auto"/>
        <w:jc w:val="both"/>
      </w:pPr>
      <w:r>
        <w:rPr>
          <w:rFonts w:ascii="Times New Roman" w:hAnsi="Times New Roman"/>
          <w:sz w:val="24"/>
        </w:rPr>
        <w:t>Once the framed byte array is constructed, it is serialized into an 8-bit stream and grouped into pairs of consecutive bits (b_0, b_1) for 4-CSK modulation. Table 4.3 summarizes the measured processing throughput and serialization latency across the framing pipeline.</w:t>
      </w:r>
    </w:p>
    <w:p>
      <w:pPr>
        <w:jc w:val="left"/>
        <w:spacing w:before="160" w:after="60"/>
      </w:pPr>
      <w:r>
        <w:rPr>
          <w:rFonts w:ascii="Times New Roman" w:hAnsi="Times New Roman"/>
          <w:b/>
          <w:sz w:val="22"/>
        </w:rPr>
        <w:t>Table 4.3  Packet Assembly and Serialization Latency Benchmarks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2257"/>
        <w:gridCol w:w="2257"/>
        <w:gridCol w:w="2257"/>
        <w:gridCol w:w="2257"/>
      </w:tblGrid>
      <w:tr>
        <w:tc>
          <w:tcPr>
            <w:tcW w:type="dxa" w:w="259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Processing Pipeline Stage</w:t>
            </w:r>
          </w:p>
        </w:tc>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Execution Time (us)</w:t>
            </w:r>
          </w:p>
        </w:tc>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Memory Footprint</w:t>
            </w:r>
          </w:p>
        </w:tc>
        <w:tc>
          <w:tcPr>
            <w:tcW w:type="dxa" w:w="288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Algorithmic Complexity</w:t>
            </w:r>
          </w:p>
        </w:tc>
      </w:tr>
      <w:tr>
        <w:tc>
          <w:tcPr>
            <w:tcW w:type="dxa" w:w="2592"/>
            <w:tcMar>
              <w:top w:w="60" w:type="dxa"/>
              <w:bottom w:w="60" w:type="dxa"/>
              <w:left w:w="100" w:type="dxa"/>
              <w:right w:w="100" w:type="dxa"/>
            </w:tcMar>
            <w:vAlign w:val="center"/>
          </w:tcPr>
          <w:p>
            <w:pPr>
              <w:jc w:val="left"/>
              <w:spacing w:before="60" w:after="60"/>
            </w:pPr>
            <w:r/>
            <w:r>
              <w:rPr>
                <w:rFonts w:ascii="Times New Roman" w:hAnsi="Times New Roman"/>
                <w:sz w:val="20"/>
              </w:rPr>
              <w:t>Application Payload Chunking</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12.4 us</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64 bytes buffer</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O(L) linear memory slicing</w:t>
            </w:r>
          </w:p>
        </w:tc>
      </w:tr>
      <w:tr>
        <w:tc>
          <w:tcPr>
            <w:tcW w:type="dxa" w:w="2592"/>
            <w:tcMar>
              <w:top w:w="60" w:type="dxa"/>
              <w:bottom w:w="60" w:type="dxa"/>
              <w:left w:w="100" w:type="dxa"/>
              <w:right w:w="100" w:type="dxa"/>
            </w:tcMar>
            <w:vAlign w:val="center"/>
          </w:tcPr>
          <w:p>
            <w:pPr>
              <w:jc w:val="left"/>
              <w:spacing w:before="60" w:after="60"/>
            </w:pPr>
            <w:r/>
            <w:r>
              <w:rPr>
                <w:rFonts w:ascii="Times New Roman" w:hAnsi="Times New Roman"/>
                <w:sz w:val="20"/>
              </w:rPr>
              <w:t>Frame Header Assembly</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4.2 us</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8 bytes struct</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O(1) direct struct pack</w:t>
            </w:r>
          </w:p>
        </w:tc>
      </w:tr>
      <w:tr>
        <w:tc>
          <w:tcPr>
            <w:tcW w:type="dxa" w:w="2592"/>
            <w:tcMar>
              <w:top w:w="60" w:type="dxa"/>
              <w:bottom w:w="60" w:type="dxa"/>
              <w:left w:w="100" w:type="dxa"/>
              <w:right w:w="100" w:type="dxa"/>
            </w:tcMar>
            <w:vAlign w:val="center"/>
          </w:tcPr>
          <w:p>
            <w:pPr>
              <w:jc w:val="left"/>
              <w:spacing w:before="60" w:after="60"/>
            </w:pPr>
            <w:r/>
            <w:r>
              <w:rPr>
                <w:rFonts w:ascii="Times New Roman" w:hAnsi="Times New Roman"/>
                <w:sz w:val="20"/>
              </w:rPr>
              <w:t>CRC32 Checksum Calculation</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8.1 us</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4 bytes accumulator</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O(L) hardware-accelerated CRC</w:t>
            </w:r>
          </w:p>
        </w:tc>
      </w:tr>
      <w:tr>
        <w:tc>
          <w:tcPr>
            <w:tcW w:type="dxa" w:w="2592"/>
            <w:tcMar>
              <w:top w:w="60" w:type="dxa"/>
              <w:bottom w:w="60" w:type="dxa"/>
              <w:left w:w="100" w:type="dxa"/>
              <w:right w:w="100" w:type="dxa"/>
            </w:tcMar>
            <w:vAlign w:val="center"/>
          </w:tcPr>
          <w:p>
            <w:pPr>
              <w:jc w:val="left"/>
              <w:spacing w:before="60" w:after="60"/>
            </w:pPr>
            <w:r/>
            <w:r>
              <w:rPr>
                <w:rFonts w:ascii="Times New Roman" w:hAnsi="Times New Roman"/>
                <w:sz w:val="20"/>
              </w:rPr>
              <w:t>RS(255, 223) Encoding</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142.8 us</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255 bytes codeword</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O(2t . K) polynomial division</w:t>
            </w:r>
          </w:p>
        </w:tc>
      </w:tr>
      <w:tr>
        <w:tc>
          <w:tcPr>
            <w:tcW w:type="dxa" w:w="2592"/>
            <w:tcMar>
              <w:top w:w="60" w:type="dxa"/>
              <w:bottom w:w="60" w:type="dxa"/>
              <w:left w:w="100" w:type="dxa"/>
              <w:right w:w="100" w:type="dxa"/>
            </w:tcMar>
            <w:vAlign w:val="center"/>
          </w:tcPr>
          <w:p>
            <w:pPr>
              <w:jc w:val="left"/>
              <w:spacing w:before="60" w:after="60"/>
            </w:pPr>
            <w:r/>
            <w:r>
              <w:rPr>
                <w:rFonts w:ascii="Times New Roman" w:hAnsi="Times New Roman"/>
                <w:sz w:val="20"/>
              </w:rPr>
              <w:t>4-CSK Bit-Pair Serialization</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18.5 us</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1024 symbols array</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O(N) vectorized numpy mapping</w:t>
            </w:r>
          </w:p>
        </w:tc>
      </w:tr>
      <w:tr>
        <w:tc>
          <w:tcPr>
            <w:tcW w:type="dxa" w:w="2592"/>
            <w:tcMar>
              <w:top w:w="60" w:type="dxa"/>
              <w:bottom w:w="60" w:type="dxa"/>
              <w:left w:w="100" w:type="dxa"/>
              <w:right w:w="100" w:type="dxa"/>
            </w:tcMar>
            <w:vAlign w:val="center"/>
          </w:tcPr>
          <w:p>
            <w:pPr>
              <w:jc w:val="left"/>
              <w:spacing w:before="60" w:after="60"/>
            </w:pPr>
            <w:r/>
            <w:r>
              <w:rPr>
                <w:rFonts w:ascii="Times New Roman" w:hAnsi="Times New Roman"/>
                <w:sz w:val="20"/>
              </w:rPr>
              <w:t>Total Pipeline Frame Prep</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186.0 us</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1.4 kB active state</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Linear runtime throughput</w:t>
            </w:r>
          </w:p>
        </w:tc>
      </w:tr>
    </w:tbl>
    <w:p>
      <w:pPr>
        <w:spacing w:before="0" w:after="120"/>
      </w:pPr>
    </w:p>
    <w:p>
      <w:r>
        <w:br w:type="page"/>
      </w:r>
    </w:p>
    <w:p>
      <w:pPr>
        <w:jc w:val="left"/>
        <w:spacing w:before="240" w:after="240" w:line="360" w:lineRule="auto"/>
        <w:jc w:val="left"/>
      </w:pPr>
      <w:r>
        <w:rPr>
          <w:rFonts w:ascii="Times New Roman" w:hAnsi="Times New Roman"/>
          <w:b/>
          <w:sz w:val="28"/>
        </w:rPr>
        <w:t>CHAPTER 5</w:t>
        <w:br/>
      </w:r>
      <w:r>
        <w:rPr>
          <w:rFonts w:ascii="Times New Roman" w:hAnsi="Times New Roman"/>
          <w:b/>
          <w:sz w:val="28"/>
        </w:rPr>
        <w:t>ADAPTIVE LINK CONTROLLER AND ESTIMATION ENGINE</w:t>
      </w:r>
    </w:p>
    <w:p>
      <w:pPr>
        <w:jc w:val="left"/>
        <w:spacing w:before="240" w:after="80" w:line="360" w:lineRule="auto"/>
        <w:jc w:val="left"/>
      </w:pPr>
      <w:r>
        <w:rPr>
          <w:rFonts w:ascii="Times New Roman" w:hAnsi="Times New Roman"/>
          <w:b/>
          <w:sz w:val="26"/>
        </w:rPr>
        <w:t>5.1 Real-Time Receiver Quality Estimation Engine</w:t>
      </w:r>
    </w:p>
    <w:p>
      <w:pPr>
        <w:jc w:val="both"/>
        <w:spacing w:before="0" w:after="120" w:line="360" w:lineRule="auto"/>
        <w:jc w:val="both"/>
      </w:pPr>
      <w:r>
        <w:rPr>
          <w:rFonts w:ascii="Times New Roman" w:hAnsi="Times New Roman"/>
          <w:sz w:val="24"/>
        </w:rPr>
        <w:t>Dynamic error control across an unpredictable optical wireless channel requires an accurate, low-latency estimate of instantaneous channel quality at the receiver. In traditional radio systems, channel estimation relies heavily on periodic pilot preambles or dedicated sounding reference signals. However, in indoor optical wireless networks, inserting dense pilot tones into high-speed optical frames consumes substantial luminous energy and reduces user payload efficiency. To overcome this limitation, our simulator implements a blind, decision-directed Channel Quality Estimator (channel_quality_estimator.py) that continuously derives optical Signal-to-Noise Ratio (SNR) directly from demodulated 4-CSK constellation points using Error Vector Magnitude (EVM).</w:t>
      </w:r>
    </w:p>
    <w:p>
      <w:pPr>
        <w:jc w:val="left"/>
        <w:spacing w:before="160" w:after="60" w:line="360" w:lineRule="auto"/>
        <w:jc w:val="left"/>
      </w:pPr>
      <w:r>
        <w:rPr>
          <w:rFonts w:ascii="Times New Roman" w:hAnsi="Times New Roman"/>
          <w:b/>
          <w:sz w:val="24"/>
        </w:rPr>
        <w:t>5.1.1 Error Vector Magnitude (EVM) to SNR Mathematical Formulation</w:t>
      </w:r>
    </w:p>
    <w:p>
      <w:pPr>
        <w:jc w:val="both"/>
        <w:spacing w:before="0" w:after="120" w:line="360" w:lineRule="auto"/>
        <w:jc w:val="both"/>
      </w:pPr>
      <w:r>
        <w:rPr>
          <w:rFonts w:ascii="Times New Roman" w:hAnsi="Times New Roman"/>
          <w:sz w:val="24"/>
        </w:rPr>
        <w:t>Error Vector Magnitude quantifies the aggregate deviation between received, noisy constellation symbols and their ideal, noiseless geometric references. Consider a received frame containing M physical 4-CSK optical symbols. Let y_i = [y_{i,R}, y_{i,G}, y_{i,B}]^T denote the i-th received three-dimensional color intensity vector after Automatic Gain Control (AGC) normalization. The receiver's maximum-likelihood demapper identifies the closest ideal constellation anchor s_{closest, i} in the 4-CSK alphabet S = {s_0, s_1, s_2, s_3} based on minimum Euclidean distance:</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\mathbf{s}_{closest, i} = \arg\min_{\mathbf{s} \in \mathcal{S}} \| \mathbf{y}_i - \mathbf{s} \|^2</w:t>
            </w:r>
          </w:p>
        </w:tc>
        <w:tc>
          <w:tcPr>
            <w:tcW w:type="dxa" w:w="1296"/>
          </w:tcPr>
          <w:p>
            <w:pPr>
              <w:jc w:val="right"/>
              <w:spacing w:before="60" w:after="60"/>
            </w:pPr>
            <w:r>
              <w:rPr>
                <w:rFonts w:ascii="Times New Roman" w:hAnsi="Times New Roman"/>
                <w:b/>
                <w:sz w:val="22"/>
              </w:rPr>
              <w:t>... (5.1)</w:t>
            </w:r>
          </w:p>
        </w:tc>
      </w:tr>
    </w:tbl>
    <w:p>
      <w:pPr>
        <w:spacing w:before="0" w:after="80"/>
      </w:pPr>
    </w:p>
    <w:p>
      <w:pPr>
        <w:jc w:val="both"/>
        <w:spacing w:before="0" w:after="120" w:line="360" w:lineRule="auto"/>
        <w:jc w:val="both"/>
      </w:pPr>
      <w:r>
        <w:rPr>
          <w:rFonts w:ascii="Times New Roman" w:hAnsi="Times New Roman"/>
          <w:sz w:val="24"/>
        </w:rPr>
        <w:t>The instantaneous error vector e_i representing channel noise, optical crosstalk residual, and photodiode thermal distortion for the i-th symbol is defined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\mathbf{e}_i = \mathbf{y}_i - \mathbf{s}_{closest, i} = \begin{bmatrix} y_{i,R} - s_{closest, i, R} \\ y_{i,G} - s_{closest, i, G} \\ y_{i,B} - s_{closest, i, B} \end{bmatrix}</w:t>
            </w:r>
          </w:p>
        </w:tc>
        <w:tc>
          <w:tcPr>
            <w:tcW w:type="dxa" w:w="1296"/>
          </w:tcPr>
          <w:p>
            <w:pPr>
              <w:jc w:val="right"/>
              <w:spacing w:before="60" w:after="60"/>
            </w:pPr>
            <w:r>
              <w:rPr>
                <w:rFonts w:ascii="Times New Roman" w:hAnsi="Times New Roman"/>
                <w:b/>
                <w:sz w:val="22"/>
              </w:rPr>
              <w:t>... (5.2)</w:t>
            </w:r>
          </w:p>
        </w:tc>
      </w:tr>
    </w:tbl>
    <w:p>
      <w:pPr>
        <w:spacing w:before="0" w:after="80"/>
      </w:pPr>
    </w:p>
    <w:p>
      <w:pPr>
        <w:jc w:val="both"/>
        <w:spacing w:before="0" w:after="120" w:line="360" w:lineRule="auto"/>
        <w:jc w:val="both"/>
      </w:pPr>
      <w:r>
        <w:rPr>
          <w:rFonts w:ascii="Times New Roman" w:hAnsi="Times New Roman"/>
          <w:sz w:val="24"/>
        </w:rPr>
        <w:t>Across the complete sequence of M symbols comprising the frame, the average received noise power P_{noise} and the corresponding average ideal reference signal power P_{signal} are computed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P_{noise} = \frac{1}{M} \sum_{i=1}^{M} \| \mathbf{e}_i \|^2 = \frac{1}{M} \sum_{i=1}^{M} \left( e_{i,R}^2 + e_{i,G}^2 + e_{i,B}^2 \right)</w:t>
            </w:r>
          </w:p>
        </w:tc>
        <w:tc>
          <w:tcPr>
            <w:tcW w:type="dxa" w:w="1296"/>
          </w:tcPr>
          <w:p>
            <w:pPr>
              <w:jc w:val="right"/>
              <w:spacing w:before="60" w:after="60"/>
            </w:pPr>
            <w:r>
              <w:rPr>
                <w:rFonts w:ascii="Times New Roman" w:hAnsi="Times New Roman"/>
                <w:b/>
                <w:sz w:val="22"/>
              </w:rPr>
              <w:t>... (5.3)</w:t>
            </w:r>
          </w:p>
        </w:tc>
      </w:tr>
    </w:tbl>
    <w:p>
      <w:pPr>
        <w:spacing w:before="0" w:after="80"/>
      </w:pP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P_{signal} = \frac{1}{M} \sum_{i=1}^{M} \| \mathbf{s}_{closest, i} \|^2 = \frac{1}{M} \sum_{i=1}^{M} \left( s_{closest, i, R}^2 + s_{closest, i, G}^2 + s_{closest, i, B}^2 \right)</w:t>
            </w:r>
          </w:p>
        </w:tc>
        <w:tc>
          <w:tcPr>
            <w:tcW w:type="dxa" w:w="1296"/>
          </w:tcPr>
          <w:p>
            <w:pPr>
              <w:jc w:val="right"/>
              <w:spacing w:before="60" w:after="60"/>
            </w:pPr>
            <w:r>
              <w:rPr>
                <w:rFonts w:ascii="Times New Roman" w:hAnsi="Times New Roman"/>
                <w:b/>
                <w:sz w:val="22"/>
              </w:rPr>
              <w:t>... (5.4)</w:t>
            </w:r>
          </w:p>
        </w:tc>
      </w:tr>
    </w:tbl>
    <w:p>
      <w:pPr>
        <w:spacing w:before="0" w:after="80"/>
      </w:pPr>
    </w:p>
    <w:p>
      <w:pPr>
        <w:jc w:val="both"/>
        <w:spacing w:before="0" w:after="120" w:line="360" w:lineRule="auto"/>
        <w:jc w:val="both"/>
      </w:pPr>
      <w:r>
        <w:rPr>
          <w:rFonts w:ascii="Times New Roman" w:hAnsi="Times New Roman"/>
          <w:sz w:val="24"/>
        </w:rPr>
        <w:t>The linear Signal-to-Noise Ratio is defined as the quotient of signal power to noise power. Converting this dimensionless ratio to decibels yields the instantaneous estimated channel SNR:</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\text{SNR}_{est} = 10 \log_{10}\left( \frac{P_{signal}}{P_{noise}} \right) \quad [\text{dB}]</w:t>
            </w:r>
          </w:p>
        </w:tc>
        <w:tc>
          <w:tcPr>
            <w:tcW w:type="dxa" w:w="1296"/>
          </w:tcPr>
          <w:p>
            <w:pPr>
              <w:jc w:val="right"/>
              <w:spacing w:before="60" w:after="60"/>
            </w:pPr>
            <w:r>
              <w:rPr>
                <w:rFonts w:ascii="Times New Roman" w:hAnsi="Times New Roman"/>
                <w:b/>
                <w:sz w:val="22"/>
              </w:rPr>
              <w:t>... (5.5)</w:t>
            </w:r>
          </w:p>
        </w:tc>
      </w:tr>
    </w:tbl>
    <w:p>
      <w:pPr>
        <w:spacing w:before="0" w:after="80"/>
      </w:pPr>
    </w:p>
    <w:p>
      <w:pPr>
        <w:jc w:val="both"/>
        <w:spacing w:before="0" w:after="120" w:line="360" w:lineRule="auto"/>
        <w:jc w:val="both"/>
      </w:pPr>
      <w:r>
        <w:rPr>
          <w:rFonts w:ascii="Times New Roman" w:hAnsi="Times New Roman"/>
          <w:sz w:val="24"/>
        </w:rPr>
        <w:t>In the event of an ideal, noiseless channel where P_{noise} approaches zero, numerical division by zero is prevented by clamping the computed estimate to an upper bound of 100.0 dB. Conversely, under severe optical fading where noise obliterates the constellation, estimates are clamped to a lower floor of -10.0 dB.</w:t>
      </w:r>
    </w:p>
    <w:p>
      <w:pPr>
        <w:jc w:val="left"/>
        <w:spacing w:before="160" w:after="60" w:line="360" w:lineRule="auto"/>
        <w:jc w:val="left"/>
      </w:pPr>
      <w:r>
        <w:rPr>
          <w:rFonts w:ascii="Times New Roman" w:hAnsi="Times New Roman"/>
          <w:b/>
          <w:sz w:val="24"/>
        </w:rPr>
        <w:t>5.1.2 Blind Decision-Directed Tracking Dynamics</w:t>
      </w:r>
    </w:p>
    <w:p>
      <w:pPr>
        <w:jc w:val="both"/>
        <w:spacing w:before="0" w:after="120" w:line="360" w:lineRule="auto"/>
        <w:jc w:val="both"/>
      </w:pPr>
      <w:r>
        <w:rPr>
          <w:rFonts w:ascii="Times New Roman" w:hAnsi="Times New Roman"/>
          <w:sz w:val="24"/>
        </w:rPr>
        <w:t>Because this estimator operates without requiring pilot preambles, it incurs zero framing overhead. In high-to-moderate SNR regimes (SNR &gt; 12 dB), the nearest-neighbor decision is correct with probability exceeding 99.9%, yielding an unbiased and highly accurate SNR estimate. In low SNR regimes (SNR &lt; 10 dB) where symbol decisions may occasionally select incorrect constellation points, the estimated error vector e_i slightly underestimates true Euclidean distance. To compensate for this estimation skew during deep fades, the adaptive controller does not rely exclusively on instantaneous SNR, but integrates secondary multi-frame indicators as detailed below.</w:t>
      </w:r>
    </w:p>
    <w:p>
      <w:pPr>
        <w:jc w:val="left"/>
        <w:spacing w:before="240" w:after="80" w:line="360" w:lineRule="auto"/>
        <w:jc w:val="left"/>
      </w:pPr>
      <w:r>
        <w:rPr>
          <w:rFonts w:ascii="Times New Roman" w:hAnsi="Times New Roman"/>
          <w:b/>
          <w:sz w:val="26"/>
        </w:rPr>
        <w:t>5.2 Sliding-Window Link State Tracking</w:t>
      </w:r>
    </w:p>
    <w:p>
      <w:pPr>
        <w:jc w:val="both"/>
        <w:spacing w:before="0" w:after="120" w:line="360" w:lineRule="auto"/>
        <w:jc w:val="both"/>
      </w:pPr>
      <w:r>
        <w:rPr>
          <w:rFonts w:ascii="Times New Roman" w:hAnsi="Times New Roman"/>
          <w:sz w:val="24"/>
        </w:rPr>
        <w:t>Single-frame SNR calculations exhibit statistical variance due to stochastic Gaussian noise realizations. Making code adaptation decisions based on a single instantaneous frame estimate would induce excessive, erratic profile switching (ping-pong effects). To stabilize decision-making, the ChannelQualityEstimator maintains a rolling chronological history of link performance across a sliding window of W = 10 consecutive frames.</w:t>
      </w:r>
    </w:p>
    <w:p>
      <w:pPr>
        <w:jc w:val="both"/>
        <w:spacing w:before="0" w:after="120" w:line="360" w:lineRule="auto"/>
        <w:jc w:val="both"/>
      </w:pPr>
      <w:r>
        <w:rPr>
          <w:rFonts w:ascii="Times New Roman" w:hAnsi="Times New Roman"/>
          <w:sz w:val="24"/>
        </w:rPr>
        <w:t>The sliding window maintains an internal ring buffer capturing four synchronized metrics per frame: estimated SNR, CRC32 verification status (pass/fail), Reed-Solomon symbol correction count, and timestamp. The estimator computes four smoothed running indicators: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1. Moving Average SNR (SNR_avg): </w:t>
      </w:r>
      <w:r>
        <w:rPr>
          <w:rFonts w:ascii="Times New Roman" w:hAnsi="Times New Roman"/>
          <w:sz w:val="24"/>
        </w:rPr>
        <w:t>Arithmetic mean of estimated SNRs across the last W frames, attenuating single-frame noise spikes and providing a stable metric for planned profile upgrades.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2. Windowed Frame Error Rate (FER_win): </w:t>
      </w:r>
      <w:r>
        <w:rPr>
          <w:rFonts w:ascii="Times New Roman" w:hAnsi="Times New Roman"/>
          <w:sz w:val="24"/>
        </w:rPr>
        <w:t>The fraction of frames within the sliding window that failed CRC32 verification, bounded between 0.0 (perfect link) and 1.0 (complete link collapse).</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3. CRC Failure Streak (streak_fail): </w:t>
      </w:r>
      <w:r>
        <w:rPr>
          <w:rFonts w:ascii="Times New Roman" w:hAnsi="Times New Roman"/>
          <w:sz w:val="24"/>
        </w:rPr>
        <w:t>A counter tracking the number of consecutive uncorrected frames leading up to the current frame. This metric acts as an instantaneous tripwire for burst errors.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4. Average Corrected Symbols (corr_avg): </w:t>
      </w:r>
      <w:r>
        <w:rPr>
          <w:rFonts w:ascii="Times New Roman" w:hAnsi="Times New Roman"/>
          <w:sz w:val="24"/>
        </w:rPr>
        <w:t>The mean number of byte errors repaired by the RS decoder per block within the window, indicating whether the active code is operating near its correction limit t.</w:t>
      </w:r>
    </w:p>
    <w:p>
      <w:pPr>
        <w:jc w:val="both"/>
        <w:spacing w:before="0" w:after="120" w:line="360" w:lineRule="auto"/>
        <w:jc w:val="both"/>
      </w:pPr>
      <w:r>
        <w:rPr>
          <w:rFonts w:ascii="Times New Roman" w:hAnsi="Times New Roman"/>
          <w:sz w:val="24"/>
        </w:rPr>
        <w:t>The windowed Frame Error Rate across the sliding buffer of size W is formulated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\text{FER}_{win} = 1.0 - \frac{1}{W} \sum_{j=1}^{W} \mathbb{I}_{CRC}(j), \quad \mathbb{I}_{CRC}(j) = \begin{cases} 1, &amp; \text{if frame } j \text{ passed CRC32} \\ 0, &amp; \text{if frame } j \text{ failed CRC32} \end{cases}</w:t>
            </w:r>
          </w:p>
        </w:tc>
        <w:tc>
          <w:tcPr>
            <w:tcW w:type="dxa" w:w="1296"/>
          </w:tcPr>
          <w:p>
            <w:pPr>
              <w:jc w:val="right"/>
              <w:spacing w:before="60" w:after="60"/>
            </w:pPr>
            <w:r>
              <w:rPr>
                <w:rFonts w:ascii="Times New Roman" w:hAnsi="Times New Roman"/>
                <w:b/>
                <w:sz w:val="22"/>
              </w:rPr>
              <w:t>... (5.6)</w:t>
            </w:r>
          </w:p>
        </w:tc>
      </w:tr>
    </w:tbl>
    <w:p>
      <w:pPr>
        <w:spacing w:before="0" w:after="80"/>
      </w:pPr>
    </w:p>
    <w:p>
      <w:pPr>
        <w:jc w:val="left"/>
        <w:spacing w:before="240" w:after="80" w:line="360" w:lineRule="auto"/>
        <w:jc w:val="left"/>
      </w:pPr>
      <w:r>
        <w:rPr>
          <w:rFonts w:ascii="Times New Roman" w:hAnsi="Times New Roman"/>
          <w:b/>
          <w:sz w:val="26"/>
        </w:rPr>
        <w:t>5.3 Offline Crossover Calibration Sweep Engine</w:t>
      </w:r>
    </w:p>
    <w:p>
      <w:pPr>
        <w:jc w:val="both"/>
        <w:spacing w:before="0" w:after="120" w:line="360" w:lineRule="auto"/>
        <w:jc w:val="both"/>
      </w:pPr>
      <w:r>
        <w:rPr>
          <w:rFonts w:ascii="Times New Roman" w:hAnsi="Times New Roman"/>
          <w:sz w:val="24"/>
        </w:rPr>
        <w:t>To establish rigorous, mathematically justifiable switching thresholds between the five Reed-Solomon coding profiles, an offline crossover calibration engine (threshold_finder.py) was developed. The objective of the calibration sweep is to determine the exact channel SNR boundary where switching to a lighter RS code delivers higher effective Goodput while strictly maintaining the system Quality of Service (QoS) reliability constraint.</w:t>
      </w:r>
    </w:p>
    <w:p>
      <w:pPr>
        <w:jc w:val="left"/>
        <w:spacing w:before="160" w:after="60" w:line="360" w:lineRule="auto"/>
        <w:jc w:val="left"/>
      </w:pPr>
      <w:r>
        <w:rPr>
          <w:rFonts w:ascii="Times New Roman" w:hAnsi="Times New Roman"/>
          <w:b/>
          <w:sz w:val="24"/>
        </w:rPr>
        <w:t>5.3.1 Optimization Objective and Reliability Constraint Formulation</w:t>
      </w:r>
    </w:p>
    <w:p>
      <w:pPr>
        <w:jc w:val="both"/>
        <w:spacing w:before="0" w:after="120" w:line="360" w:lineRule="auto"/>
        <w:jc w:val="both"/>
      </w:pPr>
      <w:r>
        <w:rPr>
          <w:rFonts w:ascii="Times New Roman" w:hAnsi="Times New Roman"/>
          <w:sz w:val="24"/>
        </w:rPr>
        <w:t>Let P = {RS_OFF, RS_LIGHT, RS_MED, RS_HIGH, RS_ROBUST} denote the set of candidate Reed-Solomon profiles. Each profile p in P is characterized by its code parameters (N_p, K_p, t_p), where N_p = 255 symbols, K_p is the application payload capacity in bytes, and t_p = (N_p - K_p) / 2 is the maximum symbol correction capacity. For a given channel SNR gamma, let FER(p, gamma) represent the empirical Frame Error Rate and G(p, gamma) denote the effective Goodput in kilobits per second.</w:t>
      </w:r>
    </w:p>
    <w:p>
      <w:pPr>
        <w:jc w:val="both"/>
        <w:spacing w:before="0" w:after="120" w:line="360" w:lineRule="auto"/>
        <w:jc w:val="both"/>
      </w:pPr>
      <w:r>
        <w:rPr>
          <w:rFonts w:ascii="Times New Roman" w:hAnsi="Times New Roman"/>
          <w:sz w:val="24"/>
        </w:rPr>
        <w:t>The optimal profile p*(gamma) at channel SNR gamma is selected by solving the constrained optimization problem:</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p^*(\gamma) = \arg\max_{p \in \mathcal{P}} G(p, \gamma) \quad \text{subject to} \quad \text{FER}(p, \gamma) \le \text{FER}_{target}</w:t>
            </w:r>
          </w:p>
        </w:tc>
        <w:tc>
          <w:tcPr>
            <w:tcW w:type="dxa" w:w="1296"/>
          </w:tcPr>
          <w:p>
            <w:pPr>
              <w:jc w:val="right"/>
              <w:spacing w:before="60" w:after="60"/>
            </w:pPr>
            <w:r>
              <w:rPr>
                <w:rFonts w:ascii="Times New Roman" w:hAnsi="Times New Roman"/>
                <w:b/>
                <w:sz w:val="22"/>
              </w:rPr>
              <w:t>... (5.7)</w:t>
            </w:r>
          </w:p>
        </w:tc>
      </w:tr>
    </w:tbl>
    <w:p>
      <w:pPr>
        <w:spacing w:before="0" w:after="80"/>
      </w:pPr>
    </w:p>
    <w:p>
      <w:pPr>
        <w:jc w:val="both"/>
        <w:spacing w:before="0" w:after="120" w:line="360" w:lineRule="auto"/>
        <w:jc w:val="both"/>
      </w:pPr>
      <w:r>
        <w:rPr>
          <w:rFonts w:ascii="Times New Roman" w:hAnsi="Times New Roman"/>
          <w:sz w:val="24"/>
        </w:rPr>
        <w:t>where FER_{target} is defined as 0.01 (maximum allowable 1.0% frame loss rate). The effective Goodput G(p, gamma) accounts for both Reed-Solomon code rate overhead and frame retransmission loss: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G(p, \gamma) = R_{raw} \cdot \left( \frac{K_p - L_{hdr}}{N_p} \right) \cdot \Big( 1 - \text{FER}(p, \gamma) \Big) \quad [\text{kbps}]</w:t>
            </w:r>
          </w:p>
        </w:tc>
        <w:tc>
          <w:tcPr>
            <w:tcW w:type="dxa" w:w="1296"/>
          </w:tcPr>
          <w:p>
            <w:pPr>
              <w:jc w:val="right"/>
              <w:spacing w:before="60" w:after="60"/>
            </w:pPr>
            <w:r>
              <w:rPr>
                <w:rFonts w:ascii="Times New Roman" w:hAnsi="Times New Roman"/>
                <w:b/>
                <w:sz w:val="22"/>
              </w:rPr>
              <w:t>... (5.8)</w:t>
            </w:r>
          </w:p>
        </w:tc>
      </w:tr>
    </w:tbl>
    <w:p>
      <w:pPr>
        <w:spacing w:before="0" w:after="80"/>
      </w:pPr>
    </w:p>
    <w:p>
      <w:pPr>
        <w:jc w:val="both"/>
        <w:spacing w:before="0" w:after="120" w:line="360" w:lineRule="auto"/>
        <w:jc w:val="both"/>
      </w:pPr>
      <w:r>
        <w:rPr>
          <w:rFonts w:ascii="Times New Roman" w:hAnsi="Times New Roman"/>
          <w:sz w:val="24"/>
        </w:rPr>
        <w:t>where R_{raw} = 2000 kbps (2.0 Mbps) is the raw channel transmission bit rate and L_{hdr} = 12 bytes represents protocol framing overhead.</w:t>
      </w:r>
    </w:p>
    <w:p>
      <w:pPr>
        <w:jc w:val="left"/>
        <w:spacing w:before="160" w:after="60" w:line="360" w:lineRule="auto"/>
        <w:jc w:val="left"/>
      </w:pPr>
      <w:r>
        <w:rPr>
          <w:rFonts w:ascii="Times New Roman" w:hAnsi="Times New Roman"/>
          <w:b/>
          <w:sz w:val="24"/>
        </w:rPr>
        <w:t>5.3.2 Empirical Calibration Sweep Methodology</w:t>
      </w:r>
    </w:p>
    <w:p>
      <w:pPr>
        <w:jc w:val="both"/>
        <w:spacing w:before="0" w:after="120" w:line="360" w:lineRule="auto"/>
        <w:jc w:val="both"/>
      </w:pPr>
      <w:r>
        <w:rPr>
          <w:rFonts w:ascii="Times New Roman" w:hAnsi="Times New Roman"/>
          <w:sz w:val="24"/>
        </w:rPr>
        <w:t>The calibration engine executes an exhaustive numerical sweep across the operational SNR spectrum from 5.0 dB to 25.0 dB in uniform steps of 0.5 dB. At each discrete SNR operating point, the simulator transmits 100 independent frames per RS profile (totalling 20,500 simulated frames across 41 SNR steps). For each profile, the empirical FER, BER, and Goodput are logged.</w:t>
      </w:r>
    </w:p>
    <w:p>
      <w:pPr>
        <w:jc w:val="both"/>
        <w:spacing w:before="0" w:after="120" w:line="360" w:lineRule="auto"/>
        <w:jc w:val="both"/>
      </w:pPr>
      <w:r>
        <w:rPr>
          <w:rFonts w:ascii="Times New Roman" w:hAnsi="Times New Roman"/>
          <w:sz w:val="24"/>
        </w:rPr>
        <w:t>Table 5.1 presents the derived optimal switching boundaries produced by the calibration sweep. The most robust profile, RS_HIGH (RS(255, 223)), serves as the universal baseline fallback, active for all SNRs below 16.0 dB. At 16.0 dB, RS_MED (RS(255, 239)) achieves FER &lt;= 0.01 and surpasses RS_HIGH in Goodput due to its reduced parity overhead (16 bytes vs. 32 bytes). At 17.5 dB, RS_LIGHT (RS(255, 251)) becomes optimal. Finally, at 20.5 dB, the optical channel is sufficiently clear that uncoded transmission (RS_OFF) achieves zero frame errors, maximizing Goodput beyond 1700 kbps.</w:t>
      </w:r>
    </w:p>
    <w:p>
      <w:pPr>
        <w:jc w:val="left"/>
        <w:spacing w:before="160" w:after="60"/>
      </w:pPr>
      <w:r>
        <w:rPr>
          <w:rFonts w:ascii="Times New Roman" w:hAnsi="Times New Roman"/>
          <w:b/>
          <w:sz w:val="22"/>
        </w:rPr>
        <w:t>Table 5.1  Empirical Crossover Activation Boundaries and Operational Regimes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1505"/>
        <w:gridCol w:w="1505"/>
        <w:gridCol w:w="1505"/>
        <w:gridCol w:w="1505"/>
        <w:gridCol w:w="1505"/>
        <w:gridCol w:w="1505"/>
      </w:tblGrid>
      <w:tr>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RS Profile</w:t>
            </w:r>
          </w:p>
        </w:tc>
        <w:tc>
          <w:tcPr>
            <w:tcW w:type="dxa" w:w="1728"/>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Code Parameters</w:t>
            </w:r>
          </w:p>
        </w:tc>
        <w:tc>
          <w:tcPr>
            <w:tcW w:type="dxa" w:w="144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Parity (2t)</w:t>
            </w:r>
          </w:p>
        </w:tc>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SNR Activation Threshold</w:t>
            </w:r>
          </w:p>
        </w:tc>
        <w:tc>
          <w:tcPr>
            <w:tcW w:type="dxa" w:w="288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Operational Regime</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Peak Goodput (kbps)</w:t>
            </w:r>
          </w:p>
        </w:tc>
      </w:tr>
      <w:tr>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RS_HIGH</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RS(255, 223)</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32 Bytes</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-infinity (Baseline)</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Active when SNR &lt; 16.0 dB or during fades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1485.4 kbps</w:t>
            </w:r>
          </w:p>
        </w:tc>
      </w:tr>
      <w:tr>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RS_MED</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RS(255, 239)</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16 Bytes</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16.0 dB</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Optimal in range [16.0 dB, 17.5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1592.1 kbps</w:t>
            </w:r>
          </w:p>
        </w:tc>
      </w:tr>
      <w:tr>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RS_LIGHT</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RS(255, 251)</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4 Bytes</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17.5 dB</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Optimal in range [17.5 dB, 20.5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1672.0 kbps</w:t>
            </w:r>
          </w:p>
        </w:tc>
      </w:tr>
      <w:tr>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RS_OFF</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RS(255, 255)</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0 Bytes</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20.5 dB</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Optimal when SNR &gt;= 20.5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1749.0 kbps</w:t>
            </w:r>
          </w:p>
        </w:tc>
      </w:tr>
    </w:tbl>
    <w:p>
      <w:pPr>
        <w:spacing w:before="0" w:after="120"/>
      </w:pPr>
    </w:p>
    <w:p>
      <w:pPr>
        <w:jc w:val="both"/>
        <w:spacing w:before="0" w:after="120" w:line="360" w:lineRule="auto"/>
        <w:jc w:val="both"/>
      </w:pPr>
      <w:r>
        <w:rPr>
          <w:rFonts w:ascii="Times New Roman" w:hAnsi="Times New Roman"/>
          <w:sz w:val="24"/>
        </w:rPr>
        <w:t>Notice that the intermediate profile RS(255, 247) (t = 4) was evaluated during the sweep but is subsumed because adjacent profiles RS(255, 239) and RS(255, 251) provide superior Goodput-reliability trade-offs across the discrete 0.5 dB calibration grid. The calibrated thresholds are serialized to a structured JSON file (adaptive_thresholds.json) ensuring instant startup loading in production.</w:t>
      </w:r>
    </w:p>
    <w:p>
      <w:pPr>
        <w:jc w:val="left"/>
        <w:spacing w:before="240" w:after="80" w:line="360" w:lineRule="auto"/>
        <w:jc w:val="left"/>
      </w:pPr>
      <w:r>
        <w:rPr>
          <w:rFonts w:ascii="Times New Roman" w:hAnsi="Times New Roman"/>
          <w:b/>
          <w:sz w:val="26"/>
        </w:rPr>
        <w:t>5.4 Multi-Indicator Rule-Based Decision Logic</w:t>
      </w:r>
    </w:p>
    <w:p>
      <w:pPr>
        <w:jc w:val="both"/>
        <w:spacing w:before="0" w:after="120" w:line="360" w:lineRule="auto"/>
        <w:jc w:val="both"/>
      </w:pPr>
      <w:r>
        <w:rPr>
          <w:rFonts w:ascii="Times New Roman" w:hAnsi="Times New Roman"/>
          <w:sz w:val="24"/>
        </w:rPr>
        <w:t>The AdaptiveLinkController (adaptive_controller.py) implements a deterministic, multi-indicator decision engine that selects the optimal Reed-Solomon profile for each outgoing frame. Rather than acting as a black-box machine learning model, the controller is strictly rule-based, fully explainable, and adheres to a prioritized hierarchical decision cascade.</w:t>
      </w:r>
    </w:p>
    <w:p>
      <w:pPr>
        <w:spacing w:before="160" w:after="80"/>
        <w:jc w:val="center"/>
      </w:pPr>
      <w:r>
        <w:drawing>
          <wp:inline xmlns:a="http://schemas.openxmlformats.org/drawingml/2006/main" xmlns:pic="http://schemas.openxmlformats.org/drawingml/2006/picture">
            <wp:extent cx="5120640" cy="3527552"/>
            <wp:docPr id="5" name="Picture 5"/>
            <wp:cNvGraphicFramePr>
              <a:graphicFrameLocks noChangeAspect="1"/>
            </wp:cNvGraphicFramePr>
            <a:graphic>
              <a:graphicData uri="http://schemas.openxmlformats.org/drawingml/2006/picture">
                <pic:pic>
                  <pic:nvPicPr>
                    <pic:cNvPr id="0" name="fig_controller_flowchart.png"/>
                    <pic:cNvPicPr/>
                  </pic:nvPicPr>
                  <pic:blipFill>
                    <a:blip r:embed="rId17"/>
                    <a:stretch>
                      <a:fillRect/>
                    </a:stretch>
                  </pic:blipFill>
                  <pic:spPr>
                    <a:xfrm>
                      <a:off x="0" y="0"/>
                      <a:ext cx="5120640" cy="3527552"/>
                    </a:xfrm>
                    <a:prstGeom prst="rect"/>
                  </pic:spPr>
                </pic:pic>
              </a:graphicData>
            </a:graphic>
          </wp:inline>
        </w:drawing>
      </w:r>
    </w:p>
    <w:p>
      <w:pPr>
        <w:jc w:val="center"/>
        <w:spacing w:before="40" w:after="200"/>
        <w:jc w:val="center"/>
      </w:pPr>
      <w:r>
        <w:rPr>
          <w:rFonts w:ascii="Times New Roman" w:hAnsi="Times New Roman"/>
          <w:b/>
          <w:sz w:val="21"/>
        </w:rPr>
        <w:t>Figure 5.1  Hierarchical Decision Cascade of the Explainable Multi-Indicator Adaptive Controller</w:t>
      </w:r>
    </w:p>
    <w:p>
      <w:pPr>
        <w:jc w:val="left"/>
        <w:spacing w:before="160" w:after="60" w:line="360" w:lineRule="auto"/>
        <w:jc w:val="left"/>
      </w:pPr>
      <w:r>
        <w:rPr>
          <w:rFonts w:ascii="Times New Roman" w:hAnsi="Times New Roman"/>
          <w:b/>
          <w:sz w:val="24"/>
        </w:rPr>
        <w:t>5.4.1 Hysteresis Margin Formulation (Delta = 0.5 dB)</w:t>
      </w:r>
    </w:p>
    <w:p>
      <w:pPr>
        <w:jc w:val="both"/>
        <w:spacing w:before="0" w:after="120" w:line="360" w:lineRule="auto"/>
        <w:jc w:val="both"/>
      </w:pPr>
      <w:r>
        <w:rPr>
          <w:rFonts w:ascii="Times New Roman" w:hAnsi="Times New Roman"/>
          <w:sz w:val="24"/>
        </w:rPr>
        <w:t>A fundamental challenge in threshold-based adaptive communication is boundary chatter (ping-pong oscillation). When channel SNR fluctuates near a switching boundary (e.g., 16.0 dB +/- 0.2 dB due to thermal noise), an unmitigated controller would switch profiles back and forth on consecutive frames, causing signaling churn and unpredictable decoding latencies. To prevent this pathology, our controller enforces a symmetric hysteresis margin Delta = 0.5 dB.</w:t>
      </w:r>
    </w:p>
    <w:p>
      <w:pPr>
        <w:jc w:val="both"/>
        <w:spacing w:before="0" w:after="120" w:line="360" w:lineRule="auto"/>
        <w:jc w:val="both"/>
      </w:pPr>
      <w:r>
        <w:rPr>
          <w:rFonts w:ascii="Times New Roman" w:hAnsi="Times New Roman"/>
          <w:sz w:val="24"/>
        </w:rPr>
        <w:t>The hysteresis switching rules are formalized as follows: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Upgrade Condition: </w:t>
      </w:r>
      <w:r>
        <w:rPr>
          <w:rFonts w:ascii="Times New Roman" w:hAnsi="Times New Roman"/>
          <w:sz w:val="24"/>
        </w:rPr>
        <w:t>To upgrade from current profile i to a lighter profile j with higher payload capacity (j &gt; i), the smoothed moving average SNR must exceed the activation threshold by at least the hysteresis margin:</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\text{SNR}_{avg} \ge \text{Threshold}(j) + \Delta, \quad \Delta = 0.5 \text{ dB}</w:t>
            </w:r>
          </w:p>
        </w:tc>
        <w:tc>
          <w:tcPr>
            <w:tcW w:type="dxa" w:w="1296"/>
          </w:tcPr>
          <w:p>
            <w:pPr>
              <w:jc w:val="right"/>
              <w:spacing w:before="60" w:after="60"/>
            </w:pPr>
            <w:r>
              <w:rPr>
                <w:rFonts w:ascii="Times New Roman" w:hAnsi="Times New Roman"/>
                <w:b/>
                <w:sz w:val="22"/>
              </w:rPr>
              <w:t>... (5.9)</w:t>
            </w:r>
          </w:p>
        </w:tc>
      </w:tr>
    </w:tbl>
    <w:p>
      <w:pPr>
        <w:spacing w:before="0" w:after="80"/>
      </w:pP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Maintenance Condition: </w:t>
      </w:r>
      <w:r>
        <w:rPr>
          <w:rFonts w:ascii="Times New Roman" w:hAnsi="Times New Roman"/>
          <w:sz w:val="24"/>
        </w:rPr>
        <w:t>If channel conditions degrade slightly, the controller retains current profile i as long as the moving average SNR does not fall below the lower hysteresis boundary: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\text{SNR}_{avg} \ge \text{Threshold}(i) - \Delta</w:t>
            </w:r>
          </w:p>
        </w:tc>
        <w:tc>
          <w:tcPr>
            <w:tcW w:type="dxa" w:w="1296"/>
          </w:tcPr>
          <w:p>
            <w:pPr>
              <w:jc w:val="right"/>
              <w:spacing w:before="60" w:after="60"/>
            </w:pPr>
            <w:r>
              <w:rPr>
                <w:rFonts w:ascii="Times New Roman" w:hAnsi="Times New Roman"/>
                <w:b/>
                <w:sz w:val="22"/>
              </w:rPr>
              <w:t>... (5.10)</w:t>
            </w:r>
          </w:p>
        </w:tc>
      </w:tr>
    </w:tbl>
    <w:p>
      <w:pPr>
        <w:spacing w:before="0" w:after="80"/>
      </w:pP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Downgrade Condition: </w:t>
      </w:r>
      <w:r>
        <w:rPr>
          <w:rFonts w:ascii="Times New Roman" w:hAnsi="Times New Roman"/>
          <w:sz w:val="24"/>
        </w:rPr>
        <w:t>If the moving average SNR drops below Threshold(i) - Delta, the controller initiates a controlled step-down to the next more robust profile:</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\text{SNR}_{avg} &lt; \text{Threshold}(i) - \Delta</w:t>
            </w:r>
          </w:p>
        </w:tc>
        <w:tc>
          <w:tcPr>
            <w:tcW w:type="dxa" w:w="1296"/>
          </w:tcPr>
          <w:p>
            <w:pPr>
              <w:jc w:val="right"/>
              <w:spacing w:before="60" w:after="60"/>
            </w:pPr>
            <w:r>
              <w:rPr>
                <w:rFonts w:ascii="Times New Roman" w:hAnsi="Times New Roman"/>
                <w:b/>
                <w:sz w:val="22"/>
              </w:rPr>
              <w:t>... (5.11)</w:t>
            </w:r>
          </w:p>
        </w:tc>
      </w:tr>
    </w:tbl>
    <w:p>
      <w:pPr>
        <w:spacing w:before="0" w:after="80"/>
      </w:pPr>
    </w:p>
    <w:p>
      <w:pPr>
        <w:jc w:val="left"/>
        <w:spacing w:before="160" w:after="60" w:line="360" w:lineRule="auto"/>
        <w:jc w:val="left"/>
      </w:pPr>
      <w:r>
        <w:rPr>
          <w:rFonts w:ascii="Times New Roman" w:hAnsi="Times New Roman"/>
          <w:b/>
          <w:sz w:val="24"/>
        </w:rPr>
        <w:t>5.4.2 Fast Emergency Escalation Trigger</w:t>
      </w:r>
    </w:p>
    <w:p>
      <w:pPr>
        <w:jc w:val="both"/>
        <w:spacing w:before="0" w:after="120" w:line="360" w:lineRule="auto"/>
        <w:jc w:val="both"/>
      </w:pPr>
      <w:r>
        <w:rPr>
          <w:rFonts w:ascii="Times New Roman" w:hAnsi="Times New Roman"/>
          <w:sz w:val="24"/>
        </w:rPr>
        <w:t>While moving average smoothing is essential for preventing chatter, it introduces an inherent response lag of several frames. In an optical wireless channel, sudden physical path obstruction (such as an occupant walking across the room or a hand blocking the optical receiver) causes an abrupt 10 to 15 dB drop in received optical power within a fraction of a millisecond. Waiting for the moving average to slowly decay would cause a catastrophic burst of 5 to 10 dropped frames.</w:t>
      </w:r>
    </w:p>
    <w:p>
      <w:pPr>
        <w:jc w:val="both"/>
        <w:spacing w:before="0" w:after="120" w:line="360" w:lineRule="auto"/>
        <w:jc w:val="both"/>
      </w:pPr>
      <w:r>
        <w:rPr>
          <w:rFonts w:ascii="Times New Roman" w:hAnsi="Times New Roman"/>
          <w:sz w:val="24"/>
        </w:rPr>
        <w:t>To safeguard against burst packet loss, the controller incorporates an emergency escalation trigger that operates at Priority 1, completely bypassing the moving average and hysteresis checks. If the receiver detects two consecutive CRC32 verification failures (streak_fail &gt;= 2) or if the windowed frame error rate exceeds 10% (FER_win &gt; 0.10), the controller forces an instantaneous emergency retreat to maximum protection RS_HIGH (RS(255, 223)):</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14"/>
        <w:gridCol w:w="4514"/>
      </w:tblGrid>
      <w:tr>
        <w:tc>
          <w:tcPr>
            <w:tcW w:type="dxa" w:w="7776"/>
          </w:tcPr>
          <w:p>
            <w:pPr>
              <w:jc w:val="center"/>
              <w:spacing w:before="60" w:after="60"/>
            </w:pPr>
            <w:r>
              <w:rPr>
                <w:rFonts w:ascii="Times New Roman" w:hAnsi="Times New Roman"/>
                <w:i/>
                <w:sz w:val="22"/>
              </w:rPr>
              <w:t>\text{Trigger}_{escalate} = \Big( \text{streak}_{fail} \ge 2 \Big) \;\lor\; \Big( \text{FER}_{win} &gt; 0.10 \Big) \implies p_{next} \leftarrow \text{RS\_HIGH}</w:t>
            </w:r>
          </w:p>
        </w:tc>
        <w:tc>
          <w:tcPr>
            <w:tcW w:type="dxa" w:w="1296"/>
          </w:tcPr>
          <w:p>
            <w:pPr>
              <w:jc w:val="right"/>
              <w:spacing w:before="60" w:after="60"/>
            </w:pPr>
            <w:r>
              <w:rPr>
                <w:rFonts w:ascii="Times New Roman" w:hAnsi="Times New Roman"/>
                <w:b/>
                <w:sz w:val="22"/>
              </w:rPr>
              <w:t>... (5.12)</w:t>
            </w:r>
          </w:p>
        </w:tc>
      </w:tr>
    </w:tbl>
    <w:p>
      <w:pPr>
        <w:spacing w:before="0" w:after="80"/>
      </w:pPr>
    </w:p>
    <w:p>
      <w:pPr>
        <w:jc w:val="left"/>
        <w:spacing w:before="160" w:after="60" w:line="360" w:lineRule="auto"/>
        <w:jc w:val="left"/>
      </w:pPr>
      <w:r>
        <w:rPr>
          <w:rFonts w:ascii="Times New Roman" w:hAnsi="Times New Roman"/>
          <w:b/>
          <w:sz w:val="24"/>
        </w:rPr>
        <w:t>5.4.3 Prioritized Decision Action Matrix</w:t>
      </w:r>
    </w:p>
    <w:p>
      <w:pPr>
        <w:jc w:val="both"/>
        <w:spacing w:before="0" w:after="120" w:line="360" w:lineRule="auto"/>
        <w:jc w:val="both"/>
      </w:pPr>
      <w:r>
        <w:rPr>
          <w:rFonts w:ascii="Times New Roman" w:hAnsi="Times New Roman"/>
          <w:sz w:val="24"/>
        </w:rPr>
        <w:t>Table 5.2 summarizes the complete prioritized decision matrix executed on every frame transmission.</w:t>
      </w:r>
    </w:p>
    <w:p>
      <w:pPr>
        <w:jc w:val="left"/>
        <w:spacing w:before="160" w:after="60"/>
      </w:pPr>
      <w:r>
        <w:rPr>
          <w:rFonts w:ascii="Times New Roman" w:hAnsi="Times New Roman"/>
          <w:b/>
          <w:sz w:val="22"/>
        </w:rPr>
        <w:t>Table 5.2  Hierarchical Decision Matrix and Prioritized Action Policy</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1806"/>
        <w:gridCol w:w="1806"/>
        <w:gridCol w:w="1806"/>
        <w:gridCol w:w="1806"/>
        <w:gridCol w:w="1806"/>
      </w:tblGrid>
      <w:tr>
        <w:tc>
          <w:tcPr>
            <w:tcW w:type="dxa" w:w="144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Priority</w:t>
            </w:r>
          </w:p>
        </w:tc>
        <w:tc>
          <w:tcPr>
            <w:tcW w:type="dxa" w:w="288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Trigger Condition</w:t>
            </w:r>
          </w:p>
        </w:tc>
        <w:tc>
          <w:tcPr>
            <w:tcW w:type="dxa" w:w="1728"/>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Decision Action</w:t>
            </w:r>
          </w:p>
        </w:tc>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Selected Profile</w:t>
            </w:r>
          </w:p>
        </w:tc>
        <w:tc>
          <w:tcPr>
            <w:tcW w:type="dxa" w:w="288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Architectural Rationale</w:t>
            </w:r>
          </w:p>
        </w:tc>
      </w:tr>
      <w:tr>
        <w:tc>
          <w:tcPr>
            <w:tcW w:type="dxa" w:w="1440"/>
            <w:tcMar>
              <w:top w:w="60" w:type="dxa"/>
              <w:bottom w:w="60" w:type="dxa"/>
              <w:left w:w="100" w:type="dxa"/>
              <w:right w:w="100" w:type="dxa"/>
            </w:tcMar>
            <w:vAlign w:val="center"/>
          </w:tcPr>
          <w:p>
            <w:pPr>
              <w:jc w:val="left"/>
              <w:spacing w:before="60" w:after="60"/>
            </w:pPr>
            <w:r/>
            <w:r>
              <w:rPr>
                <w:rFonts w:ascii="Times New Roman" w:hAnsi="Times New Roman"/>
                <w:sz w:val="20"/>
              </w:rPr>
              <w:t>1 (Highest)</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streak_fail &gt;= 2 OR FER_win &gt; 0.10</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[ESCALATION]</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RS_HIGH (RS(255, 223))</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Immediate protection retreat upon burst channel fade</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2</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SNR_avg &gt;= Threshold_target + 0.5 dB</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[UPGRADE]</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Lighter RS Code</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Channel cleared activation boundary with hysteresis</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3</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SNR_avg &gt;= Threshold_curr - 0.5 dB</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[MAINTAIN]</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Current Profile</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Channel operating within stable hysteresis deadband</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4</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SNR_avg &lt; Threshold_curr - 0.5 dB</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[DOWNGRADE]</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Stronger RS Code</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Gradual degradation; step down to prevent frame loss</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5 (Lowest)</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All threshold evaluations fail</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[FALLBACK]</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RS_HIGH (RS(255, 223))</w:t>
            </w:r>
          </w:p>
        </w:tc>
        <w:tc>
          <w:tcPr>
            <w:tcW w:type="dxa" w:w="2880"/>
            <w:tcMar>
              <w:top w:w="60" w:type="dxa"/>
              <w:bottom w:w="60" w:type="dxa"/>
              <w:left w:w="100" w:type="dxa"/>
              <w:right w:w="100" w:type="dxa"/>
            </w:tcMar>
            <w:vAlign w:val="center"/>
          </w:tcPr>
          <w:p>
            <w:pPr>
              <w:jc w:val="center"/>
              <w:spacing w:before="60" w:after="60"/>
            </w:pPr>
            <w:r/>
            <w:r>
              <w:rPr>
                <w:rFonts w:ascii="Times New Roman" w:hAnsi="Times New Roman"/>
                <w:sz w:val="20"/>
              </w:rPr>
              <w:t>Failsafe default ensuring link survival</w:t>
            </w:r>
          </w:p>
        </w:tc>
      </w:tr>
    </w:tbl>
    <w:p>
      <w:pPr>
        <w:spacing w:before="0" w:after="120"/>
      </w:pPr>
    </w:p>
    <w:p>
      <w:pPr>
        <w:jc w:val="left"/>
        <w:spacing w:before="160" w:after="60" w:line="360" w:lineRule="auto"/>
        <w:jc w:val="left"/>
      </w:pPr>
      <w:r>
        <w:rPr>
          <w:rFonts w:ascii="Times New Roman" w:hAnsi="Times New Roman"/>
          <w:b/>
          <w:sz w:val="24"/>
        </w:rPr>
        <w:t>5.4.4 Auditable Decision Trace Generation</w:t>
      </w:r>
    </w:p>
    <w:p>
      <w:pPr>
        <w:jc w:val="both"/>
        <w:spacing w:before="0" w:after="120" w:line="360" w:lineRule="auto"/>
        <w:jc w:val="both"/>
      </w:pPr>
      <w:r>
        <w:rPr>
          <w:rFonts w:ascii="Times New Roman" w:hAnsi="Times New Roman"/>
          <w:sz w:val="24"/>
        </w:rPr>
        <w:t>To guarantee absolute explainability for academic scrutiny and debugging, the controller generates a structured textual decision trace for every evaluated frame. The trace string encapsulates the previous profile, active profile, estimated SNR, target threshold, triggering rule, and current failure streak. For example:</w:t>
      </w:r>
    </w:p>
    <w:p>
      <w:pPr>
        <w:jc w:val="both"/>
        <w:spacing w:before="0" w:after="120" w:line="360" w:lineRule="auto"/>
        <w:jc w:val="both"/>
      </w:pPr>
      <w:r>
        <w:rPr>
          <w:rFonts w:ascii="Times New Roman" w:hAnsi="Times New Roman"/>
          <w:sz w:val="24"/>
        </w:rPr>
        <w:t>"Frame 142: [UPGRADE] RS_HIGH -&gt; RS_MED | SNR_avg=17.2 dB &gt;= Thresh(16.0)+0.5 dB | streak=0 | FER_win=0.00"</w:t>
      </w:r>
    </w:p>
    <w:p>
      <w:pPr>
        <w:jc w:val="both"/>
        <w:spacing w:before="0" w:after="120" w:line="360" w:lineRule="auto"/>
        <w:jc w:val="both"/>
      </w:pPr>
      <w:r>
        <w:rPr>
          <w:rFonts w:ascii="Times New Roman" w:hAnsi="Times New Roman"/>
          <w:sz w:val="24"/>
        </w:rPr>
        <w:t>"Frame 218: [ESCALATION] RS_OFF -&gt; RS_HIGH | CRC streak=2 &gt;= 2 | Emergency fallback triggered"</w:t>
      </w:r>
    </w:p>
    <w:p>
      <w:r>
        <w:br w:type="page"/>
      </w:r>
    </w:p>
    <w:p>
      <w:pPr>
        <w:jc w:val="left"/>
        <w:spacing w:before="240" w:after="240" w:line="360" w:lineRule="auto"/>
        <w:jc w:val="left"/>
      </w:pPr>
      <w:r>
        <w:rPr>
          <w:rFonts w:ascii="Times New Roman" w:hAnsi="Times New Roman"/>
          <w:b/>
          <w:sz w:val="28"/>
        </w:rPr>
        <w:t>CHAPTER 6</w:t>
        <w:br/>
      </w:r>
      <w:r>
        <w:rPr>
          <w:rFonts w:ascii="Times New Roman" w:hAnsi="Times New Roman"/>
          <w:b/>
          <w:sz w:val="28"/>
        </w:rPr>
        <w:t>SIMULATION ENGINE AND INTERACTIVE WORKBENCH</w:t>
      </w:r>
    </w:p>
    <w:p>
      <w:pPr>
        <w:jc w:val="left"/>
        <w:spacing w:before="240" w:after="80" w:line="360" w:lineRule="auto"/>
        <w:jc w:val="left"/>
      </w:pPr>
      <w:r>
        <w:rPr>
          <w:rFonts w:ascii="Times New Roman" w:hAnsi="Times New Roman"/>
          <w:b/>
          <w:sz w:val="26"/>
        </w:rPr>
        <w:t>6.1 End-to-End Simulation Runner Architecture</w:t>
      </w:r>
    </w:p>
    <w:p>
      <w:pPr>
        <w:jc w:val="both"/>
        <w:spacing w:before="0" w:after="120" w:line="360" w:lineRule="auto"/>
        <w:jc w:val="both"/>
      </w:pPr>
      <w:r>
        <w:rPr>
          <w:rFonts w:ascii="Times New Roman" w:hAnsi="Times New Roman"/>
          <w:sz w:val="24"/>
        </w:rPr>
        <w:t>The software architecture of the VLC simulator is anchored by the SimulationRunner engine (simulation_runner.py), which orchestrates the bidirectional flow of protocol data units across all physical and data link layer modules. Figure 6.1 illustrates the modular component pipeline implemented in the execution engine.</w:t>
      </w:r>
    </w:p>
    <w:p>
      <w:pPr>
        <w:spacing w:before="160" w:after="80"/>
        <w:jc w:val="center"/>
      </w:pPr>
      <w:r>
        <w:drawing>
          <wp:inline xmlns:a="http://schemas.openxmlformats.org/drawingml/2006/main" xmlns:pic="http://schemas.openxmlformats.org/drawingml/2006/picture">
            <wp:extent cx="5303520" cy="2024980"/>
            <wp:docPr id="6" name="Picture 6"/>
            <wp:cNvGraphicFramePr>
              <a:graphicFrameLocks noChangeAspect="1"/>
            </wp:cNvGraphicFramePr>
            <a:graphic>
              <a:graphicData uri="http://schemas.openxmlformats.org/drawingml/2006/picture">
                <pic:pic>
                  <pic:nvPicPr>
                    <pic:cNvPr id="0" name="fig_pipeline_architecture.png"/>
                    <pic:cNvPicPr/>
                  </pic:nvPicPr>
                  <pic:blipFill>
                    <a:blip r:embed="rId14"/>
                    <a:stretch>
                      <a:fillRect/>
                    </a:stretch>
                  </pic:blipFill>
                  <pic:spPr>
                    <a:xfrm>
                      <a:off x="0" y="0"/>
                      <a:ext cx="5303520" cy="2024980"/>
                    </a:xfrm>
                    <a:prstGeom prst="rect"/>
                  </pic:spPr>
                </pic:pic>
              </a:graphicData>
            </a:graphic>
          </wp:inline>
        </w:drawing>
      </w:r>
    </w:p>
    <w:p>
      <w:pPr>
        <w:jc w:val="center"/>
        <w:spacing w:before="40" w:after="200"/>
        <w:jc w:val="center"/>
      </w:pPr>
      <w:r>
        <w:rPr>
          <w:rFonts w:ascii="Times New Roman" w:hAnsi="Times New Roman"/>
          <w:b/>
          <w:sz w:val="21"/>
        </w:rPr>
        <w:t>Figure 6.1  End-to-End Modular Execution Pipeline of the VLC Simulator Engine</w:t>
      </w:r>
    </w:p>
    <w:p>
      <w:pPr>
        <w:jc w:val="both"/>
        <w:spacing w:before="0" w:after="120" w:line="360" w:lineRule="auto"/>
        <w:jc w:val="both"/>
      </w:pPr>
      <w:r>
        <w:rPr>
          <w:rFonts w:ascii="Times New Roman" w:hAnsi="Times New Roman"/>
          <w:sz w:val="24"/>
        </w:rPr>
        <w:t>The SimulationRunner supports two distinct operating modes: single-frame step execution and batch experiment sweeps.</w:t>
      </w:r>
    </w:p>
    <w:p>
      <w:pPr>
        <w:jc w:val="left"/>
        <w:spacing w:before="160" w:after="60" w:line="360" w:lineRule="auto"/>
        <w:jc w:val="left"/>
      </w:pPr>
      <w:r>
        <w:rPr>
          <w:rFonts w:ascii="Times New Roman" w:hAnsi="Times New Roman"/>
          <w:b/>
          <w:sz w:val="24"/>
        </w:rPr>
        <w:t>6.1.1 Single-Frame Step Execution (run_single_frame)</w:t>
      </w:r>
    </w:p>
    <w:p>
      <w:pPr>
        <w:jc w:val="both"/>
        <w:spacing w:before="0" w:after="120" w:line="360" w:lineRule="auto"/>
        <w:jc w:val="both"/>
      </w:pPr>
      <w:r>
        <w:rPr>
          <w:rFonts w:ascii="Times New Roman" w:hAnsi="Times New Roman"/>
          <w:sz w:val="24"/>
        </w:rPr>
        <w:t>The method run_single_frame() executes a complete discrete frame cycle through the communication chain:</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Step 1: Data Generation: </w:t>
      </w:r>
      <w:r>
        <w:rPr>
          <w:rFonts w:ascii="Times New Roman" w:hAnsi="Times New Roman"/>
          <w:sz w:val="24"/>
        </w:rPr>
        <w:t>Generates synthetic binary application data using cryptographic pseudorandom bytes (os.urandom) or deterministic PRBS sequences.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Step 2: Framing &amp; Coding: </w:t>
      </w:r>
      <w:r>
        <w:rPr>
          <w:rFonts w:ascii="Times New Roman" w:hAnsi="Times New Roman"/>
          <w:sz w:val="24"/>
        </w:rPr>
        <w:t>Structures the payload into an 8-byte header, encodes with the active RS profile, and computes the 32-bit CRC checksum.</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Step 3: Optical Modulation: </w:t>
      </w:r>
      <w:r>
        <w:rPr>
          <w:rFonts w:ascii="Times New Roman" w:hAnsi="Times New Roman"/>
          <w:sz w:val="24"/>
        </w:rPr>
        <w:t>Serializes the encoded byte array into bit pairs and projects them onto 4-CSK RGB intensity vectors.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Step 4: Channel Transmission: </w:t>
      </w:r>
      <w:r>
        <w:rPr>
          <w:rFonts w:ascii="Times New Roman" w:hAnsi="Times New Roman"/>
          <w:sz w:val="24"/>
        </w:rPr>
        <w:t>Simulates indoor channel impairments including user-specified dimming attenuation, optical crosstalk mixing, and additive white Gaussian receiver noise.</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Step 5: Optical Demapping: </w:t>
      </w:r>
      <w:r>
        <w:rPr>
          <w:rFonts w:ascii="Times New Roman" w:hAnsi="Times New Roman"/>
          <w:sz w:val="24"/>
        </w:rPr>
        <w:t>Executes AGC normalisation and minimum Euclidean distance maximum-likelihood demapping to reconstruct symbol bit pairs.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Step 6: RS Error Correction: </w:t>
      </w:r>
      <w:r>
        <w:rPr>
          <w:rFonts w:ascii="Times New Roman" w:hAnsi="Times New Roman"/>
          <w:sz w:val="24"/>
        </w:rPr>
        <w:t>Feeds received symbols into the reedsolo Galois Field decoder, repairing corrupted symbols up to capacity t.</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Step 7: CRC Integrity Check: </w:t>
      </w:r>
      <w:r>
        <w:rPr>
          <w:rFonts w:ascii="Times New Roman" w:hAnsi="Times New Roman"/>
          <w:sz w:val="24"/>
        </w:rPr>
        <w:t>Recalculates the CRC32 checksum over recovered header and payload bytes, verifying end-to-end data integrity.</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Step 8: Quality Feedback: </w:t>
      </w:r>
      <w:r>
        <w:rPr>
          <w:rFonts w:ascii="Times New Roman" w:hAnsi="Times New Roman"/>
          <w:sz w:val="24"/>
        </w:rPr>
        <w:t>Computes instantaneous EVM, updates sliding-window metrics, and invokes the adaptive controller to select the RS profile for the subsequent frame.</w:t>
      </w:r>
    </w:p>
    <w:p>
      <w:pPr>
        <w:jc w:val="left"/>
        <w:spacing w:before="160" w:after="60" w:line="360" w:lineRule="auto"/>
        <w:jc w:val="left"/>
      </w:pPr>
      <w:r>
        <w:rPr>
          <w:rFonts w:ascii="Times New Roman" w:hAnsi="Times New Roman"/>
          <w:b/>
          <w:sz w:val="24"/>
        </w:rPr>
        <w:t>6.1.2 Batch Experimentation and Multi-Seed Logging</w:t>
      </w:r>
    </w:p>
    <w:p>
      <w:pPr>
        <w:jc w:val="both"/>
        <w:spacing w:before="0" w:after="120" w:line="360" w:lineRule="auto"/>
        <w:jc w:val="both"/>
      </w:pPr>
      <w:r>
        <w:rPr>
          <w:rFonts w:ascii="Times New Roman" w:hAnsi="Times New Roman"/>
          <w:sz w:val="24"/>
        </w:rPr>
        <w:t>For systematic comparative evaluation against static baselines, the engine provides run_batch_experiment(). This method sweeps parameter vectors (such as SNR from 6 dB to 24 dB, dimming factors from 0.1 to 1.0, and crosstalk from 0% to 20%) across multiple independent random seeds. All frame-level telemetry metrics—including bit errors, symbol errors, frame errors, corrected bytes, effective Goodput, active profile ID, and decision traces—are logged to disk as structured CSV records (frame_level_logs.csv and statistical_summary.csv).</w:t>
      </w:r>
    </w:p>
    <w:p>
      <w:pPr>
        <w:jc w:val="left"/>
        <w:spacing w:before="240" w:after="80" w:line="360" w:lineRule="auto"/>
        <w:jc w:val="left"/>
      </w:pPr>
      <w:r>
        <w:rPr>
          <w:rFonts w:ascii="Times New Roman" w:hAnsi="Times New Roman"/>
          <w:b/>
          <w:sz w:val="26"/>
        </w:rPr>
        <w:t>6.2 Streamlit-Based Interactive Research Dashboard</w:t>
      </w:r>
    </w:p>
    <w:p>
      <w:pPr>
        <w:jc w:val="both"/>
        <w:spacing w:before="0" w:after="120" w:line="360" w:lineRule="auto"/>
        <w:jc w:val="both"/>
      </w:pPr>
      <w:r>
        <w:rPr>
          <w:rFonts w:ascii="Times New Roman" w:hAnsi="Times New Roman"/>
          <w:sz w:val="24"/>
        </w:rPr>
        <w:t>To provide an intuitive experimental research workbench for real-time demonstration, parameter exploration, and forensic telemetry analysis, an interactive web application was developed using Streamlit (dashboard.py). The dashboard features a responsive, modern dark-mode interface with custom CSS styling, dynamic SVG icons, and interactive Plotly visualization components.</w:t>
      </w:r>
    </w:p>
    <w:p>
      <w:pPr>
        <w:jc w:val="left"/>
        <w:spacing w:before="160" w:after="60" w:line="360" w:lineRule="auto"/>
        <w:jc w:val="left"/>
      </w:pPr>
      <w:r>
        <w:rPr>
          <w:rFonts w:ascii="Times New Roman" w:hAnsi="Times New Roman"/>
          <w:b/>
          <w:sz w:val="24"/>
        </w:rPr>
        <w:t>6.2.1 Operating Mode 1: Live Simulation Mode</w:t>
      </w:r>
    </w:p>
    <w:p>
      <w:pPr>
        <w:jc w:val="both"/>
        <w:spacing w:before="0" w:after="120" w:line="360" w:lineRule="auto"/>
        <w:jc w:val="both"/>
      </w:pPr>
      <w:r>
        <w:rPr>
          <w:rFonts w:ascii="Times New Roman" w:hAnsi="Times New Roman"/>
          <w:sz w:val="24"/>
        </w:rPr>
        <w:t>Live Simulation Mode enables interactive real-time investigation of the adaptive communication chain under dynamic channel impairments. Researchers configure operational parameters via sidebar controls: Channel Base SNR (0.0 to 25.0 dB), LED Dimming Factor (0.1 to 1.0), RGB Optical Crosstalk (0.00 to 0.30), Dynamic Channel Walk Profile (Static, Slow Drift, Sudden Drop), and RS Controller Mode (Adaptive vs. Fixed Profiles).</w:t>
      </w:r>
    </w:p>
    <w:p>
      <w:pPr>
        <w:jc w:val="both"/>
        <w:spacing w:before="0" w:after="120" w:line="360" w:lineRule="auto"/>
        <w:jc w:val="both"/>
      </w:pPr>
      <w:r>
        <w:rPr>
          <w:rFonts w:ascii="Times New Roman" w:hAnsi="Times New Roman"/>
          <w:sz w:val="24"/>
        </w:rPr>
        <w:t>During active simulation, the dashboard updates a top KPI ribbon showing current SNR, active RS profile, instantaneous FER, BER, Goodput (kbps), and live CRC status. To prevent browser rendering lag while simulating high frame rates, the dashboard implements a dual-tier rendering strategy: lightweight metric cards update on every single frame, while computationally heavy Plotly charts (3-panel time-series strip, 3D constellation scatter, and threshold gauge) update every 10 frames via render throttling.</w:t>
      </w:r>
    </w:p>
    <w:p>
      <w:pPr>
        <w:jc w:val="left"/>
        <w:spacing w:before="160" w:after="60" w:line="360" w:lineRule="auto"/>
        <w:jc w:val="left"/>
      </w:pPr>
      <w:r>
        <w:rPr>
          <w:rFonts w:ascii="Times New Roman" w:hAnsi="Times New Roman"/>
          <w:b/>
          <w:sz w:val="24"/>
        </w:rPr>
        <w:t>6.2.2 Operating Mode 2: Multi-Baseline Benchmark Mode</w:t>
      </w:r>
    </w:p>
    <w:p>
      <w:pPr>
        <w:jc w:val="both"/>
        <w:spacing w:before="0" w:after="120" w:line="360" w:lineRule="auto"/>
        <w:jc w:val="both"/>
      </w:pPr>
      <w:r>
        <w:rPr>
          <w:rFonts w:ascii="Times New Roman" w:hAnsi="Times New Roman"/>
          <w:sz w:val="24"/>
        </w:rPr>
        <w:t>Multi-Baseline Benchmark Mode evaluates the statistical superiority of the Adaptive RS controller against all four static profiles across identical channel conditions. The workbench executes multi-seed Monte Carlo trials, computing cross-seed mean performance, sample standard deviation, and 95% Confidence Intervals for Goodput, FER, and BER. Results are rendered as grouped bar charts with error whiskers and exported to statistical summary tables.</w:t>
      </w:r>
    </w:p>
    <w:p>
      <w:pPr>
        <w:jc w:val="left"/>
        <w:spacing w:before="160" w:after="60" w:line="360" w:lineRule="auto"/>
        <w:jc w:val="left"/>
      </w:pPr>
      <w:r>
        <w:rPr>
          <w:rFonts w:ascii="Times New Roman" w:hAnsi="Times New Roman"/>
          <w:b/>
          <w:sz w:val="24"/>
        </w:rPr>
        <w:t>6.2.3 Operating Mode 3: Log-Driven Replay Mode</w:t>
      </w:r>
    </w:p>
    <w:p>
      <w:pPr>
        <w:jc w:val="both"/>
        <w:spacing w:before="0" w:after="120" w:line="360" w:lineRule="auto"/>
        <w:jc w:val="both"/>
      </w:pPr>
      <w:r>
        <w:rPr>
          <w:rFonts w:ascii="Times New Roman" w:hAnsi="Times New Roman"/>
          <w:sz w:val="24"/>
        </w:rPr>
        <w:t>Log-Driven Replay Mode functions as a post-mortem forensic inspection workbench. Researchers load exported simulation CSV logs and scrub through historical frames using an interactive slider. For any selected frame, the dashboard displays complete channel telemetry, highlights constellation distortions, renders the exact decision trace, and re-simulates the physical transmission using recorded seed offsets to display raw transmitted and recovered payload bytes in hexadecimal.</w:t>
      </w:r>
    </w:p>
    <w:p>
      <w:pPr>
        <w:jc w:val="left"/>
        <w:spacing w:before="240" w:after="80" w:line="360" w:lineRule="auto"/>
        <w:jc w:val="left"/>
      </w:pPr>
      <w:r>
        <w:rPr>
          <w:rFonts w:ascii="Times New Roman" w:hAnsi="Times New Roman"/>
          <w:b/>
          <w:sz w:val="26"/>
        </w:rPr>
        <w:t>6.3 Test-Driven Development and Automated Verification (17 Pytest Suites)</w:t>
      </w:r>
    </w:p>
    <w:p>
      <w:pPr>
        <w:jc w:val="both"/>
        <w:spacing w:before="0" w:after="120" w:line="360" w:lineRule="auto"/>
        <w:jc w:val="both"/>
      </w:pPr>
      <w:r>
        <w:rPr>
          <w:rFonts w:ascii="Times New Roman" w:hAnsi="Times New Roman"/>
          <w:sz w:val="24"/>
        </w:rPr>
        <w:t>To guarantee absolute numerical fidelity, mathematical correctness, and protocol compliance across all simulator layers, development strictly adhered to Test-Driven Development (TDD) methodologies. A comprehensive automated test suite comprising 17 unit tests distributed across seven dedicated test modules was constructed using the pytest framework.</w:t>
      </w:r>
    </w:p>
    <w:p>
      <w:pPr>
        <w:jc w:val="both"/>
        <w:spacing w:before="0" w:after="120" w:line="360" w:lineRule="auto"/>
        <w:jc w:val="both"/>
      </w:pPr>
      <w:r>
        <w:rPr>
          <w:rFonts w:ascii="Times New Roman" w:hAnsi="Times New Roman"/>
          <w:sz w:val="24"/>
        </w:rPr>
        <w:t>Table 6.1 details the test suite architecture, validation scope, tested assertions, and execution results.</w:t>
      </w:r>
    </w:p>
    <w:p>
      <w:pPr>
        <w:jc w:val="left"/>
        <w:spacing w:before="160" w:after="60"/>
      </w:pPr>
      <w:r>
        <w:rPr>
          <w:rFonts w:ascii="Times New Roman" w:hAnsi="Times New Roman"/>
          <w:b/>
          <w:sz w:val="22"/>
        </w:rPr>
        <w:t>Table 6.1  Comprehensive Unit Test Architecture, Validation Scope, and Verification Results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1806"/>
        <w:gridCol w:w="1806"/>
        <w:gridCol w:w="1806"/>
        <w:gridCol w:w="1806"/>
        <w:gridCol w:w="1806"/>
      </w:tblGrid>
      <w:tr>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Test Module</w:t>
            </w:r>
          </w:p>
        </w:tc>
        <w:tc>
          <w:tcPr>
            <w:tcW w:type="dxa" w:w="259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Test Function Name</w:t>
            </w:r>
          </w:p>
        </w:tc>
        <w:tc>
          <w:tcPr>
            <w:tcW w:type="dxa" w:w="230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Scope of Validation</w:t>
            </w:r>
          </w:p>
        </w:tc>
        <w:tc>
          <w:tcPr>
            <w:tcW w:type="dxa" w:w="230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Target Assertion</w:t>
            </w:r>
          </w:p>
        </w:tc>
        <w:tc>
          <w:tcPr>
            <w:tcW w:type="dxa" w:w="115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Result</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test_frame.py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test_frame_build_and_parse_success</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Header packing &amp; CRC32 verification</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Payload and header integrity match</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PASSED</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test_frame.py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test_crc_failure_detection</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Payload corruption detection</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CRC32 mismatch triggers decode failure</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PASSED</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test_frame.py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test_frame_short_payload</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Arbitrary payload length handling</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Zero-padding stripped correctly</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PASSED</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test_rs_codec.py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test_rs_codec_uncoded</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RS_OFF pass-through fidelity</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Uncoded data returned unaltered</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PASSED</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test_rs_codec.py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test_rs_codec_error_correction</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Correction capacity verification</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Repairs 16 corrupted bytes in RS(255,223)</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PASSED</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test_rs_codec.py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test_rs_codec_uncorrectable</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Uncorrectable error trapping</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Catches ReedSolomonError when errors &gt; t</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PASSED</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test_csk_mapper.py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test_csk_mapping_demapping_no_noise</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Constellation geometric mapping</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Exact bit-to-RGB-to-bit recovery (0 bit error)</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PASSED</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test_optical_channel.py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test_dimming_reduces_power</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Optical radiant flux attenuation</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Transmitted optical power scales with dimming</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PASSED</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test_optical_channel.py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test_dimming_with_agc_increases_errors</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AGC noise amplification effect</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Demapping errors increase under dimming</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PASSED</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test_optical_channel.py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test_noise_increases_errors</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AWGN scaling characteristics</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Errors monotonically increase as SNR drops</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PASSED</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test_channel_quality_estimator.py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test_sliding_window_metrics</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Rolling buffer state tracking</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Window FER, streak, and SNR updated accurately</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PASSED</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test_channel_quality_estimator.py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test_estimate_snr_perfect_signal</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EVM cap under zero noise</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SNR clamped to upper ceiling of 100.0 dB</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PASSED</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test_channel_quality_estimator.py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test_estimate_snr_noisy_signal</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EVM calculation accuracy</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Estimated SNR tracks injected AWGN variance</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PASSED</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test_adaptive_controller.py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test_escalation_trigger</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Fast retreat trigger logic</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Forces RS_HIGH on streak &gt;= 2 or FER &gt; 0.1</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PASSED</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test_adaptive_controller.py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test_hysteresis_upgrade_downgrade</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0.5 dB hysteresis deadband</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Prevents premature profile toggling</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PASSED</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test_dashboard_replay.py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test_build_experiment_metadata</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Provenance metadata generation</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Valid JSON schema with complete experiment keys</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PASSED</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test_dashboard_replay.py</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test_replay_dataframe_parsing</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CSV log forensic parsing</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Telemetry fields correctly cast and extracted</w:t>
            </w:r>
          </w:p>
        </w:tc>
        <w:tc>
          <w:tcPr>
            <w:tcW w:type="dxa" w:w="1152"/>
            <w:tcMar>
              <w:top w:w="60" w:type="dxa"/>
              <w:bottom w:w="60" w:type="dxa"/>
              <w:left w:w="100" w:type="dxa"/>
              <w:right w:w="100" w:type="dxa"/>
            </w:tcMar>
            <w:vAlign w:val="center"/>
          </w:tcPr>
          <w:p>
            <w:pPr>
              <w:jc w:val="center"/>
              <w:spacing w:before="60" w:after="60"/>
            </w:pPr>
            <w:r/>
            <w:r>
              <w:rPr>
                <w:rFonts w:ascii="Times New Roman" w:hAnsi="Times New Roman"/>
                <w:sz w:val="20"/>
              </w:rPr>
              <w:t>PASSED</w:t>
            </w:r>
          </w:p>
        </w:tc>
      </w:tr>
    </w:tbl>
    <w:p>
      <w:pPr>
        <w:spacing w:before="0" w:after="120"/>
      </w:pPr>
    </w:p>
    <w:p>
      <w:pPr>
        <w:jc w:val="both"/>
        <w:spacing w:before="0" w:after="120" w:line="360" w:lineRule="auto"/>
        <w:jc w:val="both"/>
      </w:pPr>
      <w:r>
        <w:rPr>
          <w:rFonts w:ascii="Times New Roman" w:hAnsi="Times New Roman"/>
          <w:sz w:val="24"/>
        </w:rPr>
        <w:t>All 17 automated tests execute in under 2.5 seconds with a 100% pass rate, providing continuous integration verification and ensuring that future extensions (such as the Major Project Deep Reinforcement Learning agent) can be developed against a stable, regression-tested foundation.</w:t>
      </w:r>
    </w:p>
    <w:p>
      <w:pPr>
        <w:jc w:val="left"/>
        <w:spacing w:before="240" w:after="240" w:line="360" w:lineRule="auto"/>
        <w:jc w:val="left"/>
      </w:pPr>
      <w:r>
        <w:rPr>
          <w:rFonts w:ascii="Times New Roman" w:hAnsi="Times New Roman"/>
          <w:b/>
          <w:sz w:val="28"/>
        </w:rPr>
        <w:t>CHAPTER 7</w:t>
        <w:br/>
      </w:r>
      <w:r>
        <w:rPr>
          <w:rFonts w:ascii="Times New Roman" w:hAnsi="Times New Roman"/>
          <w:b/>
          <w:sz w:val="28"/>
        </w:rPr>
        <w:t>EXPERIMENTAL EVALUATION, RESULTS AND DISCUSSION</w:t>
      </w:r>
    </w:p>
    <w:p>
      <w:pPr>
        <w:jc w:val="left"/>
        <w:spacing w:before="240" w:after="80" w:line="360" w:lineRule="auto"/>
        <w:jc w:val="left"/>
      </w:pPr>
      <w:r>
        <w:rPr>
          <w:rFonts w:ascii="Times New Roman" w:hAnsi="Times New Roman"/>
          <w:b/>
          <w:sz w:val="26"/>
        </w:rPr>
        <w:t>7.1 Experimental Setup and Parameter Configuration</w:t>
      </w:r>
    </w:p>
    <w:p>
      <w:pPr>
        <w:jc w:val="both"/>
        <w:spacing w:before="0" w:after="120" w:line="360" w:lineRule="auto"/>
        <w:jc w:val="both"/>
      </w:pPr>
      <w:r>
        <w:rPr>
          <w:rFonts w:ascii="Times New Roman" w:hAnsi="Times New Roman"/>
          <w:sz w:val="24"/>
        </w:rPr>
        <w:t>To rigorously quantify the performance advantages of the proposed Channel-Aware Adaptive Reed–Solomon controller over conventional static error control schemes, extensive numerical experiments were conducted within the simulation framework. Evaluations encompass static SNR sweeps, time-varying dynamic channel walks, 2D parametric dimming and crosstalk sweeps, and multi-seed Monte Carlo statistical benchmarks.</w:t>
      </w:r>
    </w:p>
    <w:p>
      <w:pPr>
        <w:jc w:val="both"/>
        <w:spacing w:before="0" w:after="120" w:line="360" w:lineRule="auto"/>
        <w:jc w:val="both"/>
      </w:pPr>
      <w:r>
        <w:rPr>
          <w:rFonts w:ascii="Times New Roman" w:hAnsi="Times New Roman"/>
          <w:sz w:val="24"/>
        </w:rPr>
        <w:t>Table 7.1 details the standard experimental parameter configuration employed across all evaluations, matching physical indoor office lighting conditions and IEEE 802.15.7 physical layer specifications.</w:t>
      </w:r>
    </w:p>
    <w:p>
      <w:pPr>
        <w:jc w:val="left"/>
        <w:spacing w:before="160" w:after="60"/>
      </w:pPr>
      <w:r>
        <w:rPr>
          <w:rFonts w:ascii="Times New Roman" w:hAnsi="Times New Roman"/>
          <w:b/>
          <w:sz w:val="22"/>
        </w:rPr>
        <w:t>Table 7.1  Standard System Simulation Parameters and Environmental Specifications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2257"/>
        <w:gridCol w:w="2257"/>
        <w:gridCol w:w="2257"/>
        <w:gridCol w:w="2257"/>
      </w:tblGrid>
      <w:tr>
        <w:tc>
          <w:tcPr>
            <w:tcW w:type="dxa" w:w="288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Parameter Description</w:t>
            </w:r>
          </w:p>
        </w:tc>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Configuration Symbol</w:t>
            </w:r>
          </w:p>
        </w:tc>
        <w:tc>
          <w:tcPr>
            <w:tcW w:type="dxa" w:w="187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Numerical Value</w:t>
            </w:r>
          </w:p>
        </w:tc>
        <w:tc>
          <w:tcPr>
            <w:tcW w:type="dxa" w:w="259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Physical / Protocol Unit</w:t>
            </w:r>
          </w:p>
        </w:tc>
      </w:tr>
      <w:tr>
        <w:tc>
          <w:tcPr>
            <w:tcW w:type="dxa" w:w="2880"/>
            <w:tcMar>
              <w:top w:w="60" w:type="dxa"/>
              <w:bottom w:w="60" w:type="dxa"/>
              <w:left w:w="100" w:type="dxa"/>
              <w:right w:w="100" w:type="dxa"/>
            </w:tcMar>
            <w:vAlign w:val="center"/>
          </w:tcPr>
          <w:p>
            <w:pPr>
              <w:jc w:val="left"/>
              <w:spacing w:before="60" w:after="60"/>
            </w:pPr>
            <w:r/>
            <w:r>
              <w:rPr>
                <w:rFonts w:ascii="Times New Roman" w:hAnsi="Times New Roman"/>
                <w:sz w:val="20"/>
              </w:rPr>
              <w:t>Optical Modulation Scheme</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MOD</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IEEE 802.15.7 4-CSK</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Constellation Order M = 4</w:t>
            </w:r>
          </w:p>
        </w:tc>
      </w:tr>
      <w:tr>
        <w:tc>
          <w:tcPr>
            <w:tcW w:type="dxa" w:w="2880"/>
            <w:tcMar>
              <w:top w:w="60" w:type="dxa"/>
              <w:bottom w:w="60" w:type="dxa"/>
              <w:left w:w="100" w:type="dxa"/>
              <w:right w:w="100" w:type="dxa"/>
            </w:tcMar>
            <w:vAlign w:val="center"/>
          </w:tcPr>
          <w:p>
            <w:pPr>
              <w:jc w:val="left"/>
              <w:spacing w:before="60" w:after="60"/>
            </w:pPr>
            <w:r/>
            <w:r>
              <w:rPr>
                <w:rFonts w:ascii="Times New Roman" w:hAnsi="Times New Roman"/>
                <w:sz w:val="20"/>
              </w:rPr>
              <w:t>Physical Symbol Rate</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R_sym</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1.0 x 10^6</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Symbols per second (1.0 MSps)</w:t>
            </w:r>
          </w:p>
        </w:tc>
      </w:tr>
      <w:tr>
        <w:tc>
          <w:tcPr>
            <w:tcW w:type="dxa" w:w="2880"/>
            <w:tcMar>
              <w:top w:w="60" w:type="dxa"/>
              <w:bottom w:w="60" w:type="dxa"/>
              <w:left w:w="100" w:type="dxa"/>
              <w:right w:w="100" w:type="dxa"/>
            </w:tcMar>
            <w:vAlign w:val="center"/>
          </w:tcPr>
          <w:p>
            <w:pPr>
              <w:jc w:val="left"/>
              <w:spacing w:before="60" w:after="60"/>
            </w:pPr>
            <w:r/>
            <w:r>
              <w:rPr>
                <w:rFonts w:ascii="Times New Roman" w:hAnsi="Times New Roman"/>
                <w:sz w:val="20"/>
              </w:rPr>
              <w:t>Raw Channel Data Rate</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R_raw</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2.0 x 10^6</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Bits per second (2.0 Mbps)</w:t>
            </w:r>
          </w:p>
        </w:tc>
      </w:tr>
      <w:tr>
        <w:tc>
          <w:tcPr>
            <w:tcW w:type="dxa" w:w="2880"/>
            <w:tcMar>
              <w:top w:w="60" w:type="dxa"/>
              <w:bottom w:w="60" w:type="dxa"/>
              <w:left w:w="100" w:type="dxa"/>
              <w:right w:w="100" w:type="dxa"/>
            </w:tcMar>
            <w:vAlign w:val="center"/>
          </w:tcPr>
          <w:p>
            <w:pPr>
              <w:jc w:val="left"/>
              <w:spacing w:before="60" w:after="60"/>
            </w:pPr>
            <w:r/>
            <w:r>
              <w:rPr>
                <w:rFonts w:ascii="Times New Roman" w:hAnsi="Times New Roman"/>
                <w:sz w:val="20"/>
              </w:rPr>
              <w:t>Nominal Application Payload</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L_payload</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223</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Bytes per frame block</w:t>
            </w:r>
          </w:p>
        </w:tc>
      </w:tr>
      <w:tr>
        <w:tc>
          <w:tcPr>
            <w:tcW w:type="dxa" w:w="2880"/>
            <w:tcMar>
              <w:top w:w="60" w:type="dxa"/>
              <w:bottom w:w="60" w:type="dxa"/>
              <w:left w:w="100" w:type="dxa"/>
              <w:right w:w="100" w:type="dxa"/>
            </w:tcMar>
            <w:vAlign w:val="center"/>
          </w:tcPr>
          <w:p>
            <w:pPr>
              <w:jc w:val="left"/>
              <w:spacing w:before="60" w:after="60"/>
            </w:pPr>
            <w:r/>
            <w:r>
              <w:rPr>
                <w:rFonts w:ascii="Times New Roman" w:hAnsi="Times New Roman"/>
                <w:sz w:val="20"/>
              </w:rPr>
              <w:t>Protocol Framing Overhead</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L_hdr</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12</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Bytes (8B Header + 4B CRC32)</w:t>
            </w:r>
          </w:p>
        </w:tc>
      </w:tr>
      <w:tr>
        <w:tc>
          <w:tcPr>
            <w:tcW w:type="dxa" w:w="2880"/>
            <w:tcMar>
              <w:top w:w="60" w:type="dxa"/>
              <w:bottom w:w="60" w:type="dxa"/>
              <w:left w:w="100" w:type="dxa"/>
              <w:right w:w="100" w:type="dxa"/>
            </w:tcMar>
            <w:vAlign w:val="center"/>
          </w:tcPr>
          <w:p>
            <w:pPr>
              <w:jc w:val="left"/>
              <w:spacing w:before="60" w:after="60"/>
            </w:pPr>
            <w:r/>
            <w:r>
              <w:rPr>
                <w:rFonts w:ascii="Times New Roman" w:hAnsi="Times New Roman"/>
                <w:sz w:val="20"/>
              </w:rPr>
              <w:t>Total Reed-Solomon Codeword Block</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N_block</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255</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Bytes per codeword (GF(2^8))</w:t>
            </w:r>
          </w:p>
        </w:tc>
      </w:tr>
      <w:tr>
        <w:tc>
          <w:tcPr>
            <w:tcW w:type="dxa" w:w="2880"/>
            <w:tcMar>
              <w:top w:w="60" w:type="dxa"/>
              <w:bottom w:w="60" w:type="dxa"/>
              <w:left w:w="100" w:type="dxa"/>
              <w:right w:w="100" w:type="dxa"/>
            </w:tcMar>
            <w:vAlign w:val="center"/>
          </w:tcPr>
          <w:p>
            <w:pPr>
              <w:jc w:val="left"/>
              <w:spacing w:before="60" w:after="60"/>
            </w:pPr>
            <w:r/>
            <w:r>
              <w:rPr>
                <w:rFonts w:ascii="Times New Roman" w:hAnsi="Times New Roman"/>
                <w:sz w:val="20"/>
              </w:rPr>
              <w:t>Target Reliability Bound</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FER_target</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0.01</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Maximum Tolerable Frame Loss (1.0%)</w:t>
            </w:r>
          </w:p>
        </w:tc>
      </w:tr>
      <w:tr>
        <w:tc>
          <w:tcPr>
            <w:tcW w:type="dxa" w:w="2880"/>
            <w:tcMar>
              <w:top w:w="60" w:type="dxa"/>
              <w:bottom w:w="60" w:type="dxa"/>
              <w:left w:w="100" w:type="dxa"/>
              <w:right w:w="100" w:type="dxa"/>
            </w:tcMar>
            <w:vAlign w:val="center"/>
          </w:tcPr>
          <w:p>
            <w:pPr>
              <w:jc w:val="left"/>
              <w:spacing w:before="60" w:after="60"/>
            </w:pPr>
            <w:r/>
            <w:r>
              <w:rPr>
                <w:rFonts w:ascii="Times New Roman" w:hAnsi="Times New Roman"/>
                <w:sz w:val="20"/>
              </w:rPr>
              <w:t>Adaptive Hysteresis Margin</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Delta</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0.5</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Decibels (dB)</w:t>
            </w:r>
          </w:p>
        </w:tc>
      </w:tr>
      <w:tr>
        <w:tc>
          <w:tcPr>
            <w:tcW w:type="dxa" w:w="2880"/>
            <w:tcMar>
              <w:top w:w="60" w:type="dxa"/>
              <w:bottom w:w="60" w:type="dxa"/>
              <w:left w:w="100" w:type="dxa"/>
              <w:right w:w="100" w:type="dxa"/>
            </w:tcMar>
            <w:vAlign w:val="center"/>
          </w:tcPr>
          <w:p>
            <w:pPr>
              <w:jc w:val="left"/>
              <w:spacing w:before="60" w:after="60"/>
            </w:pPr>
            <w:r/>
            <w:r>
              <w:rPr>
                <w:rFonts w:ascii="Times New Roman" w:hAnsi="Times New Roman"/>
                <w:sz w:val="20"/>
              </w:rPr>
              <w:t>Receiver Estimator Sliding Window</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W</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10</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Consecutive frames</w:t>
            </w:r>
          </w:p>
        </w:tc>
      </w:tr>
      <w:tr>
        <w:tc>
          <w:tcPr>
            <w:tcW w:type="dxa" w:w="2880"/>
            <w:tcMar>
              <w:top w:w="60" w:type="dxa"/>
              <w:bottom w:w="60" w:type="dxa"/>
              <w:left w:w="100" w:type="dxa"/>
              <w:right w:w="100" w:type="dxa"/>
            </w:tcMar>
            <w:vAlign w:val="center"/>
          </w:tcPr>
          <w:p>
            <w:pPr>
              <w:jc w:val="left"/>
              <w:spacing w:before="60" w:after="60"/>
            </w:pPr>
            <w:r/>
            <w:r>
              <w:rPr>
                <w:rFonts w:ascii="Times New Roman" w:hAnsi="Times New Roman"/>
                <w:sz w:val="20"/>
              </w:rPr>
              <w:t>Emergency Escalation Streak Threshold</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streak_max</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2</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Consecutive CRC32 failures</w:t>
            </w:r>
          </w:p>
        </w:tc>
      </w:tr>
      <w:tr>
        <w:tc>
          <w:tcPr>
            <w:tcW w:type="dxa" w:w="2880"/>
            <w:tcMar>
              <w:top w:w="60" w:type="dxa"/>
              <w:bottom w:w="60" w:type="dxa"/>
              <w:left w:w="100" w:type="dxa"/>
              <w:right w:w="100" w:type="dxa"/>
            </w:tcMar>
            <w:vAlign w:val="center"/>
          </w:tcPr>
          <w:p>
            <w:pPr>
              <w:jc w:val="left"/>
              <w:spacing w:before="60" w:after="60"/>
            </w:pPr>
            <w:r/>
            <w:r>
              <w:rPr>
                <w:rFonts w:ascii="Times New Roman" w:hAnsi="Times New Roman"/>
                <w:sz w:val="20"/>
              </w:rPr>
              <w:t>LED Dimming Operating Range</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gamma_dim</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0.1 to 1.0</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Normalized optical radiant flux</w:t>
            </w:r>
          </w:p>
        </w:tc>
      </w:tr>
      <w:tr>
        <w:tc>
          <w:tcPr>
            <w:tcW w:type="dxa" w:w="2880"/>
            <w:tcMar>
              <w:top w:w="60" w:type="dxa"/>
              <w:bottom w:w="60" w:type="dxa"/>
              <w:left w:w="100" w:type="dxa"/>
              <w:right w:w="100" w:type="dxa"/>
            </w:tcMar>
            <w:vAlign w:val="center"/>
          </w:tcPr>
          <w:p>
            <w:pPr>
              <w:jc w:val="left"/>
              <w:spacing w:before="60" w:after="60"/>
            </w:pPr>
            <w:r/>
            <w:r>
              <w:rPr>
                <w:rFonts w:ascii="Times New Roman" w:hAnsi="Times New Roman"/>
                <w:sz w:val="20"/>
              </w:rPr>
              <w:t>Adjacent Optical Crosstalk Leakage</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h_cross</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0.00 to 0.20</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Normalized spectral overlap fraction</w:t>
            </w:r>
          </w:p>
        </w:tc>
      </w:tr>
      <w:tr>
        <w:tc>
          <w:tcPr>
            <w:tcW w:type="dxa" w:w="2880"/>
            <w:tcMar>
              <w:top w:w="60" w:type="dxa"/>
              <w:bottom w:w="60" w:type="dxa"/>
              <w:left w:w="100" w:type="dxa"/>
              <w:right w:w="100" w:type="dxa"/>
            </w:tcMar>
            <w:vAlign w:val="center"/>
          </w:tcPr>
          <w:p>
            <w:pPr>
              <w:jc w:val="left"/>
              <w:spacing w:before="60" w:after="60"/>
            </w:pPr>
            <w:r/>
            <w:r>
              <w:rPr>
                <w:rFonts w:ascii="Times New Roman" w:hAnsi="Times New Roman"/>
                <w:sz w:val="20"/>
              </w:rPr>
              <w:t>Monte Carlo Random Seeds</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N_seeds</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5</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Independent PRNG initializations</w:t>
            </w:r>
          </w:p>
        </w:tc>
      </w:tr>
      <w:tr>
        <w:tc>
          <w:tcPr>
            <w:tcW w:type="dxa" w:w="2880"/>
            <w:tcMar>
              <w:top w:w="60" w:type="dxa"/>
              <w:bottom w:w="60" w:type="dxa"/>
              <w:left w:w="100" w:type="dxa"/>
              <w:right w:w="100" w:type="dxa"/>
            </w:tcMar>
            <w:vAlign w:val="center"/>
          </w:tcPr>
          <w:p>
            <w:pPr>
              <w:jc w:val="left"/>
              <w:spacing w:before="60" w:after="60"/>
            </w:pPr>
            <w:r/>
            <w:r>
              <w:rPr>
                <w:rFonts w:ascii="Times New Roman" w:hAnsi="Times New Roman"/>
                <w:sz w:val="20"/>
              </w:rPr>
              <w:t>Frames Simulated per Operating Point</w:t>
            </w:r>
          </w:p>
        </w:tc>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N_frames</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100 to 1000</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Frames per SNR sweep point</w:t>
            </w:r>
          </w:p>
        </w:tc>
      </w:tr>
    </w:tbl>
    <w:p>
      <w:pPr>
        <w:spacing w:before="0" w:after="120"/>
      </w:pPr>
    </w:p>
    <w:p>
      <w:pPr>
        <w:jc w:val="left"/>
        <w:spacing w:before="240" w:after="80" w:line="360" w:lineRule="auto"/>
        <w:jc w:val="left"/>
      </w:pPr>
      <w:r>
        <w:rPr>
          <w:rFonts w:ascii="Times New Roman" w:hAnsi="Times New Roman"/>
          <w:b/>
          <w:sz w:val="26"/>
        </w:rPr>
        <w:t>7.2 Bit Error Rate (BER) Analysis across SNR</w:t>
      </w:r>
    </w:p>
    <w:p>
      <w:pPr>
        <w:jc w:val="both"/>
        <w:spacing w:before="0" w:after="120" w:line="360" w:lineRule="auto"/>
        <w:jc w:val="both"/>
      </w:pPr>
      <w:r>
        <w:rPr>
          <w:rFonts w:ascii="Times New Roman" w:hAnsi="Times New Roman"/>
          <w:sz w:val="24"/>
        </w:rPr>
        <w:t>Figure 7.1 illustrates the empirical Bit Error Rate (BER) performance as a function of optical channel SNR, swept across the range from 6.0 dB to 24.0 dB. Performance is compared across all five candidate Reed-Solomon profiles as well as the proposed Adaptive RS controller.</w:t>
      </w:r>
    </w:p>
    <w:p>
      <w:pPr>
        <w:spacing w:before="160" w:after="80"/>
        <w:jc w:val="center"/>
      </w:pPr>
      <w:r>
        <w:drawing>
          <wp:inline xmlns:a="http://schemas.openxmlformats.org/drawingml/2006/main" xmlns:pic="http://schemas.openxmlformats.org/drawingml/2006/picture">
            <wp:extent cx="5303520" cy="3431689"/>
            <wp:docPr id="7" name="Picture 7"/>
            <wp:cNvGraphicFramePr>
              <a:graphicFrameLocks noChangeAspect="1"/>
            </wp:cNvGraphicFramePr>
            <a:graphic>
              <a:graphicData uri="http://schemas.openxmlformats.org/drawingml/2006/picture">
                <pic:pic>
                  <pic:nvPicPr>
                    <pic:cNvPr id="0" name="fig2_ber_vs_snr.png"/>
                    <pic:cNvPicPr/>
                  </pic:nvPicPr>
                  <pic:blipFill>
                    <a:blip r:embed="rId18"/>
                    <a:stretch>
                      <a:fillRect/>
                    </a:stretch>
                  </pic:blipFill>
                  <pic:spPr>
                    <a:xfrm>
                      <a:off x="0" y="0"/>
                      <a:ext cx="5303520" cy="3431689"/>
                    </a:xfrm>
                    <a:prstGeom prst="rect"/>
                  </pic:spPr>
                </pic:pic>
              </a:graphicData>
            </a:graphic>
          </wp:inline>
        </w:drawing>
      </w:r>
    </w:p>
    <w:p>
      <w:pPr>
        <w:jc w:val="center"/>
        <w:spacing w:before="40" w:after="200"/>
        <w:jc w:val="center"/>
      </w:pPr>
      <w:r>
        <w:rPr>
          <w:rFonts w:ascii="Times New Roman" w:hAnsi="Times New Roman"/>
          <w:b/>
          <w:sz w:val="21"/>
        </w:rPr>
        <w:t>Figure 7.1  Bit Error Rate (BER) vs. Channel SNR across Static RS Profiles and Adaptive Controller</w:t>
      </w:r>
    </w:p>
    <w:p>
      <w:pPr>
        <w:jc w:val="both"/>
        <w:spacing w:before="0" w:after="120" w:line="360" w:lineRule="auto"/>
        <w:jc w:val="both"/>
      </w:pPr>
      <w:r>
        <w:rPr>
          <w:rFonts w:ascii="Times New Roman" w:hAnsi="Times New Roman"/>
          <w:sz w:val="24"/>
        </w:rPr>
        <w:t>Table 7.2 presents the measured numerical BER values recorded at representative 2.0 dB intervals across the simulated operating regime.</w:t>
      </w:r>
    </w:p>
    <w:p>
      <w:pPr>
        <w:jc w:val="left"/>
        <w:spacing w:before="160" w:after="60"/>
      </w:pPr>
      <w:r>
        <w:rPr>
          <w:rFonts w:ascii="Times New Roman" w:hAnsi="Times New Roman"/>
          <w:b/>
          <w:sz w:val="22"/>
        </w:rPr>
        <w:t>Table 7.2  Empirical Bit Error Rate (BER) across Representative Channel SNR Operating Points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1505"/>
        <w:gridCol w:w="1505"/>
        <w:gridCol w:w="1505"/>
        <w:gridCol w:w="1505"/>
        <w:gridCol w:w="1505"/>
        <w:gridCol w:w="1505"/>
      </w:tblGrid>
      <w:tr>
        <w:tc>
          <w:tcPr>
            <w:tcW w:type="dxa" w:w="1728"/>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Channel SNR</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RS_OFF (Uncoded)</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RS_LIGHT (t=4)</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RS_MED (t=8)</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RS_HIGH (t=16)</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Adaptive RS</w:t>
            </w:r>
          </w:p>
        </w:tc>
      </w:tr>
      <w:tr>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6.0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1.42 x 10^-1</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1.12 x 10^-1</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8.45 x 10^-2</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4.21 x 10^-2</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4.21 x 10^-2</w:t>
            </w:r>
          </w:p>
        </w:tc>
      </w:tr>
      <w:tr>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8.0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8.95 x 10^-2</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5.82 x 10^-2</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3.10 x 10^-2</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8.74 x 10^-3</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8.74 x 10^-3</w:t>
            </w:r>
          </w:p>
        </w:tc>
      </w:tr>
      <w:tr>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10.0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4.56 x 10^-2</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2.14 x 10^-2</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6.85 x 10^-3</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4.50 x 10^-4</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4.50 x 10^-4</w:t>
            </w:r>
          </w:p>
        </w:tc>
      </w:tr>
      <w:tr>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12.0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1.85 x 10^-2</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4.92 x 10^-3</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5.12 x 10^-4</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r>
      <w:tr>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14.0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5.40 x 10^-3</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6.20 x 10^-4</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r>
      <w:tr>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16.0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1.12 x 10^-3</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2.80 x 10^-5</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r>
      <w:tr>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18.0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1.45 x 10^-4</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r>
      <w:tr>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20.0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8.50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r>
      <w:tr>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22.0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r>
      <w:tr>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24.0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&lt; 1.0 x 10^-6</w:t>
            </w:r>
          </w:p>
        </w:tc>
      </w:tr>
    </w:tbl>
    <w:p>
      <w:pPr>
        <w:spacing w:before="0" w:after="120"/>
      </w:pPr>
    </w:p>
    <w:p>
      <w:pPr>
        <w:jc w:val="both"/>
        <w:spacing w:before="0" w:after="120" w:line="360" w:lineRule="auto"/>
        <w:jc w:val="both"/>
      </w:pPr>
      <w:r>
        <w:rPr>
          <w:rFonts w:ascii="Times New Roman" w:hAnsi="Times New Roman"/>
          <w:sz w:val="24"/>
        </w:rPr>
        <w:t>As demonstrated in Figure 7.1 and Table 7.2, uncoded 4-CSK transmission requires at least 21.5 dB SNR to achieve a quasi-error-free threshold of BER &lt; 10^-5. In contrast, RS_HIGH (RS(255, 223)) introduces a dramatic coding gain of approximately 8.5 dB, reaching quasi-error-free performance at just 13.0 dB SNR. The Adaptive RS controller dynamically matches the steepest waterfall curve available at each SNR: in severely degraded channels (SNR &lt;= 14 dB), it adopts RS_HIGH, while in pristine channels (SNR &gt;= 20.5 dB), it shifts to RS_OFF without incurring unnecessary coding overhead.</w:t>
      </w:r>
    </w:p>
    <w:p>
      <w:pPr>
        <w:jc w:val="left"/>
        <w:spacing w:before="240" w:after="80" w:line="360" w:lineRule="auto"/>
        <w:jc w:val="left"/>
      </w:pPr>
      <w:r>
        <w:rPr>
          <w:rFonts w:ascii="Times New Roman" w:hAnsi="Times New Roman"/>
          <w:b/>
          <w:sz w:val="26"/>
        </w:rPr>
        <w:t>7.3 Frame Error Rate (FER) and Reliability Bound Compliance</w:t>
      </w:r>
    </w:p>
    <w:p>
      <w:pPr>
        <w:jc w:val="both"/>
        <w:spacing w:before="0" w:after="120" w:line="360" w:lineRule="auto"/>
        <w:jc w:val="both"/>
      </w:pPr>
      <w:r>
        <w:rPr>
          <w:rFonts w:ascii="Times New Roman" w:hAnsi="Times New Roman"/>
          <w:sz w:val="24"/>
        </w:rPr>
        <w:t>In packet-switched communication systems, Frame Error Rate (FER) represents the decisive quality-of-service metric because a single uncorrected byte within an entire frame causes a CRC32 verification failure, forcing the upper layer to drop or retransmit the entire packet.</w:t>
      </w:r>
    </w:p>
    <w:p>
      <w:pPr>
        <w:jc w:val="both"/>
        <w:spacing w:before="0" w:after="120" w:line="360" w:lineRule="auto"/>
        <w:jc w:val="both"/>
      </w:pPr>
      <w:r>
        <w:rPr>
          <w:rFonts w:ascii="Times New Roman" w:hAnsi="Times New Roman"/>
          <w:sz w:val="24"/>
        </w:rPr>
        <w:t>Table 7.3 presents the empirical Frame Error Rate measured across the SNR range. The horizontal line corresponding to the target reliability bound (FER &lt;= 10^-2) serves as the formal boundary condition for code selection.</w:t>
      </w:r>
    </w:p>
    <w:p>
      <w:pPr>
        <w:jc w:val="left"/>
        <w:spacing w:before="160" w:after="60"/>
      </w:pPr>
      <w:r>
        <w:rPr>
          <w:rFonts w:ascii="Times New Roman" w:hAnsi="Times New Roman"/>
          <w:b/>
          <w:sz w:val="22"/>
        </w:rPr>
        <w:t>Table 7.3  Empirical Frame Error Rate (FER) and Target Reliability Bound Compliance</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1290"/>
        <w:gridCol w:w="1290"/>
        <w:gridCol w:w="1290"/>
        <w:gridCol w:w="1290"/>
        <w:gridCol w:w="1290"/>
        <w:gridCol w:w="1290"/>
        <w:gridCol w:w="1290"/>
      </w:tblGrid>
      <w:tr>
        <w:tc>
          <w:tcPr>
            <w:tcW w:type="dxa" w:w="144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Channel SNR</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RS_OFF (Uncoded)</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RS_LIGHT (t=4)</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RS_MED (t=8)</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RS_HIGH (t=16)</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Adaptive RS</w:t>
            </w:r>
          </w:p>
        </w:tc>
        <w:tc>
          <w:tcPr>
            <w:tcW w:type="dxa" w:w="1728"/>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QoS Bound Satisfied?</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10.0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1.000 (100%)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0.985 (98.5%)</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0.620 (62.0%)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0.080 (8.0%)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0.080 (8.0%)</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Approaching bound</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12.0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0.995 (99.5%)</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0.740 (74.0%)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0.095 (9.5%)</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YES (FER &lt;= 0.01)</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14.0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0.850 (85.0%)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0.140 (14.0%)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YES (FER &lt;= 0.01)</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16.0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0.380 (38.0%)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0.008 (0.8%)</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YES (FER &lt;= 0.01)</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18.0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0.065 (6.5%)</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YES (FER &lt;= 0.01)</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20.0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0.004 (0.4%)</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YES (FER &lt;= 0.01)</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22.0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0.000 (0.0%)</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YES (FER &lt;= 0.01)</w:t>
            </w:r>
          </w:p>
        </w:tc>
      </w:tr>
    </w:tbl>
    <w:p>
      <w:pPr>
        <w:spacing w:before="0" w:after="120"/>
      </w:pPr>
    </w:p>
    <w:p>
      <w:pPr>
        <w:jc w:val="both"/>
        <w:spacing w:before="0" w:after="120" w:line="360" w:lineRule="auto"/>
        <w:jc w:val="both"/>
      </w:pPr>
      <w:r>
        <w:rPr>
          <w:rFonts w:ascii="Times New Roman" w:hAnsi="Times New Roman"/>
          <w:sz w:val="24"/>
        </w:rPr>
        <w:t>Table 7.3 highlights the catastrophic vulnerability of uncoded transmission in indoor VLC: at 14.0 dB SNR, despite exhibiting a moderate bit error rate (0.5%), the frame error rate is an intolerable 85.0%, meaning that nearly nine out of every ten application packets are discarded. By contrast, the Adaptive RS controller achieves 0.0% frame loss from 12.0 dB upwards, strictly honoring the target QoS bound across the entire operational range.</w:t>
      </w:r>
    </w:p>
    <w:p>
      <w:pPr>
        <w:jc w:val="left"/>
        <w:spacing w:before="240" w:after="80" w:line="360" w:lineRule="auto"/>
        <w:jc w:val="left"/>
      </w:pPr>
      <w:r>
        <w:rPr>
          <w:rFonts w:ascii="Times New Roman" w:hAnsi="Times New Roman"/>
          <w:b/>
          <w:sz w:val="26"/>
        </w:rPr>
        <w:t>7.4 Effective Goodput and Crossover Optimization Envelope</w:t>
      </w:r>
    </w:p>
    <w:p>
      <w:pPr>
        <w:jc w:val="both"/>
        <w:spacing w:before="0" w:after="120" w:line="360" w:lineRule="auto"/>
        <w:jc w:val="both"/>
      </w:pPr>
      <w:r>
        <w:rPr>
          <w:rFonts w:ascii="Times New Roman" w:hAnsi="Times New Roman"/>
          <w:sz w:val="24"/>
        </w:rPr>
        <w:t>While strong coding guarantees reliability, over-protecting an already clean channel wastes channel capacity on redundant parity symbols. Figure 7.2 illustrates the effective Goodput (kbps) achieved as a function of SNR.</w:t>
      </w:r>
    </w:p>
    <w:p>
      <w:pPr>
        <w:spacing w:before="160" w:after="80"/>
        <w:jc w:val="center"/>
      </w:pPr>
      <w:r>
        <w:drawing>
          <wp:inline xmlns:a="http://schemas.openxmlformats.org/drawingml/2006/main" xmlns:pic="http://schemas.openxmlformats.org/drawingml/2006/picture">
            <wp:extent cx="5303520" cy="3417824"/>
            <wp:docPr id="8" name="Picture 8"/>
            <wp:cNvGraphicFramePr>
              <a:graphicFrameLocks noChangeAspect="1"/>
            </wp:cNvGraphicFramePr>
            <a:graphic>
              <a:graphicData uri="http://schemas.openxmlformats.org/drawingml/2006/picture">
                <pic:pic>
                  <pic:nvPicPr>
                    <pic:cNvPr id="0" name="fig3_goodput_vs_snr_crossover.png"/>
                    <pic:cNvPicPr/>
                  </pic:nvPicPr>
                  <pic:blipFill>
                    <a:blip r:embed="rId19"/>
                    <a:stretch>
                      <a:fillRect/>
                    </a:stretch>
                  </pic:blipFill>
                  <pic:spPr>
                    <a:xfrm>
                      <a:off x="0" y="0"/>
                      <a:ext cx="5303520" cy="3417824"/>
                    </a:xfrm>
                    <a:prstGeom prst="rect"/>
                  </pic:spPr>
                </pic:pic>
              </a:graphicData>
            </a:graphic>
          </wp:inline>
        </w:drawing>
      </w:r>
    </w:p>
    <w:p>
      <w:pPr>
        <w:jc w:val="center"/>
        <w:spacing w:before="40" w:after="200"/>
        <w:jc w:val="center"/>
      </w:pPr>
      <w:r>
        <w:rPr>
          <w:rFonts w:ascii="Times New Roman" w:hAnsi="Times New Roman"/>
          <w:b/>
          <w:sz w:val="21"/>
        </w:rPr>
        <w:t>Figure 7.2  Effective Goodput vs. SNR Showing Empirical Crossover Points and Adaptive Upper Envelope</w:t>
      </w:r>
    </w:p>
    <w:p>
      <w:pPr>
        <w:jc w:val="both"/>
        <w:spacing w:before="0" w:after="120" w:line="360" w:lineRule="auto"/>
        <w:jc w:val="both"/>
      </w:pPr>
      <w:r>
        <w:rPr>
          <w:rFonts w:ascii="Times New Roman" w:hAnsi="Times New Roman"/>
          <w:sz w:val="24"/>
        </w:rPr>
        <w:t>Table 7.4 presents the measured Goodput values across the static baselines and highlights the performance achieved by the Adaptive RS controller.</w:t>
      </w:r>
    </w:p>
    <w:p>
      <w:pPr>
        <w:jc w:val="left"/>
        <w:spacing w:before="160" w:after="60"/>
      </w:pPr>
      <w:r>
        <w:rPr>
          <w:rFonts w:ascii="Times New Roman" w:hAnsi="Times New Roman"/>
          <w:b/>
          <w:sz w:val="22"/>
        </w:rPr>
        <w:t>Table 7.4  Effective Goodput (kbps) across Channel SNR Revealing Dynamic Upper Envelope Tracking</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1290"/>
        <w:gridCol w:w="1290"/>
        <w:gridCol w:w="1290"/>
        <w:gridCol w:w="1290"/>
        <w:gridCol w:w="1290"/>
        <w:gridCol w:w="1290"/>
        <w:gridCol w:w="1290"/>
      </w:tblGrid>
      <w:tr>
        <w:tc>
          <w:tcPr>
            <w:tcW w:type="dxa" w:w="144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Channel SNR</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RS_HIGH (t=16)</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RS_MED (t=8)</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RS_LIGHT (t=4)</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RS_OFF (Uncoded)</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Adaptive RS</w:t>
            </w:r>
          </w:p>
        </w:tc>
        <w:tc>
          <w:tcPr>
            <w:tcW w:type="dxa" w:w="187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Active Profile Selected</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10.0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1366.5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565.4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22.3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0.0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1366.5 kbps</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RS_HIGH (Fallback)</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12.0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1485.4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1346.7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386.9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7.4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1485.4 kbps</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RS_HIGH (Fallback)</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14.0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1485.4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1488.2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1279.8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223.2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1485.4 kbps</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RS_HIGH (Fallback)</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16.0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1485.4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1592.1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1476.1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922.6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1592.1 kbps</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RS_MED (Upgraded)</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18.0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1485.4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1592.1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1672.0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1390.8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1672.0 kbps</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RS_LIGHT (Upgraded)</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20.0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1485.4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1592.1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1672.0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1481.6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1672.0 kbps</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RS_LIGHT (Maintained)</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22.0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1485.4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1592.1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1672.0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1749.0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1749.0 kbps</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RS_OFF (Maximum)</w:t>
            </w:r>
          </w:p>
        </w:tc>
      </w:tr>
      <w:tr>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24.0 dB</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1485.4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1592.1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1672.0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1749.0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1749.0 kbps</w:t>
            </w:r>
          </w:p>
        </w:tc>
        <w:tc>
          <w:tcPr>
            <w:tcW w:type="dxa" w:w="1872"/>
            <w:tcMar>
              <w:top w:w="60" w:type="dxa"/>
              <w:bottom w:w="60" w:type="dxa"/>
              <w:left w:w="100" w:type="dxa"/>
              <w:right w:w="100" w:type="dxa"/>
            </w:tcMar>
            <w:vAlign w:val="center"/>
          </w:tcPr>
          <w:p>
            <w:pPr>
              <w:jc w:val="center"/>
              <w:spacing w:before="60" w:after="60"/>
            </w:pPr>
            <w:r/>
            <w:r>
              <w:rPr>
                <w:rFonts w:ascii="Times New Roman" w:hAnsi="Times New Roman"/>
                <w:sz w:val="20"/>
              </w:rPr>
              <w:t>RS_OFF (Maximum)</w:t>
            </w:r>
          </w:p>
        </w:tc>
      </w:tr>
    </w:tbl>
    <w:p>
      <w:pPr>
        <w:spacing w:before="0" w:after="120"/>
      </w:pPr>
    </w:p>
    <w:p>
      <w:pPr>
        <w:jc w:val="both"/>
        <w:spacing w:before="0" w:after="120" w:line="360" w:lineRule="auto"/>
        <w:jc w:val="both"/>
      </w:pPr>
      <w:r>
        <w:rPr>
          <w:rFonts w:ascii="Times New Roman" w:hAnsi="Times New Roman"/>
          <w:sz w:val="24"/>
        </w:rPr>
        <w:t>The results in Table 7.4 confirm the central thesis of this research: no single static Reed-Solomon code is optimal across all operating conditions. RS_HIGH is essential for survival below 16.0 dB, but caps Goodput at 1485.4 kbps in clean channels. RS_OFF provides peak Goodput (1749.0 kbps) above 21.0 dB, but collapses to zero below 14.0 dB. The Adaptive RS controller dynamically tracks the upper convex envelope of all fixed profiles, yielding a 17.7% throughput improvement over static RS_HIGH in clear channels while completely averting the catastrophic disconnects of static RS_OFF in noisy channels.</w:t>
      </w:r>
    </w:p>
    <w:p>
      <w:pPr>
        <w:jc w:val="left"/>
        <w:spacing w:before="240" w:after="80" w:line="360" w:lineRule="auto"/>
        <w:jc w:val="left"/>
      </w:pPr>
      <w:r>
        <w:rPr>
          <w:rFonts w:ascii="Times New Roman" w:hAnsi="Times New Roman"/>
          <w:b/>
          <w:sz w:val="26"/>
        </w:rPr>
        <w:t>7.5 Dynamic Channel Tracking under Random Walk and Sudden Fades</w:t>
      </w:r>
    </w:p>
    <w:p>
      <w:pPr>
        <w:jc w:val="both"/>
        <w:spacing w:before="0" w:after="120" w:line="360" w:lineRule="auto"/>
        <w:jc w:val="both"/>
      </w:pPr>
      <w:r>
        <w:rPr>
          <w:rFonts w:ascii="Times New Roman" w:hAnsi="Times New Roman"/>
          <w:sz w:val="24"/>
        </w:rPr>
        <w:t>To evaluate controller responsiveness under non-stationary conditions, simulations were conducted over a dynamic 200-frame time series incorporating three operational phases: a gradual random-walk SNR drift (Frames 1 to 80), an abrupt 10.0 dB path obstruction fade (Frames 81 to 120), and a gradual link recovery phase (Frames 121 to 200).</w:t>
      </w:r>
    </w:p>
    <w:p>
      <w:pPr>
        <w:spacing w:before="160" w:after="80"/>
        <w:jc w:val="center"/>
      </w:pPr>
      <w:r>
        <w:drawing>
          <wp:inline xmlns:a="http://schemas.openxmlformats.org/drawingml/2006/main" xmlns:pic="http://schemas.openxmlformats.org/drawingml/2006/picture">
            <wp:extent cx="5303520" cy="4507992"/>
            <wp:docPr id="9" name="Picture 9"/>
            <wp:cNvGraphicFramePr>
              <a:graphicFrameLocks noChangeAspect="1"/>
            </wp:cNvGraphicFramePr>
            <a:graphic>
              <a:graphicData uri="http://schemas.openxmlformats.org/drawingml/2006/picture">
                <pic:pic>
                  <pic:nvPicPr>
                    <pic:cNvPr id="0" name="fig4_dynamic_tracking_timeseries.png"/>
                    <pic:cNvPicPr/>
                  </pic:nvPicPr>
                  <pic:blipFill>
                    <a:blip r:embed="rId20"/>
                    <a:stretch>
                      <a:fillRect/>
                    </a:stretch>
                  </pic:blipFill>
                  <pic:spPr>
                    <a:xfrm>
                      <a:off x="0" y="0"/>
                      <a:ext cx="5303520" cy="4507992"/>
                    </a:xfrm>
                    <a:prstGeom prst="rect"/>
                  </pic:spPr>
                </pic:pic>
              </a:graphicData>
            </a:graphic>
          </wp:inline>
        </w:drawing>
      </w:r>
    </w:p>
    <w:p>
      <w:pPr>
        <w:jc w:val="center"/>
        <w:spacing w:before="40" w:after="200"/>
        <w:jc w:val="center"/>
      </w:pPr>
      <w:r>
        <w:rPr>
          <w:rFonts w:ascii="Times New Roman" w:hAnsi="Times New Roman"/>
          <w:b/>
          <w:sz w:val="21"/>
        </w:rPr>
        <w:t>Figure 7.3  Dynamic Channel Tracking Time-Series Showing Instantaneous SNR, Profile Switches, and Goodput</w:t>
      </w:r>
    </w:p>
    <w:p>
      <w:pPr>
        <w:jc w:val="both"/>
        <w:spacing w:before="0" w:after="120" w:line="360" w:lineRule="auto"/>
        <w:jc w:val="both"/>
      </w:pPr>
      <w:r>
        <w:rPr>
          <w:rFonts w:ascii="Times New Roman" w:hAnsi="Times New Roman"/>
          <w:sz w:val="24"/>
        </w:rPr>
        <w:t>Figure 7.3 demonstrates the controller's rapid dual-speed response characteristics: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Orderly Upgrades: </w:t>
      </w:r>
      <w:r>
        <w:rPr>
          <w:rFonts w:ascii="Times New Roman" w:hAnsi="Times New Roman"/>
          <w:sz w:val="24"/>
        </w:rPr>
        <w:t>Between Frames 1 and 80, the channel wanders slowly between 17 dB and 22 dB. The 0.5 dB hysteresis margin prevents chatter, smoothly upgrading from RS_MED to RS_LIGHT and RS_OFF only when moving average SNR securely clears activation thresholds.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Instant Emergency Escalation: </w:t>
      </w:r>
      <w:r>
        <w:rPr>
          <w:rFonts w:ascii="Times New Roman" w:hAnsi="Times New Roman"/>
          <w:sz w:val="24"/>
        </w:rPr>
        <w:t>At Frame 81, an abrupt channel fade plunges instantaneous SNR from 21.0 dB to 11.0 dB. Frame 81 and Frame 82 fail CRC32 verification. The emergency escalation trigger detects streak_fail = 2 at Frame 82 and forces an instantaneous retreat to RS_HIGH at Frame 83, completely bypassing the moving average filter.</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Reliability Restoration: </w:t>
      </w:r>
      <w:r>
        <w:rPr>
          <w:rFonts w:ascii="Times New Roman" w:hAnsi="Times New Roman"/>
          <w:sz w:val="24"/>
        </w:rPr>
        <w:t>From Frame 83 to 120, operating under RS_HIGH, frame errors immediately cease (FER = 0.0), maintaining connection survival despite the deep fade.</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Smooth Re-escalation: </w:t>
      </w:r>
      <w:r>
        <w:rPr>
          <w:rFonts w:ascii="Times New Roman" w:hAnsi="Times New Roman"/>
          <w:sz w:val="24"/>
        </w:rPr>
        <w:t>Beginning at Frame 121, as the optical path clears and SNR rises above 17.0 dB, the controller executes gradual, verified step-up transitions, restoring maximum Goodput.</w:t>
      </w:r>
    </w:p>
    <w:p>
      <w:pPr>
        <w:jc w:val="left"/>
        <w:spacing w:before="240" w:after="80" w:line="360" w:lineRule="auto"/>
        <w:jc w:val="left"/>
      </w:pPr>
      <w:r>
        <w:rPr>
          <w:rFonts w:ascii="Times New Roman" w:hAnsi="Times New Roman"/>
          <w:b/>
          <w:sz w:val="26"/>
        </w:rPr>
        <w:t>7.6 Sensitivity to Optical Dimming and Crosstalk Leakage</w:t>
      </w:r>
    </w:p>
    <w:p>
      <w:pPr>
        <w:jc w:val="both"/>
        <w:spacing w:before="0" w:after="120" w:line="360" w:lineRule="auto"/>
        <w:jc w:val="both"/>
      </w:pPr>
      <w:r>
        <w:rPr>
          <w:rFonts w:ascii="Times New Roman" w:hAnsi="Times New Roman"/>
          <w:sz w:val="24"/>
        </w:rPr>
        <w:t>Practical indoor VLC deployments require simultaneous illumination dimming and endure physical optical crosstalk between RGB LED chips. Figure 7.4 presents the 2D parametric performance surfaces evaluated across dimming factors gamma_{dim} in [0.1, 1.0] and crosstalk coupling coefficients h_{cross} in [0.0, 0.20].</w:t>
      </w:r>
    </w:p>
    <w:p>
      <w:pPr>
        <w:spacing w:before="160" w:after="80"/>
        <w:jc w:val="center"/>
      </w:pPr>
      <w:r>
        <w:drawing>
          <wp:inline xmlns:a="http://schemas.openxmlformats.org/drawingml/2006/main" xmlns:pic="http://schemas.openxmlformats.org/drawingml/2006/picture">
            <wp:extent cx="5303520" cy="2410691"/>
            <wp:docPr id="10" name="Picture 10"/>
            <wp:cNvGraphicFramePr>
              <a:graphicFrameLocks noChangeAspect="1"/>
            </wp:cNvGraphicFramePr>
            <a:graphic>
              <a:graphicData uri="http://schemas.openxmlformats.org/drawingml/2006/picture">
                <pic:pic>
                  <pic:nvPicPr>
                    <pic:cNvPr id="0" name="fig6_dimming_crosstalk_sensitivity.png"/>
                    <pic:cNvPicPr/>
                  </pic:nvPicPr>
                  <pic:blipFill>
                    <a:blip r:embed="rId21"/>
                    <a:stretch>
                      <a:fillRect/>
                    </a:stretch>
                  </pic:blipFill>
                  <pic:spPr>
                    <a:xfrm>
                      <a:off x="0" y="0"/>
                      <a:ext cx="5303520" cy="2410691"/>
                    </a:xfrm>
                    <a:prstGeom prst="rect"/>
                  </pic:spPr>
                </pic:pic>
              </a:graphicData>
            </a:graphic>
          </wp:inline>
        </w:drawing>
      </w:r>
    </w:p>
    <w:p>
      <w:pPr>
        <w:jc w:val="center"/>
        <w:spacing w:before="40" w:after="200"/>
        <w:jc w:val="center"/>
      </w:pPr>
      <w:r>
        <w:rPr>
          <w:rFonts w:ascii="Times New Roman" w:hAnsi="Times New Roman"/>
          <w:b/>
          <w:sz w:val="21"/>
        </w:rPr>
        <w:t>Figure 7.4  Parametric Sensitivity Analysis: Effective Goodput across Optical Dimming and Crosstalk</w:t>
      </w:r>
    </w:p>
    <w:p>
      <w:pPr>
        <w:jc w:val="both"/>
        <w:spacing w:before="0" w:after="120" w:line="360" w:lineRule="auto"/>
        <w:jc w:val="both"/>
      </w:pPr>
      <w:r>
        <w:rPr>
          <w:rFonts w:ascii="Times New Roman" w:hAnsi="Times New Roman"/>
          <w:sz w:val="24"/>
        </w:rPr>
        <w:t>Table 7.5 summarizes the resilience of the adaptive controller under combined dimming and crosstalk stress at a nominal base SNR of 20.0 dB.</w:t>
      </w:r>
    </w:p>
    <w:p>
      <w:pPr>
        <w:jc w:val="left"/>
        <w:spacing w:before="160" w:after="60"/>
      </w:pPr>
      <w:r>
        <w:rPr>
          <w:rFonts w:ascii="Times New Roman" w:hAnsi="Times New Roman"/>
          <w:b/>
          <w:sz w:val="22"/>
        </w:rPr>
        <w:t>Table 7.5  Performance Under Optical Dimming Attenuation and Crosstalk Impairments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1290"/>
        <w:gridCol w:w="1290"/>
        <w:gridCol w:w="1290"/>
        <w:gridCol w:w="1290"/>
        <w:gridCol w:w="1290"/>
        <w:gridCol w:w="1290"/>
        <w:gridCol w:w="1290"/>
      </w:tblGrid>
      <w:tr>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Dimming Factor</w:t>
            </w:r>
          </w:p>
        </w:tc>
        <w:tc>
          <w:tcPr>
            <w:tcW w:type="dxa" w:w="1728"/>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Illuminance State</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Crosstalk Level</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Effective SNR</w:t>
            </w:r>
          </w:p>
        </w:tc>
        <w:tc>
          <w:tcPr>
            <w:tcW w:type="dxa" w:w="1728"/>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Static RS_OFF Goodput</w:t>
            </w:r>
          </w:p>
        </w:tc>
        <w:tc>
          <w:tcPr>
            <w:tcW w:type="dxa" w:w="1728"/>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Adaptive RS Goodput</w:t>
            </w:r>
          </w:p>
        </w:tc>
        <w:tc>
          <w:tcPr>
            <w:tcW w:type="dxa" w:w="144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Profile Selected</w:t>
            </w:r>
          </w:p>
        </w:tc>
      </w:tr>
      <w:tr>
        <w:tc>
          <w:tcPr>
            <w:tcW w:type="dxa" w:w="1584"/>
            <w:tcMar>
              <w:top w:w="60" w:type="dxa"/>
              <w:bottom w:w="60" w:type="dxa"/>
              <w:left w:w="100" w:type="dxa"/>
              <w:right w:w="100" w:type="dxa"/>
            </w:tcMar>
            <w:vAlign w:val="center"/>
          </w:tcPr>
          <w:p>
            <w:pPr>
              <w:jc w:val="left"/>
              <w:spacing w:before="60" w:after="60"/>
            </w:pPr>
            <w:r/>
            <w:r>
              <w:rPr>
                <w:rFonts w:ascii="Times New Roman" w:hAnsi="Times New Roman"/>
                <w:sz w:val="20"/>
              </w:rPr>
              <w:t>1.00 (100%)</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Full Daylight</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 (Ideal)</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20.0 dB</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1481.6 kbps</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1672.0 kbps</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RS_LIGHT</w:t>
            </w:r>
          </w:p>
        </w:tc>
      </w:tr>
      <w:tr>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0.80 (80%)</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Normal Office</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5% (Low)</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17.8 dB</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1324.5 kbps</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1672.0 kbps</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RS_LIGHT</w:t>
            </w:r>
          </w:p>
        </w:tc>
      </w:tr>
      <w:tr>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0.50 (50%)</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Evening Ambient</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10% (Nominal)</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13.4 dB</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112.4 kbps</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1485.4 kbps</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RS_HIGH</w:t>
            </w:r>
          </w:p>
        </w:tc>
      </w:tr>
      <w:tr>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0.30 (30%)</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Night / Cinema</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15% (High)</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9.1 dB</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0.0 kbps</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1366.5 kbps</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RS_HIGH</w:t>
            </w:r>
          </w:p>
        </w:tc>
      </w:tr>
      <w:tr>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0.15 (15%)</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Deep Night Dim</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20% (Severe)</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3.2 dB</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0.0 kbps</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842.1 kbps</w:t>
            </w:r>
          </w:p>
        </w:tc>
        <w:tc>
          <w:tcPr>
            <w:tcW w:type="dxa" w:w="1440"/>
            <w:tcMar>
              <w:top w:w="60" w:type="dxa"/>
              <w:bottom w:w="60" w:type="dxa"/>
              <w:left w:w="100" w:type="dxa"/>
              <w:right w:w="100" w:type="dxa"/>
            </w:tcMar>
            <w:vAlign w:val="center"/>
          </w:tcPr>
          <w:p>
            <w:pPr>
              <w:jc w:val="center"/>
              <w:spacing w:before="60" w:after="60"/>
            </w:pPr>
            <w:r/>
            <w:r>
              <w:rPr>
                <w:rFonts w:ascii="Times New Roman" w:hAnsi="Times New Roman"/>
                <w:sz w:val="20"/>
              </w:rPr>
              <w:t>RS_HIGH (Burst)</w:t>
            </w:r>
          </w:p>
        </w:tc>
      </w:tr>
    </w:tbl>
    <w:p>
      <w:pPr>
        <w:spacing w:before="0" w:after="120"/>
      </w:pPr>
    </w:p>
    <w:p>
      <w:pPr>
        <w:jc w:val="both"/>
        <w:spacing w:before="0" w:after="120" w:line="360" w:lineRule="auto"/>
        <w:jc w:val="both"/>
      </w:pPr>
      <w:r>
        <w:rPr>
          <w:rFonts w:ascii="Times New Roman" w:hAnsi="Times New Roman"/>
          <w:sz w:val="24"/>
        </w:rPr>
        <w:t>As detailed in Table 7.5, when room illumination is dimmed to 30%, the 10.9 dB reduction in effective optical SNR causes uncoded transmission to collapse entirely (0.0 kbps Goodput). In sharp contrast, the Adaptive RS controller automatically shifts to RS_HIGH, sustaining a robust Goodput of 1366.5 kbps with zero connection blackout.</w:t>
      </w:r>
    </w:p>
    <w:p>
      <w:pPr>
        <w:jc w:val="left"/>
        <w:spacing w:before="240" w:after="80" w:line="360" w:lineRule="auto"/>
        <w:jc w:val="left"/>
      </w:pPr>
      <w:r>
        <w:rPr>
          <w:rFonts w:ascii="Times New Roman" w:hAnsi="Times New Roman"/>
          <w:b/>
          <w:sz w:val="26"/>
        </w:rPr>
        <w:t>7.7 Statistical Multi-Seed Benchmark Evaluation</w:t>
      </w:r>
    </w:p>
    <w:p>
      <w:pPr>
        <w:jc w:val="both"/>
        <w:spacing w:before="0" w:after="120" w:line="360" w:lineRule="auto"/>
        <w:jc w:val="both"/>
      </w:pPr>
      <w:r>
        <w:rPr>
          <w:rFonts w:ascii="Times New Roman" w:hAnsi="Times New Roman"/>
          <w:sz w:val="24"/>
        </w:rPr>
        <w:t>To validate that observed throughput improvements are statistically significant and not artifacts of specific random noise seeds, a formal multi-seed benchmark was conducted across five independent seeds (Seeds 42, 101, 202, 303, and 404).</w:t>
      </w:r>
    </w:p>
    <w:p>
      <w:pPr>
        <w:spacing w:before="160" w:after="80"/>
        <w:jc w:val="center"/>
      </w:pPr>
      <w:r>
        <w:drawing>
          <wp:inline xmlns:a="http://schemas.openxmlformats.org/drawingml/2006/main" xmlns:pic="http://schemas.openxmlformats.org/drawingml/2006/picture">
            <wp:extent cx="5303520" cy="2545690"/>
            <wp:docPr id="11" name="Picture 11"/>
            <wp:cNvGraphicFramePr>
              <a:graphicFrameLocks noChangeAspect="1"/>
            </wp:cNvGraphicFramePr>
            <a:graphic>
              <a:graphicData uri="http://schemas.openxmlformats.org/drawingml/2006/picture">
                <pic:pic>
                  <pic:nvPicPr>
                    <pic:cNvPr id="0" name="fig5_statistical_benchmark.png"/>
                    <pic:cNvPicPr/>
                  </pic:nvPicPr>
                  <pic:blipFill>
                    <a:blip r:embed="rId22"/>
                    <a:stretch>
                      <a:fillRect/>
                    </a:stretch>
                  </pic:blipFill>
                  <pic:spPr>
                    <a:xfrm>
                      <a:off x="0" y="0"/>
                      <a:ext cx="5303520" cy="2545690"/>
                    </a:xfrm>
                    <a:prstGeom prst="rect"/>
                  </pic:spPr>
                </pic:pic>
              </a:graphicData>
            </a:graphic>
          </wp:inline>
        </w:drawing>
      </w:r>
    </w:p>
    <w:p>
      <w:pPr>
        <w:jc w:val="center"/>
        <w:spacing w:before="40" w:after="200"/>
        <w:jc w:val="center"/>
      </w:pPr>
      <w:r>
        <w:rPr>
          <w:rFonts w:ascii="Times New Roman" w:hAnsi="Times New Roman"/>
          <w:b/>
          <w:sz w:val="21"/>
        </w:rPr>
        <w:t>Figure 7.5  Cross-Seed Statistical Benchmark: Mean Goodput with 95% Confidence Interval Error Bars</w:t>
      </w:r>
    </w:p>
    <w:p>
      <w:pPr>
        <w:jc w:val="both"/>
        <w:spacing w:before="0" w:after="120" w:line="360" w:lineRule="auto"/>
        <w:jc w:val="both"/>
      </w:pPr>
      <w:r>
        <w:rPr>
          <w:rFonts w:ascii="Times New Roman" w:hAnsi="Times New Roman"/>
          <w:sz w:val="24"/>
        </w:rPr>
        <w:t>Table 7.6 summarizes the cross-seed statistical performance metrics, sample standard deviations, and 95% confidence intervals.</w:t>
      </w:r>
    </w:p>
    <w:p>
      <w:pPr>
        <w:jc w:val="left"/>
        <w:spacing w:before="160" w:after="60"/>
      </w:pPr>
      <w:r>
        <w:rPr>
          <w:rFonts w:ascii="Times New Roman" w:hAnsi="Times New Roman"/>
          <w:b/>
          <w:sz w:val="22"/>
        </w:rPr>
        <w:t>Table 7.6  Cross-Seed Statistical Benchmark Summary (5 Random Seeds, N=1000 Frames/Seed)</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1505"/>
        <w:gridCol w:w="1505"/>
        <w:gridCol w:w="1505"/>
        <w:gridCol w:w="1505"/>
        <w:gridCol w:w="1505"/>
        <w:gridCol w:w="1505"/>
      </w:tblGrid>
      <w:tr>
        <w:tc>
          <w:tcPr>
            <w:tcW w:type="dxa" w:w="230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Error Control Strategy</w:t>
            </w:r>
          </w:p>
        </w:tc>
        <w:tc>
          <w:tcPr>
            <w:tcW w:type="dxa" w:w="1728"/>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Mean Goodput (kbps)</w:t>
            </w:r>
          </w:p>
        </w:tc>
        <w:tc>
          <w:tcPr>
            <w:tcW w:type="dxa" w:w="158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Std. Dev. (kbps)</w:t>
            </w:r>
          </w:p>
        </w:tc>
        <w:tc>
          <w:tcPr>
            <w:tcW w:type="dxa" w:w="1728"/>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95% Conf. Interval</w:t>
            </w:r>
          </w:p>
        </w:tc>
        <w:tc>
          <w:tcPr>
            <w:tcW w:type="dxa" w:w="129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Mean FER</w:t>
            </w:r>
          </w:p>
        </w:tc>
        <w:tc>
          <w:tcPr>
            <w:tcW w:type="dxa" w:w="230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Throughput Gain vs. RS_HIGH</w:t>
            </w:r>
          </w:p>
        </w:tc>
      </w:tr>
      <w:tr>
        <w:tc>
          <w:tcPr>
            <w:tcW w:type="dxa" w:w="2304"/>
            <w:tcMar>
              <w:top w:w="60" w:type="dxa"/>
              <w:bottom w:w="60" w:type="dxa"/>
              <w:left w:w="100" w:type="dxa"/>
              <w:right w:w="100" w:type="dxa"/>
            </w:tcMar>
            <w:vAlign w:val="center"/>
          </w:tcPr>
          <w:p>
            <w:pPr>
              <w:jc w:val="left"/>
              <w:spacing w:before="60" w:after="60"/>
            </w:pPr>
            <w:r/>
            <w:r>
              <w:rPr>
                <w:rFonts w:ascii="Times New Roman" w:hAnsi="Times New Roman"/>
                <w:sz w:val="20"/>
              </w:rPr>
              <w:t>RS_HIGH (Static)</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1485.4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+/- 0.0 kbps</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[1485.4, 1485.4]</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0.000</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0.0% (Baseline)</w:t>
            </w:r>
          </w:p>
        </w:tc>
      </w:tr>
      <w:tr>
        <w:tc>
          <w:tcPr>
            <w:tcW w:type="dxa" w:w="2304"/>
            <w:tcMar>
              <w:top w:w="60" w:type="dxa"/>
              <w:bottom w:w="60" w:type="dxa"/>
              <w:left w:w="100" w:type="dxa"/>
              <w:right w:w="100" w:type="dxa"/>
            </w:tcMar>
            <w:vAlign w:val="center"/>
          </w:tcPr>
          <w:p>
            <w:pPr>
              <w:jc w:val="left"/>
              <w:spacing w:before="60" w:after="60"/>
            </w:pPr>
            <w:r/>
            <w:r>
              <w:rPr>
                <w:rFonts w:ascii="Times New Roman" w:hAnsi="Times New Roman"/>
                <w:sz w:val="20"/>
              </w:rPr>
              <w:t>RS_MED (Static)</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1588.2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+/- 12.4 kbps</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[1572.8, 1603.6]</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0.002</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+6.9%</w:t>
            </w:r>
          </w:p>
        </w:tc>
      </w:tr>
      <w:tr>
        <w:tc>
          <w:tcPr>
            <w:tcW w:type="dxa" w:w="2304"/>
            <w:tcMar>
              <w:top w:w="60" w:type="dxa"/>
              <w:bottom w:w="60" w:type="dxa"/>
              <w:left w:w="100" w:type="dxa"/>
              <w:right w:w="100" w:type="dxa"/>
            </w:tcMar>
            <w:vAlign w:val="center"/>
          </w:tcPr>
          <w:p>
            <w:pPr>
              <w:jc w:val="left"/>
              <w:spacing w:before="60" w:after="60"/>
            </w:pPr>
            <w:r/>
            <w:r>
              <w:rPr>
                <w:rFonts w:ascii="Times New Roman" w:hAnsi="Times New Roman"/>
                <w:sz w:val="20"/>
              </w:rPr>
              <w:t>RS_LIGHT (Static)</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1645.1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+/- 34.8 kbps</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[1601.9, 1688.3]</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0.016</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+10.8%</w:t>
            </w:r>
          </w:p>
        </w:tc>
      </w:tr>
      <w:tr>
        <w:tc>
          <w:tcPr>
            <w:tcW w:type="dxa" w:w="2304"/>
            <w:tcMar>
              <w:top w:w="60" w:type="dxa"/>
              <w:bottom w:w="60" w:type="dxa"/>
              <w:left w:w="100" w:type="dxa"/>
              <w:right w:w="100" w:type="dxa"/>
            </w:tcMar>
            <w:vAlign w:val="center"/>
          </w:tcPr>
          <w:p>
            <w:pPr>
              <w:jc w:val="left"/>
              <w:spacing w:before="60" w:after="60"/>
            </w:pPr>
            <w:r/>
            <w:r>
              <w:rPr>
                <w:rFonts w:ascii="Times New Roman" w:hAnsi="Times New Roman"/>
                <w:sz w:val="20"/>
              </w:rPr>
              <w:t>RS_OFF (Static)</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1284.6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+/- 182.5 kbps</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[1058.0, 1511.2]</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0.265</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-13.5% (Severe Drop)</w:t>
            </w:r>
          </w:p>
        </w:tc>
      </w:tr>
      <w:tr>
        <w:tc>
          <w:tcPr>
            <w:tcW w:type="dxa" w:w="2304"/>
            <w:tcMar>
              <w:top w:w="60" w:type="dxa"/>
              <w:bottom w:w="60" w:type="dxa"/>
              <w:left w:w="100" w:type="dxa"/>
              <w:right w:w="100" w:type="dxa"/>
            </w:tcMar>
            <w:vAlign w:val="center"/>
          </w:tcPr>
          <w:p>
            <w:pPr>
              <w:jc w:val="left"/>
              <w:spacing w:before="60" w:after="60"/>
            </w:pPr>
            <w:r/>
            <w:r>
              <w:rPr>
                <w:rFonts w:ascii="Times New Roman" w:hAnsi="Times New Roman"/>
                <w:sz w:val="20"/>
              </w:rPr>
              <w:t>Adaptive RS (Proposed)</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1712.8 kbps</w:t>
            </w:r>
          </w:p>
        </w:tc>
        <w:tc>
          <w:tcPr>
            <w:tcW w:type="dxa" w:w="1584"/>
            <w:tcMar>
              <w:top w:w="60" w:type="dxa"/>
              <w:bottom w:w="60" w:type="dxa"/>
              <w:left w:w="100" w:type="dxa"/>
              <w:right w:w="100" w:type="dxa"/>
            </w:tcMar>
            <w:vAlign w:val="center"/>
          </w:tcPr>
          <w:p>
            <w:pPr>
              <w:jc w:val="center"/>
              <w:spacing w:before="60" w:after="60"/>
            </w:pPr>
            <w:r/>
            <w:r>
              <w:rPr>
                <w:rFonts w:ascii="Times New Roman" w:hAnsi="Times New Roman"/>
                <w:sz w:val="20"/>
              </w:rPr>
              <w:t>+/- 18.6 kbps</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[1689.7, 1735.9]</w:t>
            </w:r>
          </w:p>
        </w:tc>
        <w:tc>
          <w:tcPr>
            <w:tcW w:type="dxa" w:w="1296"/>
            <w:tcMar>
              <w:top w:w="60" w:type="dxa"/>
              <w:bottom w:w="60" w:type="dxa"/>
              <w:left w:w="100" w:type="dxa"/>
              <w:right w:w="100" w:type="dxa"/>
            </w:tcMar>
            <w:vAlign w:val="center"/>
          </w:tcPr>
          <w:p>
            <w:pPr>
              <w:jc w:val="center"/>
              <w:spacing w:before="60" w:after="60"/>
            </w:pPr>
            <w:r/>
            <w:r>
              <w:rPr>
                <w:rFonts w:ascii="Times New Roman" w:hAnsi="Times New Roman"/>
                <w:sz w:val="20"/>
              </w:rPr>
              <w:t>0.003</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+15.3% (Statistically Sig.)</w:t>
            </w:r>
          </w:p>
        </w:tc>
      </w:tr>
    </w:tbl>
    <w:p>
      <w:pPr>
        <w:spacing w:before="0" w:after="120"/>
      </w:pPr>
    </w:p>
    <w:p>
      <w:pPr>
        <w:jc w:val="both"/>
        <w:spacing w:before="0" w:after="120" w:line="360" w:lineRule="auto"/>
        <w:jc w:val="both"/>
      </w:pPr>
      <w:r>
        <w:rPr>
          <w:rFonts w:ascii="Times New Roman" w:hAnsi="Times New Roman"/>
          <w:sz w:val="24"/>
        </w:rPr>
        <w:t>A two-sample Student's t-test comparing Adaptive RS against the best static baseline (RS_LIGHT) yielded a p-value of p = 0.0021 (p &lt; 0.01), confirming with greater than 99% statistical confidence that the 15.3% throughput gain achieved by the adaptive controller is statistically significant.</w:t>
      </w:r>
    </w:p>
    <w:p>
      <w:r>
        <w:br w:type="page"/>
      </w:r>
    </w:p>
    <w:p>
      <w:pPr>
        <w:jc w:val="left"/>
        <w:spacing w:before="240" w:after="240" w:line="360" w:lineRule="auto"/>
        <w:jc w:val="left"/>
      </w:pPr>
      <w:r>
        <w:rPr>
          <w:rFonts w:ascii="Times New Roman" w:hAnsi="Times New Roman"/>
          <w:b/>
          <w:sz w:val="28"/>
        </w:rPr>
        <w:t>CHAPTER 8</w:t>
        <w:br/>
      </w:r>
      <w:r>
        <w:rPr>
          <w:rFonts w:ascii="Times New Roman" w:hAnsi="Times New Roman"/>
          <w:b/>
          <w:sz w:val="28"/>
        </w:rPr>
        <w:t>CONCLUSION AND FUTURE SCOPE</w:t>
      </w:r>
    </w:p>
    <w:p>
      <w:pPr>
        <w:jc w:val="left"/>
        <w:spacing w:before="240" w:after="80" w:line="360" w:lineRule="auto"/>
        <w:jc w:val="left"/>
      </w:pPr>
      <w:r>
        <w:rPr>
          <w:rFonts w:ascii="Times New Roman" w:hAnsi="Times New Roman"/>
          <w:b/>
          <w:sz w:val="26"/>
        </w:rPr>
        <w:t>8.1 Summary of Contributions</w:t>
      </w:r>
    </w:p>
    <w:p>
      <w:pPr>
        <w:jc w:val="both"/>
        <w:spacing w:before="0" w:after="120" w:line="360" w:lineRule="auto"/>
        <w:jc w:val="both"/>
      </w:pPr>
      <w:r>
        <w:rPr>
          <w:rFonts w:ascii="Times New Roman" w:hAnsi="Times New Roman"/>
          <w:sz w:val="24"/>
        </w:rPr>
        <w:t>This mini project has designed, implemented, and validated an end-to-end software simulation platform for dynamic error control in indoor Visible Light Communication systems. The principal contributions of this work are summarized as follows: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1. Modular Simulation Framework: </w:t>
      </w:r>
      <w:r>
        <w:rPr>
          <w:rFonts w:ascii="Times New Roman" w:hAnsi="Times New Roman"/>
          <w:sz w:val="24"/>
        </w:rPr>
        <w:t>Constructed a standards-compliant IEEE 802.15.7 4-CSK optical physical layer and Data Link Layer framing engine with 8-byte structured headers, 32-bit CRC verification, and dynamic Galois Field GF(2^8) Reed-Solomon codec support.</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2. Realistic Optical Channel Modeling: </w:t>
      </w:r>
      <w:r>
        <w:rPr>
          <w:rFonts w:ascii="Times New Roman" w:hAnsi="Times New Roman"/>
          <w:sz w:val="24"/>
        </w:rPr>
        <w:t>Implemented a realistic optical wireless propagation model capturing Lambertian radiant divergence, photodiode field-of-view limits, additive white Gaussian noise, continuous LED dimming, and 3x3 optical crosstalk spectral mixing.</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3. Real-Time Receiver Estimation: </w:t>
      </w:r>
      <w:r>
        <w:rPr>
          <w:rFonts w:ascii="Times New Roman" w:hAnsi="Times New Roman"/>
          <w:sz w:val="24"/>
        </w:rPr>
        <w:t>Developed a blind, decision-directed Error Vector Magnitude (EVM) estimator that continuously computes instantaneous optical SNR without requiring pilot symbols.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4. Offline Calibration Engine: </w:t>
      </w:r>
      <w:r>
        <w:rPr>
          <w:rFonts w:ascii="Times New Roman" w:hAnsi="Times New Roman"/>
          <w:sz w:val="24"/>
        </w:rPr>
        <w:t>Derived rigorous switching boundaries across five RS profiles via exhaustive offline calibration, balancing effective Goodput against a strict QoS frame error rate bound (FER &lt;= 0.01).</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5. Multi-Indicator Adaptive Controller: </w:t>
      </w:r>
      <w:r>
        <w:rPr>
          <w:rFonts w:ascii="Times New Roman" w:hAnsi="Times New Roman"/>
          <w:sz w:val="24"/>
        </w:rPr>
        <w:t>Engineered a rule-based adaptive controller incorporating 0.5 dB hysteresis margins to prevent boundary ping-pong oscillation and emergency burst-error triggers to handle abrupt optical path obstructions.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6. Interactive Research Workbench: </w:t>
      </w:r>
      <w:r>
        <w:rPr>
          <w:rFonts w:ascii="Times New Roman" w:hAnsi="Times New Roman"/>
          <w:sz w:val="24"/>
        </w:rPr>
        <w:t>Delivered an interactive Streamlit research dashboard supporting live parameter sweeps, cross-seed benchmark analytics, and forensic frame-by-frame replay.</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7. Automated Unit Verification: </w:t>
      </w:r>
      <w:r>
        <w:rPr>
          <w:rFonts w:ascii="Times New Roman" w:hAnsi="Times New Roman"/>
          <w:sz w:val="24"/>
        </w:rPr>
        <w:t>Validated all simulator components through a 17-suite automated pytest architecture achieving a 100% pass rate.</w:t>
      </w:r>
    </w:p>
    <w:p>
      <w:pPr>
        <w:jc w:val="left"/>
        <w:spacing w:before="240" w:after="80" w:line="360" w:lineRule="auto"/>
        <w:jc w:val="left"/>
      </w:pPr>
      <w:r>
        <w:rPr>
          <w:rFonts w:ascii="Times New Roman" w:hAnsi="Times New Roman"/>
          <w:b/>
          <w:sz w:val="26"/>
        </w:rPr>
        <w:t>8.2 Practical Limitations in Physical Hardware Deployment</w:t>
      </w:r>
    </w:p>
    <w:p>
      <w:pPr>
        <w:jc w:val="both"/>
        <w:spacing w:before="0" w:after="120" w:line="360" w:lineRule="auto"/>
        <w:jc w:val="both"/>
      </w:pPr>
      <w:r>
        <w:rPr>
          <w:rFonts w:ascii="Times New Roman" w:hAnsi="Times New Roman"/>
          <w:sz w:val="24"/>
        </w:rPr>
        <w:t>While numerical simulations demonstrate exceptional performance, several practical physical considerations must be addressed when translating this software architecture to real-world embedded optical transceivers: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1. LED Modulation Bandwidth Limits: </w:t>
      </w:r>
      <w:r>
        <w:rPr>
          <w:rFonts w:ascii="Times New Roman" w:hAnsi="Times New Roman"/>
          <w:sz w:val="24"/>
        </w:rPr>
        <w:t>Commercial high-power RGB LEDs exhibit finite junction capacitance, limiting 3 dB modulation bandwidths to approximately 10 to 20 MHz. Physical implementations require hardware analog pre-equalization circuits.</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2. Photodiode Saturation &amp; Non-Linearity: </w:t>
      </w:r>
      <w:r>
        <w:rPr>
          <w:rFonts w:ascii="Times New Roman" w:hAnsi="Times New Roman"/>
          <w:sz w:val="24"/>
        </w:rPr>
        <w:t>Operating commercial transimpedance amplifiers (TIAs) across extreme dynamic ranges (from bright direct LOS to deep dimming) introduces non-linear amplifier saturation and slew-rate distortion.</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3. Uplink Feedback Latency: </w:t>
      </w:r>
      <w:r>
        <w:rPr>
          <w:rFonts w:ascii="Times New Roman" w:hAnsi="Times New Roman"/>
          <w:sz w:val="24"/>
        </w:rPr>
        <w:t>The current software simulator assumes instantaneous feedback signaling from receiver to transmitter. In physical deployments, feedback packets traverse a dedicated optical or RF uplink, introducing a finite feedback latency of 1 to 5 milliseconds.</w:t>
      </w:r>
    </w:p>
    <w:p>
      <w:pPr>
        <w:jc w:val="left"/>
        <w:spacing w:before="240" w:after="80" w:line="360" w:lineRule="auto"/>
        <w:jc w:val="left"/>
      </w:pPr>
      <w:r>
        <w:rPr>
          <w:rFonts w:ascii="Times New Roman" w:hAnsi="Times New Roman"/>
          <w:b/>
          <w:sz w:val="26"/>
        </w:rPr>
        <w:t>8.3 Roadmap for Major Project: Transition to Deep Reinforcement Learning (DRL)</w:t>
      </w:r>
    </w:p>
    <w:p>
      <w:pPr>
        <w:jc w:val="both"/>
        <w:spacing w:before="0" w:after="120" w:line="360" w:lineRule="auto"/>
        <w:jc w:val="both"/>
      </w:pPr>
      <w:r>
        <w:rPr>
          <w:rFonts w:ascii="Times New Roman" w:hAnsi="Times New Roman"/>
          <w:sz w:val="24"/>
        </w:rPr>
        <w:t>The completion of this mini project establishes the foundational experimental testbed required for the forthcoming Major Project. In the Major Project phase, the deterministic, rule-based adaptive controller will be upgraded to an intelligent, self-optimizing Deep Reinforcement Learning (DRL) agent.</w:t>
      </w:r>
    </w:p>
    <w:p>
      <w:pPr>
        <w:jc w:val="both"/>
        <w:spacing w:before="0" w:after="120" w:line="360" w:lineRule="auto"/>
        <w:jc w:val="both"/>
      </w:pPr>
      <w:r>
        <w:rPr>
          <w:rFonts w:ascii="Times New Roman" w:hAnsi="Times New Roman"/>
          <w:sz w:val="24"/>
        </w:rPr>
        <w:t>The simulation environment developed herein directly satisfies the OpenAI Gym / Farama Gymnasium environment interface specifications, enabling seamless DRL training:</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1. State Space S: </w:t>
      </w:r>
      <w:r>
        <w:rPr>
          <w:rFonts w:ascii="Times New Roman" w:hAnsi="Times New Roman"/>
          <w:sz w:val="24"/>
        </w:rPr>
        <w:t>Continuous 6-dimensional vector capturing instantaneous estimated SNR, moving average SNR, sliding window FER, CRC failure streak, average corrected bytes, and active dimming factor.</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2. Action Space A: </w:t>
      </w:r>
      <w:r>
        <w:rPr>
          <w:rFonts w:ascii="Times New Roman" w:hAnsi="Times New Roman"/>
          <w:sz w:val="24"/>
        </w:rPr>
        <w:t>Discrete set of 5 action indices corresponding to the available Reed-Solomon coding profiles: a in {0: RS_OFF, 1: RS_LIGHT, 2: RS_MED, 3: RS_HIGH, 4: RS_ROBUST}.</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3. Composite Reward Function R: </w:t>
      </w:r>
      <w:r>
        <w:rPr>
          <w:rFonts w:ascii="Times New Roman" w:hAnsi="Times New Roman"/>
          <w:sz w:val="24"/>
        </w:rPr>
        <w:t>A customized scalar reward function penalizing frame loss while rewarding payload Goodput: R = (Goodput / R_raw) - lambda * FER - beta * Indicator(Profile_Changed).</w:t>
      </w:r>
    </w:p>
    <w:p>
      <w:pPr>
        <w:jc w:val="both"/>
        <w:spacing w:before="0" w:after="80" w:line="360" w:lineRule="auto"/>
        <w:ind w:left="360" w:hanging="180"/>
      </w:pPr>
      <w:r>
        <w:rPr>
          <w:rFonts w:ascii="Times New Roman" w:hAnsi="Times New Roman"/>
          <w:b/>
          <w:sz w:val="20"/>
        </w:rPr>
        <w:t xml:space="preserve">▪  </w:t>
      </w:r>
      <w:r>
        <w:rPr>
          <w:rFonts w:ascii="Times New Roman" w:hAnsi="Times New Roman"/>
          <w:b/>
          <w:sz w:val="24"/>
        </w:rPr>
        <w:t xml:space="preserve">4. Candidate DRL Architectures: </w:t>
      </w:r>
      <w:r>
        <w:rPr>
          <w:rFonts w:ascii="Times New Roman" w:hAnsi="Times New Roman"/>
          <w:sz w:val="24"/>
        </w:rPr>
        <w:t>Proximal Policy Optimization (PPO) and Deep Q-Networks (DQN) with prioritized experience replay will be trained within the simulator to discover non-linear, predictive adaptation policies that surpass fixed heuristic thresholds.</w:t>
      </w:r>
    </w:p>
    <w:p>
      <w:r>
        <w:br w:type="page"/>
      </w:r>
    </w:p>
    <w:p>
      <w:pPr>
        <w:jc w:val="left"/>
        <w:spacing w:before="240" w:after="80" w:line="360" w:lineRule="auto"/>
        <w:jc w:val="left"/>
      </w:pPr>
      <w:r>
        <w:rPr>
          <w:rFonts w:ascii="Times New Roman" w:hAnsi="Times New Roman"/>
          <w:b/>
          <w:sz w:val="26"/>
        </w:rPr>
        <w:t>REFERENCES</w:t>
      </w:r>
    </w:p>
    <w:p>
      <w:pPr>
        <w:jc w:val="both"/>
        <w:spacing w:before="0" w:after="80" w:line="320" w:lineRule="auto"/>
        <w:ind w:left="400" w:hanging="400"/>
      </w:pPr>
      <w:r>
        <w:rPr>
          <w:rFonts w:ascii="Times New Roman" w:hAnsi="Times New Roman"/>
          <w:sz w:val="20"/>
        </w:rPr>
        <w:t>[1] IEEE Standard for Local and Metropolitan Area Networks--Part 15.7: Short-Range Optical Wireless Communications, IEEE Std 802.15.7-2018 (Revision of IEEE Std 802.15.7-2011), pp. 1-407, Apr. 2019.</w:t>
      </w:r>
    </w:p>
    <w:p>
      <w:pPr>
        <w:jc w:val="both"/>
        <w:spacing w:before="0" w:after="80" w:line="320" w:lineRule="auto"/>
        <w:ind w:left="400" w:hanging="400"/>
      </w:pPr>
      <w:r>
        <w:rPr>
          <w:rFonts w:ascii="Times New Roman" w:hAnsi="Times New Roman"/>
          <w:sz w:val="20"/>
        </w:rPr>
        <w:t>[2] Z. Ghassemlooy, W. Popoola, and S. Rajbhandari, Optical Wireless Communications: System and Channel Modelling with MATLAB®, 2nd ed. Boca Raton, FL, USA: CRC Press, 2019.</w:t>
      </w:r>
    </w:p>
    <w:p>
      <w:pPr>
        <w:jc w:val="both"/>
        <w:spacing w:before="0" w:after="80" w:line="320" w:lineRule="auto"/>
        <w:ind w:left="400" w:hanging="400"/>
      </w:pPr>
      <w:r>
        <w:rPr>
          <w:rFonts w:ascii="Times New Roman" w:hAnsi="Times New Roman"/>
          <w:sz w:val="20"/>
        </w:rPr>
        <w:t>[3] H. Haas, L. Yin, Y. Wang, and C. Chen, "What is LiFi?" Journal of Lightwave Technology, vol. 34, no. 6, pp. 1533-1544, Mar. 2016.</w:t>
      </w:r>
    </w:p>
    <w:p>
      <w:pPr>
        <w:jc w:val="both"/>
        <w:spacing w:before="0" w:after="80" w:line="320" w:lineRule="auto"/>
        <w:ind w:left="400" w:hanging="400"/>
      </w:pPr>
      <w:r>
        <w:rPr>
          <w:rFonts w:ascii="Times New Roman" w:hAnsi="Times New Roman"/>
          <w:sz w:val="20"/>
        </w:rPr>
        <w:t>[4] J. M. Kahn and J. R. Barry, "Wireless infrared communications," Proceedings of the IEEE, vol. 85, no. 2, pp. 265-298, Feb. 1997.</w:t>
      </w:r>
    </w:p>
    <w:p>
      <w:pPr>
        <w:jc w:val="both"/>
        <w:spacing w:before="0" w:after="80" w:line="320" w:lineRule="auto"/>
        <w:ind w:left="400" w:hanging="400"/>
      </w:pPr>
      <w:r>
        <w:rPr>
          <w:rFonts w:ascii="Times New Roman" w:hAnsi="Times New Roman"/>
          <w:sz w:val="20"/>
        </w:rPr>
        <w:t>[5] S. Rajagopal, R. D. Roberts, and S.-K. Lim, "IEEE 802.15.7 visible light communication: modulation schemes and dimming support," IEEE Communications Magazine, vol. 50, no. 3, pp. 72-82, Mar. 2012.</w:t>
      </w:r>
    </w:p>
    <w:p>
      <w:pPr>
        <w:jc w:val="both"/>
        <w:spacing w:before="0" w:after="80" w:line="320" w:lineRule="auto"/>
        <w:ind w:left="400" w:hanging="400"/>
      </w:pPr>
      <w:r>
        <w:rPr>
          <w:rFonts w:ascii="Times New Roman" w:hAnsi="Times New Roman"/>
          <w:sz w:val="20"/>
        </w:rPr>
        <w:t>[6] T. Komine and M. Nakagawa, "Fundamental analysis for visible-light communication system using LED lights," IEEE Transactions on Consumer Electronics, vol. 50, no. 1, pp. 100-107, Feb. 2004.</w:t>
      </w:r>
    </w:p>
    <w:p>
      <w:pPr>
        <w:jc w:val="both"/>
        <w:spacing w:before="0" w:after="80" w:line="320" w:lineRule="auto"/>
        <w:ind w:left="400" w:hanging="400"/>
      </w:pPr>
      <w:r>
        <w:rPr>
          <w:rFonts w:ascii="Times New Roman" w:hAnsi="Times New Roman"/>
          <w:sz w:val="20"/>
        </w:rPr>
        <w:t>[7] I. S. Reed and G. Solomon, "Polynomial codes over certain finite fields," Journal of the Society for Industrial and Applied Mathematics, vol. 8, no. 2, pp. 300-304, Jun. 1960.</w:t>
      </w:r>
    </w:p>
    <w:p>
      <w:pPr>
        <w:jc w:val="both"/>
        <w:spacing w:before="0" w:after="80" w:line="320" w:lineRule="auto"/>
        <w:ind w:left="400" w:hanging="400"/>
      </w:pPr>
      <w:r>
        <w:rPr>
          <w:rFonts w:ascii="Times New Roman" w:hAnsi="Times New Roman"/>
          <w:sz w:val="20"/>
        </w:rPr>
        <w:t>[8] S. Lin and D. J. Costello, Error Control Coding, 2nd ed. Upper Saddle River, NJ, USA: Prentice-Hall, 2004.</w:t>
      </w:r>
    </w:p>
    <w:p>
      <w:pPr>
        <w:jc w:val="both"/>
        <w:spacing w:before="0" w:after="80" w:line="320" w:lineRule="auto"/>
        <w:ind w:left="400" w:hanging="400"/>
      </w:pPr>
      <w:r>
        <w:rPr>
          <w:rFonts w:ascii="Times New Roman" w:hAnsi="Times New Roman"/>
          <w:sz w:val="20"/>
        </w:rPr>
        <w:t>[9] E. R. Berlekamp, Algebraic Coding Theory. New York, NY, USA: McGraw-Hill, 1968.</w:t>
      </w:r>
    </w:p>
    <w:p>
      <w:pPr>
        <w:jc w:val="both"/>
        <w:spacing w:before="0" w:after="80" w:line="320" w:lineRule="auto"/>
        <w:ind w:left="400" w:hanging="400"/>
      </w:pPr>
      <w:r>
        <w:rPr>
          <w:rFonts w:ascii="Times New Roman" w:hAnsi="Times New Roman"/>
          <w:sz w:val="20"/>
        </w:rPr>
        <w:t>[10] J. L. Massey, "Shift-register synthesis and switch-algebraic decoding," IEEE Transactions on Information Theory, vol. 15, no. 1, pp. 122-127, Jan. 1969.</w:t>
      </w:r>
    </w:p>
    <w:p>
      <w:pPr>
        <w:jc w:val="both"/>
        <w:spacing w:before="0" w:after="80" w:line="320" w:lineRule="auto"/>
        <w:ind w:left="400" w:hanging="400"/>
      </w:pPr>
      <w:r>
        <w:rPr>
          <w:rFonts w:ascii="Times New Roman" w:hAnsi="Times New Roman"/>
          <w:sz w:val="20"/>
        </w:rPr>
        <w:t>[11] L. U. Khan, "Visible light communication: Applications, architecture, standardization and research challenges," Digital Communications and Networks, vol. 3, no. 2, pp. 78-88, Apr. 2017.</w:t>
      </w:r>
    </w:p>
    <w:p>
      <w:pPr>
        <w:jc w:val="both"/>
        <w:spacing w:before="0" w:after="80" w:line="320" w:lineRule="auto"/>
        <w:ind w:left="400" w:hanging="400"/>
      </w:pPr>
      <w:r>
        <w:rPr>
          <w:rFonts w:ascii="Times New Roman" w:hAnsi="Times New Roman"/>
          <w:sz w:val="20"/>
        </w:rPr>
        <w:t>[12] M. Z. Chowdhury, M. T. Hossan, A. Islam, and Y. M. Jang, "A comparative survey of optical wireless technologies: Architectures, applications, and challenges," IEEE Access, vol. 6, pp. 28019-28045, 2018.</w:t>
      </w:r>
    </w:p>
    <w:p>
      <w:pPr>
        <w:jc w:val="both"/>
        <w:spacing w:before="0" w:after="80" w:line="320" w:lineRule="auto"/>
        <w:ind w:left="400" w:hanging="400"/>
      </w:pPr>
      <w:r>
        <w:rPr>
          <w:rFonts w:ascii="Times New Roman" w:hAnsi="Times New Roman"/>
          <w:sz w:val="20"/>
        </w:rPr>
        <w:t>[13] D. Tsonev, S. Videv, and H. Haas, "Towards a 100 Gb/s visible light wireless network," Optics Express, vol. 23, no. 2, pp. 1627-1637, Jan. 2015.</w:t>
      </w:r>
    </w:p>
    <w:p>
      <w:pPr>
        <w:jc w:val="both"/>
        <w:spacing w:before="0" w:after="80" w:line="320" w:lineRule="auto"/>
        <w:ind w:left="400" w:hanging="400"/>
      </w:pPr>
      <w:r>
        <w:rPr>
          <w:rFonts w:ascii="Times New Roman" w:hAnsi="Times New Roman"/>
          <w:sz w:val="20"/>
        </w:rPr>
        <w:t>[14] P. H. Pathak, X. Feng, P. Hu, and P. Mohapatra, "Visible light communication, networking, and sensing: A survey, potential and challenges," IEEE Communications Surveys &amp; Tutorials, vol. 17, no. 4, pp. 2047-2077, 2015.</w:t>
      </w:r>
    </w:p>
    <w:p>
      <w:pPr>
        <w:jc w:val="both"/>
        <w:spacing w:before="0" w:after="80" w:line="320" w:lineRule="auto"/>
        <w:ind w:left="400" w:hanging="400"/>
      </w:pPr>
      <w:r>
        <w:rPr>
          <w:rFonts w:ascii="Times New Roman" w:hAnsi="Times New Roman"/>
          <w:sz w:val="20"/>
        </w:rPr>
        <w:t>[15] R. Singh, T. O'Farrell, and J. P. David, "An enhanced color shift keying modulation scheme for high-speed visible light communications," Journal of Lightwave Technology, vol. 32, no. 14, pp. 2582-2592, Jul. 2014.</w:t>
      </w:r>
    </w:p>
    <w:p>
      <w:pPr>
        <w:jc w:val="both"/>
        <w:spacing w:before="0" w:after="80" w:line="320" w:lineRule="auto"/>
        <w:ind w:left="400" w:hanging="400"/>
      </w:pPr>
      <w:r>
        <w:rPr>
          <w:rFonts w:ascii="Times New Roman" w:hAnsi="Times New Roman"/>
          <w:sz w:val="20"/>
        </w:rPr>
        <w:t>[16] M. D. Soltani et al., "Bidirectional user throughput maximization in optical attocell networks," IEEE Transactions on Communications, vol. 66, no. 7, pp. 3014-3025, Jul. 2018.</w:t>
      </w:r>
    </w:p>
    <w:p>
      <w:pPr>
        <w:jc w:val="both"/>
        <w:spacing w:before="0" w:after="80" w:line="320" w:lineRule="auto"/>
        <w:ind w:left="400" w:hanging="400"/>
      </w:pPr>
      <w:r>
        <w:rPr>
          <w:rFonts w:ascii="Times New Roman" w:hAnsi="Times New Roman"/>
          <w:sz w:val="20"/>
        </w:rPr>
        <w:t>[17] Y. Wang, L. Tao, X. Huang, J. Shi, and N. Chi, "8-Gb/s RGBY LED-based WDM VLC system employing high-order CAP modulation and digital equalizers," IEEE Photonics Journal, vol. 7, no. 6, pp. 1-7, Dec. 2015.</w:t>
      </w:r>
    </w:p>
    <w:p>
      <w:pPr>
        <w:jc w:val="both"/>
        <w:spacing w:before="0" w:after="80" w:line="320" w:lineRule="auto"/>
        <w:ind w:left="400" w:hanging="400"/>
      </w:pPr>
      <w:r>
        <w:rPr>
          <w:rFonts w:ascii="Times New Roman" w:hAnsi="Times New Roman"/>
          <w:sz w:val="20"/>
        </w:rPr>
        <w:t>[18] C. Danakis, M. Afgani, G. Povey, I. Underwood, and H. Haas, "Using a CMOS camera sensor in a visible light communication system," in Proc. IEEE GLOBECOM Workshops, Anaheim, CA, USA, Dec. 2012, pp. 1244-1248.</w:t>
      </w:r>
    </w:p>
    <w:p>
      <w:pPr>
        <w:jc w:val="both"/>
        <w:spacing w:before="0" w:after="80" w:line="320" w:lineRule="auto"/>
        <w:ind w:left="400" w:hanging="400"/>
      </w:pPr>
      <w:r>
        <w:rPr>
          <w:rFonts w:ascii="Times New Roman" w:hAnsi="Times New Roman"/>
          <w:sz w:val="20"/>
        </w:rPr>
        <w:t>[19] R. A. Shafik, S. Rahman, and A. H. Kabir, "On the extended relationships among EVM, BER and SNR as performance metrics," in Proc. IEEE ICECE, Dhaka, Bangladesh, Dec. 2006, pp. 408-411.</w:t>
      </w:r>
    </w:p>
    <w:p>
      <w:pPr>
        <w:jc w:val="both"/>
        <w:spacing w:before="0" w:after="80" w:line="320" w:lineRule="auto"/>
        <w:ind w:left="400" w:hanging="400"/>
      </w:pPr>
      <w:r>
        <w:rPr>
          <w:rFonts w:ascii="Times New Roman" w:hAnsi="Times New Roman"/>
          <w:sz w:val="20"/>
        </w:rPr>
        <w:t>[20] A. Goldsmith, Wireless Communications. Cambridge, UK: Cambridge University Press, 2005.</w:t>
      </w:r>
    </w:p>
    <w:p>
      <w:pPr>
        <w:jc w:val="both"/>
        <w:spacing w:before="0" w:after="80" w:line="320" w:lineRule="auto"/>
        <w:ind w:left="400" w:hanging="400"/>
      </w:pPr>
      <w:r>
        <w:rPr>
          <w:rFonts w:ascii="Times New Roman" w:hAnsi="Times New Roman"/>
          <w:sz w:val="20"/>
        </w:rPr>
        <w:t>[21] R. S. Sutton and A. G. Barto, Reinforcement Learning: An Introduction, 2nd ed. Cambridge, MA, USA: MIT Press, 2018.</w:t>
      </w:r>
    </w:p>
    <w:p>
      <w:pPr>
        <w:jc w:val="both"/>
        <w:spacing w:before="0" w:after="80" w:line="320" w:lineRule="auto"/>
        <w:ind w:left="400" w:hanging="400"/>
      </w:pPr>
      <w:r>
        <w:rPr>
          <w:rFonts w:ascii="Times New Roman" w:hAnsi="Times New Roman"/>
          <w:sz w:val="20"/>
        </w:rPr>
        <w:t>[22] V. Mnih et al., "Human-level control through deep reinforcement learning," Nature, vol. 518, no. 7540, pp. 529-533, Feb. 2015.</w:t>
      </w:r>
    </w:p>
    <w:p>
      <w:pPr>
        <w:jc w:val="both"/>
        <w:spacing w:before="0" w:after="80" w:line="320" w:lineRule="auto"/>
        <w:ind w:left="400" w:hanging="400"/>
      </w:pPr>
      <w:r>
        <w:rPr>
          <w:rFonts w:ascii="Times New Roman" w:hAnsi="Times New Roman"/>
          <w:sz w:val="20"/>
        </w:rPr>
        <w:t>[23] J. Schulman, F. Wolski, P. Dhariwal, A. Radford, and O. Klimov, "Proximal policy optimization algorithms," arXiv preprint arXiv:1707.06347, 2017.</w:t>
      </w:r>
    </w:p>
    <w:p>
      <w:pPr>
        <w:jc w:val="both"/>
        <w:spacing w:before="0" w:after="80" w:line="320" w:lineRule="auto"/>
        <w:ind w:left="400" w:hanging="400"/>
      </w:pPr>
      <w:r>
        <w:rPr>
          <w:rFonts w:ascii="Times New Roman" w:hAnsi="Times New Roman"/>
          <w:sz w:val="20"/>
        </w:rPr>
        <w:t>[24] W. W. Peterson and D. T. Brown, "Cyclic codes for error detection," Proceedings of the IRE, vol. 49, no. 1, pp. 228-235, Jan. 1961.</w:t>
      </w:r>
    </w:p>
    <w:p>
      <w:pPr>
        <w:jc w:val="both"/>
        <w:spacing w:before="0" w:after="80" w:line="320" w:lineRule="auto"/>
        <w:ind w:left="400" w:hanging="400"/>
      </w:pPr>
      <w:r>
        <w:rPr>
          <w:rFonts w:ascii="Times New Roman" w:hAnsi="Times New Roman"/>
          <w:sz w:val="20"/>
        </w:rPr>
        <w:t>[25] T. Ohtsuki, "Multiple-subcarrier modulation in optical wireless communications," IEEE Communications Magazine, vol. 41, no. 3, pp. 74-79, Mar. 2003.</w:t>
      </w:r>
    </w:p>
    <w:p>
      <w:r>
        <w:br w:type="page"/>
      </w:r>
    </w:p>
    <w:p>
      <w:pPr>
        <w:jc w:val="left"/>
        <w:spacing w:before="240" w:after="80" w:line="360" w:lineRule="auto"/>
        <w:jc w:val="left"/>
      </w:pPr>
      <w:r>
        <w:rPr>
          <w:rFonts w:ascii="Times New Roman" w:hAnsi="Times New Roman"/>
          <w:b/>
          <w:sz w:val="26"/>
        </w:rPr>
        <w:t>ANNEXURE A: SYSTEM CONFIGURATION &amp; THRESHOLD SCHEMA</w:t>
      </w:r>
    </w:p>
    <w:p>
      <w:pPr>
        <w:jc w:val="both"/>
        <w:spacing w:before="0" w:after="120" w:line="360" w:lineRule="auto"/>
        <w:jc w:val="both"/>
      </w:pPr>
      <w:r>
        <w:rPr>
          <w:rFonts w:ascii="Times New Roman" w:hAnsi="Times New Roman"/>
          <w:sz w:val="24"/>
        </w:rPr>
        <w:t>The offline calibration thresholds and operational hyperparameters utilized by the simulator are serialized in structured JSON format (adaptive_thresholds.json) as detailed below:</w:t>
      </w:r>
    </w:p>
    <w:p>
      <w:pPr>
        <w:spacing w:before="120" w:after="240" w:line="240" w:lineRule="auto"/>
        <w:jc w:val="left"/>
      </w:pPr>
      <w:r>
        <w:rPr>
          <w:rFonts w:ascii="Consolas" w:hAnsi="Consolas"/>
          <w:sz w:val="19"/>
        </w:rPr>
        <w:t>{</w:t>
        <w:br/>
        <w:t xml:space="preserve">  "metadata": {</w:t>
        <w:br/>
        <w:t xml:space="preserve">    "calibration_timestamp": "2026-10-13T12:00:00Z",</w:t>
        <w:br/>
        <w:t xml:space="preserve">    "modulation": "4-CSK",</w:t>
        <w:br/>
        <w:t xml:space="preserve">    "target_fer": 0.01,</w:t>
        <w:br/>
        <w:t xml:space="preserve">    "hysteresis_db": 0.5,</w:t>
        <w:br/>
        <w:t xml:space="preserve">    "escalation_streak_limit": 2,</w:t>
        <w:br/>
        <w:t xml:space="preserve">    "sliding_window_size": 10</w:t>
        <w:br/>
        <w:t xml:space="preserve">  },</w:t>
        <w:br/>
        <w:t xml:space="preserve">  "profiles": {</w:t>
        <w:br/>
        <w:t xml:space="preserve">    "RS_HIGH": {</w:t>
        <w:br/>
        <w:t xml:space="preserve">      "code": [255, 223],</w:t>
        <w:br/>
        <w:t xml:space="preserve">      "parity_bytes": 32,</w:t>
        <w:br/>
        <w:t xml:space="preserve">      "correction_capacity": 16,</w:t>
        <w:br/>
        <w:t xml:space="preserve">      "activation_threshold_db": -999.0,</w:t>
        <w:br/>
        <w:t xml:space="preserve">      "max_goodput_kbps": 1485.4</w:t>
        <w:br/>
        <w:t xml:space="preserve">    },</w:t>
        <w:br/>
        <w:t xml:space="preserve">    "RS_MED": {</w:t>
        <w:br/>
        <w:t xml:space="preserve">      "code": [255, 239],</w:t>
        <w:br/>
        <w:t xml:space="preserve">      "parity_bytes": 16,</w:t>
        <w:br/>
        <w:t xml:space="preserve">      "correction_capacity": 8,</w:t>
        <w:br/>
        <w:t xml:space="preserve">      "activation_threshold_db": 16.0,</w:t>
        <w:br/>
        <w:t xml:space="preserve">      "max_goodput_kbps": 1592.1</w:t>
        <w:br/>
        <w:t xml:space="preserve">    },</w:t>
        <w:br/>
        <w:t xml:space="preserve">    "RS_LIGHT": {</w:t>
        <w:br/>
        <w:t xml:space="preserve">      "code": [255, 251],</w:t>
        <w:br/>
        <w:t xml:space="preserve">      "parity_bytes": 4,</w:t>
        <w:br/>
        <w:t xml:space="preserve">      "correction_capacity": 2,</w:t>
        <w:br/>
        <w:t xml:space="preserve">      "activation_threshold_db": 17.5,</w:t>
        <w:br/>
        <w:t xml:space="preserve">      "max_goodput_kbps": 1672.0</w:t>
        <w:br/>
        <w:t xml:space="preserve">    },</w:t>
        <w:br/>
        <w:t xml:space="preserve">    "RS_OFF": {</w:t>
        <w:br/>
        <w:t xml:space="preserve">      "code": [255, 255],</w:t>
        <w:br/>
        <w:t xml:space="preserve">      "parity_bytes": 0,</w:t>
        <w:br/>
        <w:t xml:space="preserve">      "correction_capacity": 0,</w:t>
        <w:br/>
        <w:t xml:space="preserve">      "activation_threshold_db": 20.5,</w:t>
        <w:br/>
        <w:t xml:space="preserve">      "max_goodput_kbps": 1749.0</w:t>
        <w:br/>
        <w:t xml:space="preserve">    }</w:t>
        <w:br/>
        <w:t xml:space="preserve">  }</w:t>
        <w:br/>
        <w:t>}</w:t>
      </w:r>
    </w:p>
    <w:p>
      <w:pPr>
        <w:jc w:val="left"/>
        <w:spacing w:before="240" w:after="80" w:line="360" w:lineRule="auto"/>
        <w:jc w:val="left"/>
      </w:pPr>
      <w:r>
        <w:rPr>
          <w:rFonts w:ascii="Times New Roman" w:hAnsi="Times New Roman"/>
          <w:b/>
          <w:sz w:val="26"/>
        </w:rPr>
        <w:t>ANNEXURE B: AUTOMATED UNIT TEST EXECUTION LOG</w:t>
      </w:r>
    </w:p>
    <w:p>
      <w:pPr>
        <w:jc w:val="both"/>
        <w:spacing w:before="0" w:after="120" w:line="360" w:lineRule="auto"/>
        <w:jc w:val="both"/>
      </w:pPr>
      <w:r>
        <w:rPr>
          <w:rFonts w:ascii="Times New Roman" w:hAnsi="Times New Roman"/>
          <w:sz w:val="24"/>
        </w:rPr>
        <w:t>The official execution transcript produced by the pytest test automation runner across all 17 unit test suites is documented below, certifying 100% verification across all physical and data link layer components:</w:t>
      </w:r>
    </w:p>
    <w:p>
      <w:pPr>
        <w:spacing w:before="120" w:after="240" w:line="240" w:lineRule="auto"/>
        <w:jc w:val="left"/>
      </w:pPr>
      <w:r>
        <w:rPr>
          <w:rFonts w:ascii="Consolas" w:hAnsi="Consolas"/>
          <w:sz w:val="19"/>
        </w:rPr>
        <w:t>============================= test session starts =============================</w:t>
        <w:br/>
        <w:t>platform win32 -- Python 3.12.3, pytest-8.3.4, pluggy-1.5.0</w:t>
        <w:br/>
        <w:t>rootdir: F:\vlc_simulator</w:t>
        <w:br/>
        <w:t>collected 17 items</w:t>
        <w:br/>
        <w:br/>
        <w:t>tests/test_frame.py::test_frame_build_and_parse_success PASSED            [ 5%]</w:t>
        <w:br/>
        <w:t>tests/test_frame.py::test_crc_failure_detection PASSED                    [ 11%]</w:t>
        <w:br/>
        <w:t>tests/test_frame.py::test_frame_short_payload PASSED                      [ 17%]</w:t>
        <w:br/>
        <w:t>tests/test_rs_codec.py::test_rs_codec_uncoded PASSED                      [ 23%]</w:t>
        <w:br/>
        <w:t>tests/test_rs_codec.py::test_rs_codec_error_correction PASSED             [ 29%]</w:t>
        <w:br/>
        <w:t>tests/test_rs_codec.py::test_rs_codec_uncorrectable PASSED                  [ 35%]</w:t>
        <w:br/>
        <w:t>tests/test_csk_mapper.py::test_csk_mapping_demapping_no_noise PASSED      [ 41%]</w:t>
        <w:br/>
        <w:t>tests/test_optical_channel.py::test_dimming_reduces_power PASSED          [ 47%]</w:t>
        <w:br/>
        <w:t>tests/test_optical_channel.py::test_dimming_with_agc_increases_errors PASSED [ 52%]</w:t>
        <w:br/>
        <w:t>tests/test_optical_channel.py::test_noise_increases_errors PASSED          [ 58%]</w:t>
        <w:br/>
        <w:t>tests/test_channel_quality_estimator.py::test_sliding_window_metrics PASSED [ 64%]</w:t>
        <w:br/>
        <w:t>tests/test_channel_quality_estimator.py::test_estimate_snr_perfect_signal PASSED [ 70%]</w:t>
        <w:br/>
        <w:t>tests/test_channel_quality_estimator.py::test_estimate_snr_noisy_signal PASSED [ 76%]</w:t>
        <w:br/>
        <w:t>tests/test_adaptive_controller.py::test_escalation_trigger PASSED         [ 82%]</w:t>
        <w:br/>
        <w:t>tests/test_adaptive_controller.py::test_hysteresis_upgrade_downgrade PASSED [ 88%]</w:t>
        <w:br/>
        <w:t>tests/test_dashboard_replay.py::test_build_experiment_metadata PASSED    [ 94%]</w:t>
        <w:br/>
        <w:t>tests/test_dashboard_replay.py::test_replay_dataframe_parsing PASSED     [100%]</w:t>
        <w:br/>
        <w:br/>
        <w:t>============================== 17 passed in 2.18s ==============================</w:t>
      </w:r>
    </w:p>
    <w:p>
      <w:pPr>
        <w:jc w:val="left"/>
        <w:spacing w:before="240" w:after="80" w:line="360" w:lineRule="auto"/>
        <w:jc w:val="left"/>
      </w:pPr>
      <w:r>
        <w:rPr>
          <w:rFonts w:ascii="Times New Roman" w:hAnsi="Times New Roman"/>
          <w:b/>
          <w:sz w:val="26"/>
        </w:rPr>
        <w:t>ANNEXURE C: SIMULATOR ARCHITECTURE &amp; CODEBASE SPECIFICATION</w:t>
      </w:r>
    </w:p>
    <w:p>
      <w:pPr>
        <w:jc w:val="both"/>
        <w:spacing w:before="0" w:after="120" w:line="360" w:lineRule="auto"/>
        <w:jc w:val="both"/>
      </w:pPr>
      <w:r>
        <w:rPr>
          <w:rFonts w:ascii="Times New Roman" w:hAnsi="Times New Roman"/>
          <w:sz w:val="24"/>
        </w:rPr>
        <w:t>The software simulator is architected into modular, highly decoupled object-oriented classes. Table C.1 documents the primary module hierarchy, class responsibilities, core algorithmic methods, and architectural interactions across the physical and data-link layers.</w:t>
      </w:r>
    </w:p>
    <w:p>
      <w:pPr>
        <w:jc w:val="left"/>
        <w:spacing w:before="160" w:after="60"/>
      </w:pPr>
      <w:r>
        <w:rPr>
          <w:rFonts w:ascii="Times New Roman" w:hAnsi="Times New Roman"/>
          <w:b/>
          <w:sz w:val="22"/>
        </w:rPr>
        <w:t>Table C.1  Complete Software Architecture, Class Specifications, and Module Responsibilities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E2E8F0"/>
          <w:insideV w:val="none"/>
        </w:tblBorders>
      </w:tblPr>
      <w:tblGrid>
        <w:gridCol w:w="1806"/>
        <w:gridCol w:w="1806"/>
        <w:gridCol w:w="1806"/>
        <w:gridCol w:w="1806"/>
        <w:gridCol w:w="1806"/>
      </w:tblGrid>
      <w:tr>
        <w:tc>
          <w:tcPr>
            <w:tcW w:type="dxa" w:w="2016"/>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Module File</w:t>
            </w:r>
          </w:p>
        </w:tc>
        <w:tc>
          <w:tcPr>
            <w:tcW w:type="dxa" w:w="2160"/>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Primary Class</w:t>
            </w:r>
          </w:p>
        </w:tc>
        <w:tc>
          <w:tcPr>
            <w:tcW w:type="dxa" w:w="2592"/>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Architectural Role</w:t>
            </w:r>
          </w:p>
        </w:tc>
        <w:tc>
          <w:tcPr>
            <w:tcW w:type="dxa" w:w="2304"/>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Key Algorithmic Methods</w:t>
            </w:r>
          </w:p>
        </w:tc>
        <w:tc>
          <w:tcPr>
            <w:tcW w:type="dxa" w:w="1728"/>
            <w:shd w:fill="F1F5F9"/>
            <w:tcMar>
              <w:top w:w="60" w:type="dxa"/>
              <w:bottom w:w="60" w:type="dxa"/>
              <w:left w:w="100" w:type="dxa"/>
              <w:right w:w="100" w:type="dxa"/>
            </w:tcMar>
            <w:vAlign w:val="center"/>
          </w:tcPr>
          <w:p>
            <w:pPr>
              <w:jc w:val="center"/>
              <w:spacing w:before="60" w:after="60"/>
            </w:pPr>
            <w:r/>
            <w:r>
              <w:rPr>
                <w:rFonts w:ascii="Times New Roman" w:hAnsi="Times New Roman"/>
                <w:b/>
                <w:sz w:val="21"/>
              </w:rPr>
              <w:t>Dependencies</w:t>
            </w:r>
          </w:p>
        </w:tc>
      </w:tr>
      <w:tr>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config.py</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SystemConfig</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Centralized configuration &amp; IEEE 802.15.7 constants</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get_rs_profile(), get_csk_anchors()</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numpy</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bitstream.py</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BitStreamEngine</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Binary payload generation &amp; bit-stream slicing</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generate_random_bytes(), bits_to_bytes()</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os, numpy</w:t>
            </w:r>
          </w:p>
        </w:tc>
      </w:tr>
      <w:tr>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frame.py</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FrameManager</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Protocol framing, 8-byte header &amp; CRC32 verification</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pack_frame(), unpack_frame(), compute_crc32()</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struct, zlib</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rs_codec.py</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RSCodec</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Galois Field GF(2^8) Reed-Solomon codec manager</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encode(), decode(), get_redundancy_ratio()</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reedsolo</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csk_mapper.py</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CSKMapper</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4-CSK chromaticity mapping and ML demapping</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map_bits_to_csk(), demap_csk_to_bits()</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numpy, scipy</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optical_channel.py</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OpticalChannel</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Physical indoor channel: AWGN, dimming &amp; crosstalk</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transmit(), apply_dimming(), apply_crosstalk()</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numpy</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channel_quality_estimator.py</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ChannelQualityEstimator</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Blind EVM-to-SNR estimator &amp; sliding-window tracking</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estimate_snr(), update_window(), get_state()</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numpy, collections</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threshold_finder.py</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ThresholdCalibrator</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Offline Monte Carlo crossover calibration sweep</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sweep_snr_grid(), find_crossover_boundaries()</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simulation_runner</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adaptive_controller.py</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AdaptiveLinkController</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Explainable rule-based decision engine with hysteresis</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select_profile(), check_escalation(), get_trace()</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json</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simulation_runner.py</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SimulationRunner</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End-to-end discrete event simulation orchestrator</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run_single_frame(), run_batch_experiment()</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all core modules</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dashboard.py</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StreamlitWorkbench</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Interactive 3-mode web UI for live simulation &amp; replay</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render_live_mode(), render_benchmark_mode()</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streamlit, plotly</w:t>
            </w:r>
          </w:p>
        </w:tc>
      </w:tr>
      <w:tr>
        <w:tc>
          <w:tcPr>
            <w:tcW w:type="dxa" w:w="2016"/>
            <w:tcMar>
              <w:top w:w="60" w:type="dxa"/>
              <w:bottom w:w="60" w:type="dxa"/>
              <w:left w:w="100" w:type="dxa"/>
              <w:right w:w="100" w:type="dxa"/>
            </w:tcMar>
            <w:vAlign w:val="center"/>
          </w:tcPr>
          <w:p>
            <w:pPr>
              <w:jc w:val="center"/>
              <w:spacing w:before="60" w:after="60"/>
            </w:pPr>
            <w:r/>
            <w:r>
              <w:rPr>
                <w:rFonts w:ascii="Times New Roman" w:hAnsi="Times New Roman"/>
                <w:sz w:val="20"/>
              </w:rPr>
              <w:t>plots.py</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PlotEngine</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Publication-grade figure generation &amp; chart styling</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plot_ber_curves(), plot_constellation_3d()</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matplotlib, plotly</w:t>
            </w:r>
          </w:p>
        </w:tc>
      </w:tr>
      <w:tr>
        <w:tc>
          <w:tcPr>
            <w:tcW w:type="dxa" w:w="2016"/>
            <w:tcMar>
              <w:top w:w="60" w:type="dxa"/>
              <w:bottom w:w="60" w:type="dxa"/>
              <w:left w:w="100" w:type="dxa"/>
              <w:right w:w="100" w:type="dxa"/>
            </w:tcMar>
            <w:vAlign w:val="center"/>
          </w:tcPr>
          <w:p>
            <w:pPr>
              <w:jc w:val="left"/>
              <w:spacing w:before="60" w:after="60"/>
            </w:pPr>
            <w:r/>
            <w:r>
              <w:rPr>
                <w:rFonts w:ascii="Times New Roman" w:hAnsi="Times New Roman"/>
                <w:sz w:val="20"/>
              </w:rPr>
              <w:t>analytics.py</w:t>
            </w:r>
          </w:p>
        </w:tc>
        <w:tc>
          <w:tcPr>
            <w:tcW w:type="dxa" w:w="2160"/>
            <w:tcMar>
              <w:top w:w="60" w:type="dxa"/>
              <w:bottom w:w="60" w:type="dxa"/>
              <w:left w:w="100" w:type="dxa"/>
              <w:right w:w="100" w:type="dxa"/>
            </w:tcMar>
            <w:vAlign w:val="center"/>
          </w:tcPr>
          <w:p>
            <w:pPr>
              <w:jc w:val="center"/>
              <w:spacing w:before="60" w:after="60"/>
            </w:pPr>
            <w:r/>
            <w:r>
              <w:rPr>
                <w:rFonts w:ascii="Times New Roman" w:hAnsi="Times New Roman"/>
                <w:sz w:val="20"/>
              </w:rPr>
              <w:t>TelemetryAnalytics</w:t>
            </w:r>
          </w:p>
        </w:tc>
        <w:tc>
          <w:tcPr>
            <w:tcW w:type="dxa" w:w="2592"/>
            <w:tcMar>
              <w:top w:w="60" w:type="dxa"/>
              <w:bottom w:w="60" w:type="dxa"/>
              <w:left w:w="100" w:type="dxa"/>
              <w:right w:w="100" w:type="dxa"/>
            </w:tcMar>
            <w:vAlign w:val="center"/>
          </w:tcPr>
          <w:p>
            <w:pPr>
              <w:jc w:val="center"/>
              <w:spacing w:before="60" w:after="60"/>
            </w:pPr>
            <w:r/>
            <w:r>
              <w:rPr>
                <w:rFonts w:ascii="Times New Roman" w:hAnsi="Times New Roman"/>
                <w:sz w:val="20"/>
              </w:rPr>
              <w:t>Statistical aggregation, ANOVA tests &amp; confidence intervals</w:t>
            </w:r>
          </w:p>
        </w:tc>
        <w:tc>
          <w:tcPr>
            <w:tcW w:type="dxa" w:w="2304"/>
            <w:tcMar>
              <w:top w:w="60" w:type="dxa"/>
              <w:bottom w:w="60" w:type="dxa"/>
              <w:left w:w="100" w:type="dxa"/>
              <w:right w:w="100" w:type="dxa"/>
            </w:tcMar>
            <w:vAlign w:val="center"/>
          </w:tcPr>
          <w:p>
            <w:pPr>
              <w:jc w:val="center"/>
              <w:spacing w:before="60" w:after="60"/>
            </w:pPr>
            <w:r/>
            <w:r>
              <w:rPr>
                <w:rFonts w:ascii="Times New Roman" w:hAnsi="Times New Roman"/>
                <w:sz w:val="20"/>
              </w:rPr>
              <w:t>compute_confidence_intervals(), run_t_test()</w:t>
            </w:r>
          </w:p>
        </w:tc>
        <w:tc>
          <w:tcPr>
            <w:tcW w:type="dxa" w:w="1728"/>
            <w:tcMar>
              <w:top w:w="60" w:type="dxa"/>
              <w:bottom w:w="60" w:type="dxa"/>
              <w:left w:w="100" w:type="dxa"/>
              <w:right w:w="100" w:type="dxa"/>
            </w:tcMar>
            <w:vAlign w:val="center"/>
          </w:tcPr>
          <w:p>
            <w:pPr>
              <w:jc w:val="center"/>
              <w:spacing w:before="60" w:after="60"/>
            </w:pPr>
            <w:r/>
            <w:r>
              <w:rPr>
                <w:rFonts w:ascii="Times New Roman" w:hAnsi="Times New Roman"/>
                <w:sz w:val="20"/>
              </w:rPr>
              <w:t>pandas, scipy.stats</w:t>
            </w:r>
          </w:p>
        </w:tc>
      </w:tr>
    </w:tbl>
    <w:p>
      <w:pPr>
        <w:spacing w:before="0" w:after="120"/>
      </w:pPr>
    </w:p>
    <w:sectPr w:rsidR="00FC693F" w:rsidRPr="0006063C" w:rsidSect="00034616">
      <w:headerReference w:type="default" r:id="rId12"/>
      <w:footerReference w:type="default" r:id="rId13"/>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jc w:val="right"/>
    </w:pPr>
    <w:r/>
    <w:r>
      <w:rPr>
        <w:rFonts w:ascii="Times New Roman" w:hAnsi="Times New Roman"/>
        <w:sz w:val="20"/>
      </w:rPr>
      <w:fldChar w:fldCharType="begin"/>
    </w:r>
    <w:r>
      <w:rPr>
        <w:rFonts w:ascii="Times New Roman" w:hAnsi="Times New Roman"/>
        <w:sz w:val="20"/>
      </w:rPr>
      <w:instrText xml:space="preserve"> PAGE </w:instrText>
    </w:r>
    <w:r>
      <w:fldChar w:fldCharType="separate"/>
    </w:r>
    <w:r>
      <w:rPr>
        <w:rFonts w:ascii="Times New Roman" w:hAnsi="Times New Roman"/>
        <w:sz w:val="20"/>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jc w:val="right"/>
    </w:pPr>
    <w:r/>
    <w:r>
      <w:rPr>
        <w:rFonts w:ascii="Times New Roman" w:hAnsi="Times New Roman"/>
        <w:sz w:val="20"/>
      </w:rPr>
      <w:fldChar w:fldCharType="begin"/>
    </w:r>
    <w:r>
      <w:rPr>
        <w:rFonts w:ascii="Times New Roman" w:hAnsi="Times New Roman"/>
        <w:sz w:val="20"/>
      </w:rPr>
      <w:instrText xml:space="preserve"> PAGE </w:instrText>
    </w:r>
    <w:r>
      <w:fldChar w:fldCharType="separate"/>
    </w:r>
    <w:r>
      <w:rPr>
        <w:rFonts w:ascii="Times New Roman" w:hAnsi="Times New Roman"/>
        <w:sz w:val="20"/>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i/>
        <w:color w:val="787878"/>
        <w:sz w:val="17"/>
      </w:rPr>
      <w:t>VLC Simulator | Mini Project Report | Dept. of CSE, St. Joseph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