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  <w:rFonts w:cs="DejaVu Sans" w:ascii="DejaVu Sans" w:hAnsi="DejaVu Sans"/>
        </w:rPr>
        <w:t>נוהל עבודה עם מסמכים 2026</w:t>
      </w:r>
    </w:p>
    <w:p>
      <w:pPr>
        <w:pStyle w:val="Heading1"/>
        <w:bidi/>
      </w:pPr>
      <w:r>
        <w:rPr>
          <w:rtl/>
          <w:rFonts w:cs="DejaVu Sans" w:ascii="DejaVu Sans" w:hAnsi="DejaVu Sans"/>
        </w:rPr>
        <w:t>1. מטרת הנוהל</w:t>
      </w:r>
    </w:p>
    <w:p>
      <w:pPr>
        <w:bidi/>
      </w:pPr>
      <w:r>
        <w:rPr>
          <w:rtl/>
          <w:rFonts w:cs="DejaVu Sans" w:ascii="DejaVu Sans" w:hAnsi="DejaVu Sans"/>
        </w:rPr>
        <w:t>נוהל זה מגדיר את אופן הטיפול במסמכים סרוקים ובקבצים מצורפים במערכת RChat.</w:t>
      </w:r>
    </w:p>
    <w:p>
      <w:pPr>
        <w:pStyle w:val="Heading1"/>
        <w:bidi/>
      </w:pPr>
      <w:r>
        <w:rPr>
          <w:rtl/>
          <w:rFonts w:cs="DejaVu Sans" w:ascii="DejaVu Sans" w:hAnsi="DejaVu Sans"/>
        </w:rPr>
        <w:t>2. תחולה</w:t>
      </w:r>
    </w:p>
    <w:p>
      <w:pPr>
        <w:bidi/>
      </w:pPr>
      <w:r>
        <w:rPr>
          <w:rtl/>
          <w:rFonts w:cs="DejaVu Sans" w:ascii="DejaVu Sans" w:hAnsi="DejaVu Sans"/>
        </w:rPr>
        <w:t>הנוהל חל על כל העובדים המשתמשים ב-Open WebUI גרסה 0.12 ומעלה.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b/>
                <w:rtl/>
                <w:rFonts w:cs="DejaVu Sans" w:ascii="DejaVu Sans" w:hAnsi="DejaVu Sans"/>
              </w:rPr>
              <w:t>אחראי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  <w:rtl/>
                <w:rFonts w:cs="DejaVu Sans" w:ascii="DejaVu Sans" w:hAnsi="DejaVu Sans"/>
              </w:rPr>
              <w:t>זמן טיפול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  <w:rtl/>
                <w:rFonts w:cs="DejaVu Sans" w:ascii="DejaVu Sans" w:hAnsi="DejaVu Sans"/>
              </w:rPr>
              <w:t>סוג קובץ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צוות OCR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עד 2 ימים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PDF סרוק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צוות תוכן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יום אחד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מצגת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מוקד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מיידי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 w:val="0"/>
                <w:rtl/>
                <w:rFonts w:cs="DejaVu Sans" w:ascii="DejaVu Sans" w:hAnsi="DejaVu Sans"/>
              </w:rPr>
              <w:t>דואר אלקטרוני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4680000" cy="29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  <w:rFonts w:cs="DejaVu Sans" w:ascii="DejaVu Sans" w:hAnsi="DejaVu Sans"/>
        </w:rPr>
        <w:t>תרשים 1: מכירות לפי אזור</w:t>
      </w:r>
    </w:p>
    <w:p>
      <w:pPr>
        <w:pStyle w:val="Heading1"/>
        <w:bidi/>
      </w:pPr>
      <w:r>
        <w:rPr>
          <w:rtl/>
          <w:rFonts w:cs="DejaVu Sans" w:ascii="DejaVu Sans" w:hAnsi="DejaVu Sans"/>
        </w:rPr>
        <w:t>3. אחריות</w:t>
      </w:r>
    </w:p>
    <w:p>
      <w:pPr>
        <w:bidi/>
      </w:pPr>
      <w:r>
        <w:rPr>
          <w:rtl/>
          <w:rFonts w:cs="DejaVu Sans" w:ascii="DejaVu Sans" w:hAnsi="DejaVu Sans"/>
        </w:rPr>
        <w:t>האחריות על יישום הנוהל היא של מנהלת מערכות המידע.</w:t>
      </w:r>
    </w:p>
    <w:p>
      <w:pPr>
        <w:bidi/>
      </w:pPr>
      <w:r>
        <w:rPr>
          <w:rtl/>
          <w:rFonts w:cs="DejaVu Sans" w:ascii="DejaVu Sans" w:hAnsi="DejaVu Sans"/>
        </w:rPr>
        <w:t>סוף הנוהל.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rPr>
        <w:rtl/>
        <w:rFonts w:cs="DejaVu Sans" w:ascii="DejaVu Sans" w:hAnsi="DejaVu Sans"/>
      </w:rPr>
      <w:t>מחלקת מערכות מידע · נוהל 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>
      <w:rPr>
        <w:rtl/>
        <w:rFonts w:cs="DejaVu Sans" w:ascii="DejaVu Sans" w:hAnsi="DejaVu Sans"/>
      </w:rPr>
      <w:t>מסמך פנימי · עותק מבוקר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