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SYNTHETIC TEST DATA — NOT A REAL PATIENT</w:t>
      </w:r>
    </w:p>
    <w:p>
      <w:r>
        <w:t xml:space="preserve">Generated for Netskope One DLP policy testing (HIPAA/PHI detection). No relation to any real individual or lab.</w:t>
      </w:r>
    </w:p>
    <w:p>
      <w:pPr>
        <w:pStyle w:val="Heading1"/>
      </w:pPr>
      <w:r>
        <w:t xml:space="preserve">Meridian Diagnostics Laboratory — Confidential Lab Results</w:t>
      </w:r>
    </w:p>
    <w:p>
      <w:r>
        <w:t xml:space="preserve">Patient Name: Owen Kaczmarek</w:t>
      </w:r>
    </w:p>
    <w:p>
      <w:r>
        <w:t xml:space="preserve">Date of Birth: 1976-03-22</w:t>
      </w:r>
    </w:p>
    <w:p>
      <w:r>
        <w:t xml:space="preserve">Social Security Number: 000-31-5567</w:t>
      </w:r>
    </w:p>
    <w:p>
      <w:r>
        <w:t xml:space="preserve">Medical Record Number: MDL-2026-778102</w:t>
      </w:r>
    </w:p>
    <w:p>
      <w:r>
        <w:t xml:space="preserve">Ordering Physician: Dr. Helena Voss, MD (NPI 0000287341)</w:t>
      </w:r>
    </w:p>
    <w:p>
      <w:r>
        <w:t xml:space="preserve">Collection Date: 2026-01-15   Report Date: 2026-01-17</w:t>
      </w:r>
    </w:p>
    <w:p>
      <w:pPr>
        <w:pStyle w:val="Heading2"/>
      </w:pPr>
      <w:r>
        <w:t xml:space="preserve">Comprehensive Metabolic Panel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Reference Range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Flag</w:t>
            </w:r>
          </w:p>
        </w:tc>
      </w:tr>
      <w:tr>
        <w:tc>
          <w:tcPr>
            <w:tcW w:w="0" w:type="auto"/>
          </w:tcPr>
          <w:p>
            <w:r>
              <w:t xml:space="preserve">Glucose</w:t>
            </w:r>
          </w:p>
        </w:tc>
        <w:tc>
          <w:tcPr>
            <w:tcW w:w="0" w:type="auto"/>
          </w:tcPr>
          <w:p>
            <w:r>
              <w:t xml:space="preserve">142 mg/dL</w:t>
            </w:r>
          </w:p>
        </w:tc>
        <w:tc>
          <w:tcPr>
            <w:tcW w:w="0" w:type="auto"/>
          </w:tcPr>
          <w:p>
            <w:r>
              <w:t xml:space="preserve">70-99 mg/dL</w:t>
            </w:r>
          </w:p>
        </w:tc>
        <w:tc>
          <w:tcPr>
            <w:tcW w:w="0" w:type="auto"/>
          </w:tcPr>
          <w:p>
            <w:r>
              <w:t xml:space="preserve">HIGH</w:t>
            </w:r>
          </w:p>
        </w:tc>
      </w:tr>
      <w:tr>
        <w:tc>
          <w:tcPr>
            <w:tcW w:w="0" w:type="auto"/>
          </w:tcPr>
          <w:p>
            <w:r>
              <w:t xml:space="preserve">BUN</w:t>
            </w:r>
          </w:p>
        </w:tc>
        <w:tc>
          <w:tcPr>
            <w:tcW w:w="0" w:type="auto"/>
          </w:tcPr>
          <w:p>
            <w:r>
              <w:t xml:space="preserve">18 mg/dL</w:t>
            </w:r>
          </w:p>
        </w:tc>
        <w:tc>
          <w:tcPr>
            <w:tcW w:w="0" w:type="auto"/>
          </w:tcPr>
          <w:p>
            <w:r>
              <w:t xml:space="preserve">7-20 mg/dL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Creatinine</w:t>
            </w:r>
          </w:p>
        </w:tc>
        <w:tc>
          <w:tcPr>
            <w:tcW w:w="0" w:type="auto"/>
          </w:tcPr>
          <w:p>
            <w:r>
              <w:t xml:space="preserve">1.0 mg/dL</w:t>
            </w:r>
          </w:p>
        </w:tc>
        <w:tc>
          <w:tcPr>
            <w:tcW w:w="0" w:type="auto"/>
          </w:tcPr>
          <w:p>
            <w:r>
              <w:t xml:space="preserve">0.6-1.3 mg/dL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Sodium</w:t>
            </w:r>
          </w:p>
        </w:tc>
        <w:tc>
          <w:tcPr>
            <w:tcW w:w="0" w:type="auto"/>
          </w:tcPr>
          <w:p>
            <w:r>
              <w:t xml:space="preserve">139 mmol/L</w:t>
            </w:r>
          </w:p>
        </w:tc>
        <w:tc>
          <w:tcPr>
            <w:tcW w:w="0" w:type="auto"/>
          </w:tcPr>
          <w:p>
            <w:r>
              <w:t xml:space="preserve">136-145 mmol/L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Potassium</w:t>
            </w:r>
          </w:p>
        </w:tc>
        <w:tc>
          <w:tcPr>
            <w:tcW w:w="0" w:type="auto"/>
          </w:tcPr>
          <w:p>
            <w:r>
              <w:t xml:space="preserve">4.3 mmol/L</w:t>
            </w:r>
          </w:p>
        </w:tc>
        <w:tc>
          <w:tcPr>
            <w:tcW w:w="0" w:type="auto"/>
          </w:tcPr>
          <w:p>
            <w:r>
              <w:t xml:space="preserve">3.5-5.1 mmol/L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/>
    <w:p>
      <w:pPr>
        <w:pStyle w:val="Heading2"/>
      </w:pPr>
      <w:r>
        <w:t xml:space="preserve">Hemoglobin A1C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Reference Range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Flag</w:t>
            </w:r>
          </w:p>
        </w:tc>
      </w:tr>
      <w:tr>
        <w:tc>
          <w:tcPr>
            <w:tcW w:w="0" w:type="auto"/>
          </w:tcPr>
          <w:p>
            <w:r>
              <w:t xml:space="preserve">Hemoglobin A1C</w:t>
            </w:r>
          </w:p>
        </w:tc>
        <w:tc>
          <w:tcPr>
            <w:tcW w:w="0" w:type="auto"/>
          </w:tcPr>
          <w:p>
            <w:r>
              <w:t xml:space="preserve">6.9 %</w:t>
            </w:r>
          </w:p>
        </w:tc>
        <w:tc>
          <w:tcPr>
            <w:tcW w:w="0" w:type="auto"/>
          </w:tcPr>
          <w:p>
            <w:r>
              <w:t xml:space="preserve">&lt;5.7 %</w:t>
            </w:r>
          </w:p>
        </w:tc>
        <w:tc>
          <w:tcPr>
            <w:tcW w:w="0" w:type="auto"/>
          </w:tcPr>
          <w:p>
            <w:r>
              <w:t xml:space="preserve">HIGH</w:t>
            </w:r>
          </w:p>
        </w:tc>
      </w:tr>
    </w:tbl>
    <w:p/>
    <w:p>
      <w:pPr>
        <w:pStyle w:val="Heading2"/>
      </w:pPr>
      <w:r>
        <w:t xml:space="preserve">HIV / Hepatitis Panel (Sensitive)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Result</w:t>
            </w:r>
          </w:p>
        </w:tc>
      </w:tr>
      <w:tr>
        <w:tc>
          <w:tcPr>
            <w:tcW w:w="0" w:type="auto"/>
          </w:tcPr>
          <w:p>
            <w:r>
              <w:t xml:space="preserve">HIV 1/2 Ag/Ab Combo</w:t>
            </w:r>
          </w:p>
        </w:tc>
        <w:tc>
          <w:tcPr>
            <w:tcW w:w="0" w:type="auto"/>
          </w:tcPr>
          <w:p>
            <w:r>
              <w:t xml:space="preserve">Non-Reactive</w:t>
            </w:r>
          </w:p>
        </w:tc>
      </w:tr>
      <w:tr>
        <w:tc>
          <w:tcPr>
            <w:tcW w:w="0" w:type="auto"/>
          </w:tcPr>
          <w:p>
            <w:r>
              <w:t xml:space="preserve">Hepatitis C Antibody</w:t>
            </w:r>
          </w:p>
        </w:tc>
        <w:tc>
          <w:tcPr>
            <w:tcW w:w="0" w:type="auto"/>
          </w:tcPr>
          <w:p>
            <w:r>
              <w:t xml:space="preserve">Non-Reactive</w:t>
            </w:r>
          </w:p>
        </w:tc>
      </w:tr>
      <w:tr>
        <w:tc>
          <w:tcPr>
            <w:tcW w:w="0" w:type="auto"/>
          </w:tcPr>
          <w:p>
            <w:r>
              <w:t xml:space="preserve">Hepatitis B Surface Antigen</w:t>
            </w:r>
          </w:p>
        </w:tc>
        <w:tc>
          <w:tcPr>
            <w:tcW w:w="0" w:type="auto"/>
          </w:tcPr>
          <w:p>
            <w:r>
              <w:t xml:space="preserve">Non-Reactive</w:t>
            </w:r>
          </w:p>
        </w:tc>
      </w:tr>
    </w:tbl>
    <w:p/>
    <w:p>
      <w:r>
        <w:t xml:space="preserve">Clinical Impression: Results consistent with new-onset Type 2 Diabetes Mellitus. Recommend endocrinology referral and lifestyle counseling.</w:t>
      </w:r>
    </w:p>
    <w:p>
      <w:r>
        <w:t xml:space="preserve">Reviewed and released by: Dr. Helena Voss, MD — 2026-01-17</w:t>
      </w:r>
    </w:p>
    <w:p>
      <w:r>
        <w:t xml:space="preserve">This report contains Protected Health Information (PHI), including communicable disease test results subject to additional state-law confidentiality protections. Synthetic fixture — DLP testing only.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DLP-Test-Repository gen_docx.py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Confidential Lab Results (Synthetic)</dc:title>
  <dc:creator>DLP-Test-Repository</dc:creator>
  <cp:keywords>synthetic-test-data</cp:keywords>
</cp:coreProperties>
</file>