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963F" w14:textId="4CE82069" w:rsidR="009A667E" w:rsidRPr="00C70C7C" w:rsidRDefault="00F908AD" w:rsidP="00F473C2">
      <w:pPr>
        <w:pStyle w:val="TOCHeading"/>
        <w:spacing w:before="0" w:line="312" w:lineRule="auto"/>
        <w:jc w:val="center"/>
        <w:rPr>
          <w:rFonts w:asciiTheme="majorHAnsi" w:hAnsiTheme="majorHAnsi" w:cstheme="majorHAnsi"/>
          <w:b w:val="0"/>
          <w:color w:val="auto"/>
          <w:szCs w:val="26"/>
        </w:rPr>
      </w:pP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MACROBUTTON MTEditEquationSection2 </w:instrText>
      </w:r>
      <w:r w:rsidRPr="00C70C7C">
        <w:rPr>
          <w:rStyle w:val="MTEquationSection"/>
          <w:color w:val="auto"/>
        </w:rPr>
        <w:instrText>Equation Chapter 1 Section 1</w:instrText>
      </w: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SEQ MTEqn \r \h \* MERGEFORMAT </w:instrText>
      </w:r>
      <w:r w:rsidRPr="00C70C7C">
        <w:rPr>
          <w:rFonts w:asciiTheme="majorHAnsi" w:hAnsiTheme="majorHAnsi" w:cstheme="majorHAnsi"/>
          <w:color w:val="auto"/>
          <w:sz w:val="32"/>
          <w:szCs w:val="26"/>
          <w:lang w:val="fr-FR"/>
        </w:rPr>
        <w:fldChar w:fldCharType="end"/>
      </w: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SEQ MTSec \r 1 \h \* MERGEFORMAT </w:instrText>
      </w:r>
      <w:r w:rsidRPr="00C70C7C">
        <w:rPr>
          <w:rFonts w:asciiTheme="majorHAnsi" w:hAnsiTheme="majorHAnsi" w:cstheme="majorHAnsi"/>
          <w:color w:val="auto"/>
          <w:sz w:val="32"/>
          <w:szCs w:val="26"/>
          <w:lang w:val="fr-FR"/>
        </w:rPr>
        <w:fldChar w:fldCharType="end"/>
      </w:r>
      <w:r w:rsidRPr="00C70C7C">
        <w:rPr>
          <w:rFonts w:asciiTheme="majorHAnsi" w:hAnsiTheme="majorHAnsi" w:cstheme="majorHAnsi"/>
          <w:color w:val="auto"/>
          <w:sz w:val="32"/>
          <w:szCs w:val="26"/>
          <w:lang w:val="fr-FR"/>
        </w:rPr>
        <w:fldChar w:fldCharType="begin"/>
      </w:r>
      <w:r w:rsidRPr="00C70C7C">
        <w:rPr>
          <w:rFonts w:asciiTheme="majorHAnsi" w:hAnsiTheme="majorHAnsi" w:cstheme="majorHAnsi"/>
          <w:color w:val="auto"/>
          <w:sz w:val="32"/>
          <w:szCs w:val="26"/>
          <w:lang w:val="fr-FR"/>
        </w:rPr>
        <w:instrText xml:space="preserve"> SEQ MTChap \r 1 \h \* MERGEFORMAT </w:instrText>
      </w:r>
      <w:r w:rsidRPr="00C70C7C">
        <w:rPr>
          <w:rFonts w:asciiTheme="majorHAnsi" w:hAnsiTheme="majorHAnsi" w:cstheme="majorHAnsi"/>
          <w:color w:val="auto"/>
          <w:sz w:val="32"/>
          <w:szCs w:val="26"/>
          <w:lang w:val="fr-FR"/>
        </w:rPr>
        <w:fldChar w:fldCharType="end"/>
      </w:r>
      <w:r w:rsidRPr="00C70C7C">
        <w:rPr>
          <w:rFonts w:asciiTheme="majorHAnsi" w:hAnsiTheme="majorHAnsi" w:cstheme="majorHAnsi"/>
          <w:color w:val="auto"/>
          <w:sz w:val="32"/>
          <w:szCs w:val="26"/>
          <w:lang w:val="fr-FR"/>
        </w:rPr>
        <w:fldChar w:fldCharType="end"/>
      </w:r>
      <w:r w:rsidR="009A667E" w:rsidRPr="00C70C7C">
        <w:rPr>
          <w:rFonts w:asciiTheme="majorHAnsi" w:hAnsiTheme="majorHAnsi" w:cstheme="majorHAnsi"/>
          <w:color w:val="auto"/>
          <w:szCs w:val="26"/>
        </w:rPr>
        <w:t xml:space="preserve"> </w:t>
      </w:r>
      <w:r w:rsidR="009A667E" w:rsidRPr="00C70C7C">
        <w:rPr>
          <w:rFonts w:asciiTheme="majorHAnsi" w:hAnsiTheme="majorHAnsi" w:cstheme="majorHAnsi"/>
          <w:b w:val="0"/>
          <w:color w:val="auto"/>
          <w:szCs w:val="26"/>
        </w:rPr>
        <w:t>TRƯỜNG ĐẠI HỌC BÁCH KHOA HÀ NỘI</w:t>
      </w:r>
    </w:p>
    <w:p w14:paraId="1D28AEE1" w14:textId="1192CC29" w:rsidR="009A667E" w:rsidRPr="00C70C7C" w:rsidRDefault="00B52627" w:rsidP="00F473C2">
      <w:pPr>
        <w:spacing w:after="0" w:line="312" w:lineRule="auto"/>
        <w:jc w:val="center"/>
        <w:rPr>
          <w:rFonts w:asciiTheme="majorHAnsi" w:hAnsiTheme="majorHAnsi" w:cstheme="majorHAnsi"/>
          <w:b/>
          <w:sz w:val="28"/>
          <w:szCs w:val="26"/>
        </w:rPr>
      </w:pPr>
      <w:r w:rsidRPr="00C70C7C">
        <w:rPr>
          <w:rFonts w:asciiTheme="majorHAnsi" w:hAnsiTheme="majorHAnsi" w:cstheme="majorHAnsi"/>
          <w:b/>
          <w:sz w:val="28"/>
          <w:szCs w:val="26"/>
        </w:rPr>
        <w:t>TRƯỜNG CÔNG NGHỆ THÔNG TIN VÀ TRUYỀN THÔNG</w:t>
      </w:r>
    </w:p>
    <w:p w14:paraId="3CC9A5DC" w14:textId="77777777" w:rsidR="009A667E" w:rsidRPr="00C70C7C" w:rsidRDefault="009A667E" w:rsidP="00F473C2">
      <w:pPr>
        <w:pStyle w:val="TOCHeading"/>
        <w:spacing w:before="0" w:line="312" w:lineRule="auto"/>
        <w:jc w:val="center"/>
        <w:rPr>
          <w:rFonts w:asciiTheme="majorHAnsi" w:hAnsiTheme="majorHAnsi" w:cstheme="majorHAnsi"/>
          <w:b w:val="0"/>
          <w:color w:val="auto"/>
          <w:szCs w:val="26"/>
        </w:rPr>
      </w:pPr>
      <w:r w:rsidRPr="00C70C7C">
        <w:rPr>
          <w:rFonts w:asciiTheme="majorHAnsi" w:hAnsiTheme="majorHAnsi" w:cstheme="majorHAnsi"/>
          <w:b w:val="0"/>
          <w:color w:val="auto"/>
          <w:szCs w:val="26"/>
        </w:rPr>
        <w:t xml:space="preserve">----- </w:t>
      </w:r>
      <w:r w:rsidRPr="00C70C7C">
        <w:rPr>
          <w:rFonts w:asciiTheme="majorHAnsi" w:hAnsiTheme="majorHAnsi" w:cstheme="majorHAnsi"/>
          <w:b w:val="0"/>
          <w:color w:val="auto"/>
          <w:szCs w:val="26"/>
        </w:rPr>
        <w:sym w:font="Wingdings" w:char="F098"/>
      </w:r>
      <w:r w:rsidRPr="00C70C7C">
        <w:rPr>
          <w:rFonts w:asciiTheme="majorHAnsi" w:hAnsiTheme="majorHAnsi" w:cstheme="majorHAnsi"/>
          <w:b w:val="0"/>
          <w:color w:val="auto"/>
          <w:szCs w:val="26"/>
        </w:rPr>
        <w:t xml:space="preserve"> </w:t>
      </w:r>
      <w:r w:rsidRPr="00C70C7C">
        <w:rPr>
          <w:rFonts w:asciiTheme="majorHAnsi" w:hAnsiTheme="majorHAnsi" w:cstheme="majorHAnsi"/>
          <w:b w:val="0"/>
          <w:color w:val="auto"/>
          <w:szCs w:val="26"/>
        </w:rPr>
        <w:sym w:font="Wingdings" w:char="F026"/>
      </w:r>
      <w:r w:rsidRPr="00C70C7C">
        <w:rPr>
          <w:rFonts w:asciiTheme="majorHAnsi" w:hAnsiTheme="majorHAnsi" w:cstheme="majorHAnsi"/>
          <w:b w:val="0"/>
          <w:color w:val="auto"/>
          <w:szCs w:val="26"/>
        </w:rPr>
        <w:t xml:space="preserve"> </w:t>
      </w:r>
      <w:r w:rsidRPr="00C70C7C">
        <w:rPr>
          <w:rFonts w:asciiTheme="majorHAnsi" w:hAnsiTheme="majorHAnsi" w:cstheme="majorHAnsi"/>
          <w:b w:val="0"/>
          <w:color w:val="auto"/>
          <w:szCs w:val="26"/>
        </w:rPr>
        <w:sym w:font="Wingdings" w:char="F099"/>
      </w:r>
      <w:r w:rsidRPr="00C70C7C">
        <w:rPr>
          <w:rFonts w:asciiTheme="majorHAnsi" w:hAnsiTheme="majorHAnsi" w:cstheme="majorHAnsi"/>
          <w:b w:val="0"/>
          <w:color w:val="auto"/>
          <w:szCs w:val="26"/>
        </w:rPr>
        <w:t xml:space="preserve"> -----</w:t>
      </w:r>
    </w:p>
    <w:p w14:paraId="1EECC4A3" w14:textId="77777777" w:rsidR="009A667E" w:rsidRPr="00C70C7C" w:rsidRDefault="009A667E" w:rsidP="00F473C2">
      <w:pPr>
        <w:spacing w:after="0" w:line="312" w:lineRule="auto"/>
        <w:jc w:val="center"/>
        <w:rPr>
          <w:rFonts w:asciiTheme="majorHAnsi" w:hAnsiTheme="majorHAnsi" w:cstheme="majorHAnsi"/>
          <w:sz w:val="24"/>
          <w:lang w:val="en-US"/>
        </w:rPr>
      </w:pPr>
    </w:p>
    <w:p w14:paraId="7C406146" w14:textId="77777777" w:rsidR="009A667E" w:rsidRPr="00C70C7C" w:rsidRDefault="009A667E" w:rsidP="00F473C2">
      <w:pPr>
        <w:spacing w:after="0" w:line="312" w:lineRule="auto"/>
        <w:jc w:val="center"/>
        <w:rPr>
          <w:rFonts w:asciiTheme="majorHAnsi" w:hAnsiTheme="majorHAnsi" w:cstheme="majorHAnsi"/>
        </w:rPr>
      </w:pPr>
      <w:r w:rsidRPr="00C70C7C">
        <w:rPr>
          <w:rFonts w:asciiTheme="majorHAnsi" w:hAnsiTheme="majorHAnsi" w:cstheme="majorHAnsi"/>
          <w:noProof/>
        </w:rPr>
        <w:drawing>
          <wp:inline distT="0" distB="0" distL="0" distR="0" wp14:anchorId="3A0421B4" wp14:editId="4B8DC3D4">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4CE0C63F" w14:textId="77777777" w:rsidR="009A667E" w:rsidRPr="00C70C7C" w:rsidRDefault="009A667E" w:rsidP="00F473C2">
      <w:pPr>
        <w:spacing w:after="0" w:line="312" w:lineRule="auto"/>
        <w:jc w:val="center"/>
        <w:rPr>
          <w:rFonts w:asciiTheme="majorHAnsi" w:hAnsiTheme="majorHAnsi" w:cstheme="majorHAnsi"/>
        </w:rPr>
      </w:pPr>
    </w:p>
    <w:p w14:paraId="55CE80F6" w14:textId="6F3D9CF4" w:rsidR="008C5F0F" w:rsidRPr="008C5F0F" w:rsidRDefault="00073D0C" w:rsidP="008C5F0F">
      <w:pPr>
        <w:spacing w:after="0" w:line="312" w:lineRule="auto"/>
        <w:jc w:val="center"/>
        <w:rPr>
          <w:rFonts w:asciiTheme="majorHAnsi" w:hAnsiTheme="majorHAnsi" w:cstheme="majorHAnsi"/>
          <w:b/>
          <w:sz w:val="44"/>
          <w:szCs w:val="32"/>
        </w:rPr>
      </w:pPr>
      <w:r w:rsidRPr="00C70C7C">
        <w:rPr>
          <w:rFonts w:asciiTheme="majorHAnsi" w:hAnsiTheme="majorHAnsi" w:cstheme="majorHAnsi"/>
          <w:b/>
          <w:sz w:val="44"/>
          <w:szCs w:val="32"/>
        </w:rPr>
        <w:t xml:space="preserve">BÁO CÁO </w:t>
      </w:r>
      <w:r w:rsidR="008C5F0F" w:rsidRPr="008C5F0F">
        <w:rPr>
          <w:rFonts w:asciiTheme="majorHAnsi" w:hAnsiTheme="majorHAnsi" w:cstheme="majorHAnsi"/>
          <w:b/>
          <w:sz w:val="44"/>
          <w:szCs w:val="32"/>
        </w:rPr>
        <w:t>BÀI TẬP LỚN</w:t>
      </w:r>
    </w:p>
    <w:p w14:paraId="64C2BEE1" w14:textId="20D830A5" w:rsidR="00266F16" w:rsidRPr="00266F16" w:rsidRDefault="00266F16" w:rsidP="00266F16">
      <w:pPr>
        <w:jc w:val="center"/>
        <w:rPr>
          <w:rFonts w:asciiTheme="majorHAnsi" w:hAnsiTheme="majorHAnsi" w:cstheme="majorHAnsi"/>
        </w:rPr>
      </w:pPr>
      <w:r w:rsidRPr="00266F16">
        <w:rPr>
          <w:rFonts w:asciiTheme="majorHAnsi" w:hAnsiTheme="majorHAnsi" w:cstheme="majorHAnsi"/>
          <w:b/>
          <w:sz w:val="34"/>
        </w:rPr>
        <w:t>PHÁP LUẬT BẢO VỆ DỮ LIỆU CÁ NHÂN TẠI VIỆT NAM VÀ TRÊN THẾ GIỚI: Ý NGHĨA ĐỐI VỚI PHÁT TRIỂN MÔ HÌNH TRÍ TUỆ NHÂN TẠO</w:t>
      </w:r>
    </w:p>
    <w:p w14:paraId="68DBD3B1" w14:textId="77777777" w:rsidR="00C70C7C" w:rsidRPr="00936F2F" w:rsidRDefault="00C70C7C" w:rsidP="00F473C2">
      <w:pPr>
        <w:spacing w:after="0" w:line="312" w:lineRule="auto"/>
        <w:jc w:val="center"/>
        <w:rPr>
          <w:rFonts w:asciiTheme="majorHAnsi" w:hAnsiTheme="majorHAnsi" w:cstheme="majorHAnsi"/>
          <w:b/>
          <w:sz w:val="32"/>
          <w:szCs w:val="32"/>
        </w:rPr>
      </w:pPr>
    </w:p>
    <w:p w14:paraId="69EFBFD1" w14:textId="6901D152" w:rsidR="009A667E" w:rsidRPr="00266F16" w:rsidRDefault="00A601ED" w:rsidP="00936F2F">
      <w:pPr>
        <w:tabs>
          <w:tab w:val="left" w:pos="2268"/>
        </w:tabs>
        <w:spacing w:after="0" w:line="312" w:lineRule="auto"/>
        <w:rPr>
          <w:rFonts w:asciiTheme="majorHAnsi" w:hAnsiTheme="majorHAnsi" w:cstheme="majorHAnsi"/>
          <w:b/>
          <w:sz w:val="28"/>
          <w:szCs w:val="32"/>
        </w:rPr>
      </w:pPr>
      <w:r w:rsidRPr="00C70C7C">
        <w:rPr>
          <w:rFonts w:asciiTheme="majorHAnsi" w:hAnsiTheme="majorHAnsi" w:cstheme="majorHAnsi"/>
          <w:sz w:val="28"/>
          <w:szCs w:val="32"/>
        </w:rPr>
        <w:tab/>
      </w:r>
      <w:r w:rsidR="009A667E" w:rsidRPr="00C70C7C">
        <w:rPr>
          <w:rFonts w:asciiTheme="majorHAnsi" w:hAnsiTheme="majorHAnsi" w:cstheme="majorHAnsi"/>
          <w:sz w:val="28"/>
          <w:szCs w:val="32"/>
        </w:rPr>
        <w:t xml:space="preserve">Giảng viên: </w:t>
      </w:r>
      <w:r w:rsidR="00266F16" w:rsidRPr="00266F16">
        <w:rPr>
          <w:rFonts w:asciiTheme="majorHAnsi" w:hAnsiTheme="majorHAnsi" w:cstheme="majorHAnsi"/>
          <w:b/>
          <w:sz w:val="28"/>
          <w:szCs w:val="32"/>
        </w:rPr>
        <w:t>TS. Trịnh Văn Chiến</w:t>
      </w:r>
    </w:p>
    <w:p w14:paraId="5995DBEC" w14:textId="57BC3036" w:rsidR="00266F16" w:rsidRPr="00266F16" w:rsidRDefault="00266F16" w:rsidP="00936F2F">
      <w:pPr>
        <w:tabs>
          <w:tab w:val="left" w:pos="2268"/>
        </w:tabs>
        <w:spacing w:after="0" w:line="312" w:lineRule="auto"/>
        <w:rPr>
          <w:rFonts w:asciiTheme="majorHAnsi" w:hAnsiTheme="majorHAnsi" w:cstheme="majorHAnsi"/>
          <w:b/>
          <w:sz w:val="28"/>
          <w:szCs w:val="32"/>
        </w:rPr>
      </w:pPr>
      <w:r w:rsidRPr="00266F16">
        <w:rPr>
          <w:rFonts w:asciiTheme="majorHAnsi" w:hAnsiTheme="majorHAnsi" w:cstheme="majorHAnsi"/>
          <w:b/>
          <w:sz w:val="28"/>
          <w:szCs w:val="32"/>
        </w:rPr>
        <w:tab/>
      </w:r>
      <w:r w:rsidRPr="00266F16">
        <w:rPr>
          <w:rFonts w:asciiTheme="majorHAnsi" w:hAnsiTheme="majorHAnsi" w:cstheme="majorHAnsi"/>
          <w:b/>
          <w:sz w:val="28"/>
          <w:szCs w:val="32"/>
        </w:rPr>
        <w:tab/>
      </w:r>
      <w:r w:rsidRPr="00266F16">
        <w:rPr>
          <w:rFonts w:asciiTheme="majorHAnsi" w:hAnsiTheme="majorHAnsi" w:cstheme="majorHAnsi"/>
          <w:b/>
          <w:sz w:val="28"/>
          <w:szCs w:val="32"/>
        </w:rPr>
        <w:tab/>
        <w:t xml:space="preserve"> </w:t>
      </w:r>
      <w:r w:rsidRPr="00C70C7C">
        <w:rPr>
          <w:rFonts w:asciiTheme="majorHAnsi" w:hAnsiTheme="majorHAnsi" w:cstheme="majorHAnsi"/>
          <w:b/>
          <w:sz w:val="28"/>
          <w:szCs w:val="32"/>
        </w:rPr>
        <w:t xml:space="preserve">TS. </w:t>
      </w:r>
      <w:r w:rsidRPr="00266F16">
        <w:rPr>
          <w:rFonts w:asciiTheme="majorHAnsi" w:hAnsiTheme="majorHAnsi" w:cstheme="majorHAnsi"/>
          <w:b/>
          <w:sz w:val="28"/>
          <w:szCs w:val="32"/>
        </w:rPr>
        <w:t>Trần Quang Đức</w:t>
      </w:r>
    </w:p>
    <w:p w14:paraId="04170142" w14:textId="77777777" w:rsidR="00936F2F" w:rsidRPr="00266F16" w:rsidRDefault="00936F2F" w:rsidP="00936F2F">
      <w:pPr>
        <w:tabs>
          <w:tab w:val="left" w:pos="2268"/>
        </w:tabs>
        <w:spacing w:after="0" w:line="312" w:lineRule="auto"/>
        <w:rPr>
          <w:rFonts w:asciiTheme="majorHAnsi" w:hAnsiTheme="majorHAnsi" w:cstheme="majorHAnsi"/>
          <w:b/>
          <w:sz w:val="28"/>
          <w:szCs w:val="32"/>
        </w:rPr>
      </w:pPr>
    </w:p>
    <w:p w14:paraId="3D5BD9E2" w14:textId="77777777" w:rsidR="00936F2F" w:rsidRPr="00266F16" w:rsidRDefault="00936F2F" w:rsidP="00936F2F">
      <w:pPr>
        <w:tabs>
          <w:tab w:val="left" w:pos="2268"/>
        </w:tabs>
        <w:spacing w:after="0" w:line="312" w:lineRule="auto"/>
        <w:rPr>
          <w:rFonts w:asciiTheme="majorHAnsi" w:hAnsiTheme="majorHAnsi" w:cstheme="majorHAnsi"/>
          <w:b/>
          <w:sz w:val="28"/>
          <w:szCs w:val="32"/>
        </w:rPr>
      </w:pPr>
    </w:p>
    <w:p w14:paraId="5AC2685B" w14:textId="77777777" w:rsidR="00936F2F" w:rsidRPr="004E42A8" w:rsidRDefault="00936F2F" w:rsidP="00936F2F">
      <w:pPr>
        <w:ind w:left="990"/>
        <w:rPr>
          <w:rFonts w:ascii="Times New Roman" w:hAnsi="Times New Roman" w:cs="Times New Roman"/>
          <w:sz w:val="28"/>
          <w:szCs w:val="28"/>
        </w:rPr>
      </w:pPr>
      <w:r w:rsidRPr="004E42A8">
        <w:rPr>
          <w:rFonts w:ascii="Times New Roman" w:eastAsia="Times New Roman" w:hAnsi="Times New Roman" w:cs="Times New Roman"/>
          <w:b/>
          <w:sz w:val="28"/>
          <w:szCs w:val="28"/>
        </w:rPr>
        <w:t>Nhóm 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094"/>
      </w:tblGrid>
      <w:tr w:rsidR="00936F2F" w:rsidRPr="004E42A8" w14:paraId="6ED56B48" w14:textId="77777777" w:rsidTr="00936F2F">
        <w:trPr>
          <w:trHeight w:val="352"/>
          <w:jc w:val="center"/>
        </w:trPr>
        <w:tc>
          <w:tcPr>
            <w:tcW w:w="3240" w:type="dxa"/>
          </w:tcPr>
          <w:p w14:paraId="6F2A6497" w14:textId="744AF0A7" w:rsidR="00936F2F" w:rsidRPr="00266F16" w:rsidRDefault="00266F16" w:rsidP="00936F2F">
            <w:pPr>
              <w:ind w:left="343"/>
              <w:rPr>
                <w:rFonts w:ascii="Times New Roman" w:hAnsi="Times New Roman" w:cs="Times New Roman"/>
                <w:sz w:val="28"/>
                <w:szCs w:val="28"/>
                <w:lang w:val="en-US"/>
              </w:rPr>
            </w:pPr>
            <w:r>
              <w:rPr>
                <w:rFonts w:ascii="Times New Roman" w:hAnsi="Times New Roman" w:cs="Times New Roman"/>
                <w:sz w:val="28"/>
                <w:szCs w:val="28"/>
                <w:lang w:val="en-US"/>
              </w:rPr>
              <w:t>Nguyễn Gia Khảm</w:t>
            </w:r>
          </w:p>
        </w:tc>
        <w:tc>
          <w:tcPr>
            <w:tcW w:w="3094" w:type="dxa"/>
          </w:tcPr>
          <w:p w14:paraId="4861E686" w14:textId="32FE8680" w:rsidR="00936F2F" w:rsidRPr="00936F2F" w:rsidRDefault="00936F2F" w:rsidP="00936F2F">
            <w:pPr>
              <w:ind w:left="343"/>
              <w:rPr>
                <w:rFonts w:ascii="Times New Roman" w:hAnsi="Times New Roman" w:cs="Times New Roman"/>
                <w:sz w:val="28"/>
                <w:szCs w:val="28"/>
                <w:lang w:val="en-US"/>
              </w:rPr>
            </w:pPr>
            <w:r>
              <w:rPr>
                <w:rFonts w:ascii="Times New Roman" w:eastAsia="Times New Roman" w:hAnsi="Times New Roman" w:cs="Times New Roman"/>
                <w:sz w:val="28"/>
                <w:szCs w:val="28"/>
              </w:rPr>
              <w:t xml:space="preserve">: </w:t>
            </w:r>
            <w:r w:rsidRPr="00936F2F">
              <w:rPr>
                <w:rFonts w:ascii="Times New Roman" w:eastAsia="Times New Roman" w:hAnsi="Times New Roman" w:cs="Times New Roman"/>
                <w:sz w:val="28"/>
                <w:szCs w:val="28"/>
              </w:rPr>
              <w:t>20252</w:t>
            </w:r>
            <w:r w:rsidR="00266F16">
              <w:rPr>
                <w:rFonts w:ascii="Times New Roman" w:eastAsia="Times New Roman" w:hAnsi="Times New Roman" w:cs="Times New Roman"/>
                <w:sz w:val="28"/>
                <w:szCs w:val="28"/>
              </w:rPr>
              <w:t>126</w:t>
            </w:r>
            <w:r w:rsidRPr="00936F2F">
              <w:rPr>
                <w:rFonts w:ascii="Times New Roman" w:eastAsia="Times New Roman" w:hAnsi="Times New Roman" w:cs="Times New Roman"/>
                <w:sz w:val="28"/>
                <w:szCs w:val="28"/>
              </w:rPr>
              <w:t>M</w:t>
            </w:r>
          </w:p>
        </w:tc>
      </w:tr>
      <w:tr w:rsidR="00936F2F" w:rsidRPr="004E42A8" w14:paraId="30AF8390" w14:textId="77777777" w:rsidTr="00936F2F">
        <w:trPr>
          <w:trHeight w:val="352"/>
          <w:jc w:val="center"/>
        </w:trPr>
        <w:tc>
          <w:tcPr>
            <w:tcW w:w="3240" w:type="dxa"/>
          </w:tcPr>
          <w:p w14:paraId="0C81A9BD" w14:textId="27D062E1" w:rsidR="00936F2F" w:rsidRPr="004E42A8" w:rsidRDefault="00266F16" w:rsidP="00936F2F">
            <w:pPr>
              <w:ind w:left="343"/>
              <w:rPr>
                <w:rFonts w:ascii="Times New Roman" w:hAnsi="Times New Roman" w:cs="Times New Roman"/>
                <w:sz w:val="28"/>
                <w:szCs w:val="28"/>
              </w:rPr>
            </w:pPr>
            <w:r w:rsidRPr="00266F16">
              <w:rPr>
                <w:rFonts w:ascii="Times New Roman" w:hAnsi="Times New Roman" w:cs="Times New Roman"/>
                <w:sz w:val="28"/>
                <w:szCs w:val="28"/>
              </w:rPr>
              <w:t>Nguyễn Thị Diễm Anh</w:t>
            </w:r>
          </w:p>
        </w:tc>
        <w:tc>
          <w:tcPr>
            <w:tcW w:w="3094" w:type="dxa"/>
          </w:tcPr>
          <w:p w14:paraId="65595F72" w14:textId="2B46917C" w:rsidR="00936F2F" w:rsidRPr="004E42A8" w:rsidRDefault="00936F2F" w:rsidP="00936F2F">
            <w:pPr>
              <w:ind w:left="343"/>
              <w:rPr>
                <w:rFonts w:ascii="Times New Roman" w:hAnsi="Times New Roman" w:cs="Times New Roman"/>
                <w:sz w:val="28"/>
                <w:szCs w:val="28"/>
              </w:rPr>
            </w:pPr>
            <w:r>
              <w:rPr>
                <w:rFonts w:ascii="Times New Roman" w:hAnsi="Times New Roman" w:cs="Times New Roman"/>
                <w:color w:val="000000"/>
                <w:sz w:val="28"/>
                <w:szCs w:val="28"/>
              </w:rPr>
              <w:t xml:space="preserve">: </w:t>
            </w:r>
            <w:r w:rsidRPr="004E42A8">
              <w:rPr>
                <w:rFonts w:ascii="Times New Roman" w:hAnsi="Times New Roman" w:cs="Times New Roman"/>
                <w:color w:val="000000"/>
                <w:sz w:val="28"/>
                <w:szCs w:val="28"/>
              </w:rPr>
              <w:t>20252</w:t>
            </w:r>
            <w:r w:rsidR="00266F16">
              <w:rPr>
                <w:rFonts w:ascii="Times New Roman" w:hAnsi="Times New Roman" w:cs="Times New Roman"/>
                <w:color w:val="000000"/>
                <w:sz w:val="28"/>
                <w:szCs w:val="28"/>
                <w:lang w:val="en-US"/>
              </w:rPr>
              <w:t>613</w:t>
            </w:r>
            <w:r w:rsidRPr="004E42A8">
              <w:rPr>
                <w:rFonts w:ascii="Times New Roman" w:hAnsi="Times New Roman" w:cs="Times New Roman"/>
                <w:color w:val="000000"/>
                <w:sz w:val="28"/>
                <w:szCs w:val="28"/>
              </w:rPr>
              <w:t>M</w:t>
            </w:r>
          </w:p>
        </w:tc>
      </w:tr>
      <w:tr w:rsidR="00936F2F" w:rsidRPr="004E42A8" w14:paraId="0C4C9DB6" w14:textId="77777777" w:rsidTr="00936F2F">
        <w:trPr>
          <w:trHeight w:val="352"/>
          <w:jc w:val="center"/>
        </w:trPr>
        <w:tc>
          <w:tcPr>
            <w:tcW w:w="3240" w:type="dxa"/>
          </w:tcPr>
          <w:p w14:paraId="5856FB69" w14:textId="0BA93AAF" w:rsidR="00936F2F" w:rsidRPr="00936F2F" w:rsidRDefault="00266F16" w:rsidP="00936F2F">
            <w:pPr>
              <w:ind w:left="343"/>
              <w:rPr>
                <w:rFonts w:ascii="Times New Roman" w:hAnsi="Times New Roman" w:cs="Times New Roman"/>
                <w:sz w:val="28"/>
                <w:szCs w:val="28"/>
                <w:lang w:val="en-US"/>
              </w:rPr>
            </w:pPr>
            <w:r w:rsidRPr="00266F16">
              <w:rPr>
                <w:rFonts w:ascii="Times New Roman" w:hAnsi="Times New Roman" w:cs="Times New Roman"/>
                <w:sz w:val="28"/>
                <w:szCs w:val="28"/>
              </w:rPr>
              <w:t>Đàm Đức Mạnh</w:t>
            </w:r>
          </w:p>
        </w:tc>
        <w:tc>
          <w:tcPr>
            <w:tcW w:w="3094" w:type="dxa"/>
          </w:tcPr>
          <w:p w14:paraId="1BF7CBA8" w14:textId="47623780" w:rsidR="00936F2F" w:rsidRPr="004E42A8" w:rsidRDefault="00936F2F" w:rsidP="00936F2F">
            <w:pPr>
              <w:ind w:left="343"/>
              <w:rPr>
                <w:rFonts w:ascii="Times New Roman" w:hAnsi="Times New Roman" w:cs="Times New Roman"/>
                <w:sz w:val="28"/>
                <w:szCs w:val="28"/>
              </w:rPr>
            </w:pPr>
            <w:r>
              <w:rPr>
                <w:rFonts w:ascii="Times New Roman" w:hAnsi="Times New Roman" w:cs="Times New Roman"/>
                <w:color w:val="000000"/>
                <w:sz w:val="28"/>
                <w:szCs w:val="28"/>
              </w:rPr>
              <w:t xml:space="preserve">: </w:t>
            </w:r>
            <w:r w:rsidR="00266F16" w:rsidRPr="00266F16">
              <w:rPr>
                <w:rFonts w:ascii="Times New Roman" w:hAnsi="Times New Roman" w:cs="Times New Roman"/>
                <w:color w:val="000000"/>
                <w:sz w:val="28"/>
                <w:szCs w:val="28"/>
              </w:rPr>
              <w:t>20252127M</w:t>
            </w:r>
          </w:p>
        </w:tc>
      </w:tr>
      <w:tr w:rsidR="00936F2F" w:rsidRPr="004E42A8" w14:paraId="31486459" w14:textId="77777777" w:rsidTr="00936F2F">
        <w:trPr>
          <w:trHeight w:val="352"/>
          <w:jc w:val="center"/>
        </w:trPr>
        <w:tc>
          <w:tcPr>
            <w:tcW w:w="3240" w:type="dxa"/>
          </w:tcPr>
          <w:p w14:paraId="724B1300" w14:textId="1E61A031" w:rsidR="00936F2F" w:rsidRPr="004E42A8" w:rsidRDefault="00266F16" w:rsidP="00936F2F">
            <w:pPr>
              <w:ind w:left="343"/>
              <w:rPr>
                <w:rFonts w:ascii="Times New Roman" w:hAnsi="Times New Roman" w:cs="Times New Roman"/>
                <w:sz w:val="28"/>
                <w:szCs w:val="28"/>
              </w:rPr>
            </w:pPr>
            <w:r w:rsidRPr="00266F16">
              <w:rPr>
                <w:rFonts w:ascii="Times New Roman" w:hAnsi="Times New Roman" w:cs="Times New Roman"/>
                <w:color w:val="000000"/>
                <w:sz w:val="28"/>
                <w:szCs w:val="28"/>
              </w:rPr>
              <w:t>Nguyễn Hòa Khiêm</w:t>
            </w:r>
          </w:p>
        </w:tc>
        <w:tc>
          <w:tcPr>
            <w:tcW w:w="3094" w:type="dxa"/>
          </w:tcPr>
          <w:p w14:paraId="4524D691" w14:textId="3BF9776B" w:rsidR="00936F2F" w:rsidRPr="004E42A8" w:rsidRDefault="00936F2F" w:rsidP="00936F2F">
            <w:pPr>
              <w:ind w:left="343"/>
              <w:rPr>
                <w:rFonts w:ascii="Times New Roman" w:hAnsi="Times New Roman" w:cs="Times New Roman"/>
                <w:sz w:val="28"/>
                <w:szCs w:val="28"/>
              </w:rPr>
            </w:pPr>
            <w:r>
              <w:rPr>
                <w:rFonts w:ascii="Times New Roman" w:hAnsi="Times New Roman" w:cs="Times New Roman"/>
                <w:color w:val="000000"/>
                <w:sz w:val="28"/>
                <w:szCs w:val="28"/>
              </w:rPr>
              <w:t xml:space="preserve">: </w:t>
            </w:r>
            <w:r w:rsidRPr="004E42A8">
              <w:rPr>
                <w:rFonts w:ascii="Times New Roman" w:hAnsi="Times New Roman" w:cs="Times New Roman"/>
                <w:color w:val="000000"/>
                <w:sz w:val="28"/>
                <w:szCs w:val="28"/>
              </w:rPr>
              <w:t>20252031M</w:t>
            </w:r>
          </w:p>
        </w:tc>
      </w:tr>
    </w:tbl>
    <w:p w14:paraId="610AAB6C" w14:textId="13A501B1" w:rsidR="009A667E" w:rsidRPr="00C70C7C" w:rsidRDefault="009A667E" w:rsidP="00F473C2">
      <w:pPr>
        <w:tabs>
          <w:tab w:val="left" w:pos="3810"/>
          <w:tab w:val="center" w:pos="4513"/>
        </w:tabs>
        <w:spacing w:after="0" w:line="312" w:lineRule="auto"/>
        <w:jc w:val="center"/>
        <w:rPr>
          <w:rFonts w:asciiTheme="majorHAnsi" w:hAnsiTheme="majorHAnsi" w:cstheme="majorHAnsi"/>
          <w:sz w:val="28"/>
          <w:szCs w:val="32"/>
        </w:rPr>
      </w:pPr>
    </w:p>
    <w:p w14:paraId="3C3EA7B6" w14:textId="77777777" w:rsidR="00932770" w:rsidRPr="00C70C7C" w:rsidRDefault="00932770" w:rsidP="00F473C2">
      <w:pPr>
        <w:tabs>
          <w:tab w:val="left" w:pos="3810"/>
          <w:tab w:val="center" w:pos="4513"/>
        </w:tabs>
        <w:spacing w:after="0" w:line="312" w:lineRule="auto"/>
        <w:jc w:val="center"/>
        <w:rPr>
          <w:rFonts w:asciiTheme="majorHAnsi" w:hAnsiTheme="majorHAnsi" w:cstheme="majorHAnsi"/>
          <w:sz w:val="28"/>
          <w:szCs w:val="32"/>
        </w:rPr>
      </w:pPr>
    </w:p>
    <w:p w14:paraId="50E75067" w14:textId="77777777" w:rsidR="00C70C7C" w:rsidRDefault="00C70C7C" w:rsidP="00F473C2">
      <w:pPr>
        <w:tabs>
          <w:tab w:val="left" w:pos="3810"/>
          <w:tab w:val="center" w:pos="4513"/>
        </w:tabs>
        <w:spacing w:after="0" w:line="312" w:lineRule="auto"/>
        <w:jc w:val="center"/>
        <w:rPr>
          <w:rFonts w:asciiTheme="majorHAnsi" w:hAnsiTheme="majorHAnsi" w:cstheme="majorHAnsi"/>
          <w:sz w:val="28"/>
          <w:szCs w:val="32"/>
          <w:lang w:val="en-US"/>
        </w:rPr>
      </w:pPr>
    </w:p>
    <w:p w14:paraId="4D7D64EF" w14:textId="77777777" w:rsidR="00266F16" w:rsidRDefault="00266F16" w:rsidP="00F473C2">
      <w:pPr>
        <w:tabs>
          <w:tab w:val="left" w:pos="3810"/>
          <w:tab w:val="center" w:pos="4513"/>
        </w:tabs>
        <w:spacing w:after="0" w:line="312" w:lineRule="auto"/>
        <w:jc w:val="center"/>
        <w:rPr>
          <w:rFonts w:asciiTheme="majorHAnsi" w:hAnsiTheme="majorHAnsi" w:cstheme="majorHAnsi"/>
          <w:sz w:val="28"/>
          <w:szCs w:val="32"/>
          <w:lang w:val="en-US"/>
        </w:rPr>
      </w:pPr>
    </w:p>
    <w:p w14:paraId="3B07150D" w14:textId="77777777" w:rsidR="00266F16" w:rsidRPr="00936F2F" w:rsidRDefault="00266F16" w:rsidP="00F473C2">
      <w:pPr>
        <w:tabs>
          <w:tab w:val="left" w:pos="3810"/>
          <w:tab w:val="center" w:pos="4513"/>
        </w:tabs>
        <w:spacing w:after="0" w:line="312" w:lineRule="auto"/>
        <w:jc w:val="center"/>
        <w:rPr>
          <w:rFonts w:asciiTheme="majorHAnsi" w:hAnsiTheme="majorHAnsi" w:cstheme="majorHAnsi"/>
          <w:sz w:val="28"/>
          <w:szCs w:val="32"/>
          <w:lang w:val="en-US"/>
        </w:rPr>
      </w:pPr>
    </w:p>
    <w:p w14:paraId="72BB214B" w14:textId="77777777" w:rsidR="005B0EBE" w:rsidRPr="00C70C7C" w:rsidRDefault="005B0EBE" w:rsidP="00F473C2">
      <w:pPr>
        <w:tabs>
          <w:tab w:val="left" w:pos="3810"/>
          <w:tab w:val="center" w:pos="4513"/>
        </w:tabs>
        <w:spacing w:after="0" w:line="312" w:lineRule="auto"/>
        <w:jc w:val="center"/>
        <w:rPr>
          <w:rFonts w:asciiTheme="majorHAnsi" w:hAnsiTheme="majorHAnsi" w:cstheme="majorHAnsi"/>
          <w:sz w:val="28"/>
          <w:szCs w:val="32"/>
        </w:rPr>
      </w:pPr>
    </w:p>
    <w:p w14:paraId="715F3363" w14:textId="71FC09FB" w:rsidR="009A667E" w:rsidRPr="003A7B03" w:rsidRDefault="009A667E" w:rsidP="00F473C2">
      <w:pPr>
        <w:tabs>
          <w:tab w:val="left" w:pos="3810"/>
          <w:tab w:val="center" w:pos="4513"/>
        </w:tabs>
        <w:spacing w:after="0" w:line="312" w:lineRule="auto"/>
        <w:jc w:val="center"/>
        <w:rPr>
          <w:rFonts w:asciiTheme="majorHAnsi" w:hAnsiTheme="majorHAnsi" w:cstheme="majorHAnsi"/>
          <w:b/>
          <w:sz w:val="28"/>
          <w:szCs w:val="32"/>
          <w:lang w:val="en-US"/>
        </w:rPr>
        <w:sectPr w:rsidR="009A667E" w:rsidRPr="003A7B03" w:rsidSect="00A679C1">
          <w:footerReference w:type="even" r:id="rId9"/>
          <w:pgSz w:w="11906" w:h="16838" w:code="9"/>
          <w:pgMar w:top="1440" w:right="1440" w:bottom="1440" w:left="1728" w:header="720" w:footer="1365"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C70C7C">
        <w:rPr>
          <w:rFonts w:asciiTheme="majorHAnsi" w:hAnsiTheme="majorHAnsi" w:cstheme="majorHAnsi"/>
          <w:b/>
          <w:sz w:val="28"/>
          <w:szCs w:val="32"/>
        </w:rPr>
        <w:t xml:space="preserve">Hà Nội, năm </w:t>
      </w:r>
      <w:r w:rsidR="00B52627" w:rsidRPr="00C70C7C">
        <w:rPr>
          <w:rFonts w:asciiTheme="majorHAnsi" w:hAnsiTheme="majorHAnsi" w:cstheme="majorHAnsi"/>
          <w:b/>
          <w:sz w:val="28"/>
          <w:szCs w:val="32"/>
        </w:rPr>
        <w:t>202</w:t>
      </w:r>
      <w:r w:rsidR="003A7B03">
        <w:rPr>
          <w:rFonts w:asciiTheme="majorHAnsi" w:hAnsiTheme="majorHAnsi" w:cstheme="majorHAnsi"/>
          <w:b/>
          <w:sz w:val="28"/>
          <w:szCs w:val="32"/>
          <w:lang w:val="en-US"/>
        </w:rPr>
        <w:t>6</w:t>
      </w:r>
    </w:p>
    <w:p>
      <w:pPr>
        <w:spacing w:after="0" w:line="312" w:lineRule="auto"/>
        <w:jc w:val="center"/>
        <w:outlineLvl w:val="0"/>
        <w:rPr>
          <w:rFonts w:ascii="Times New Roman" w:eastAsia="Times New Roman" w:hAnsi="Times New Roman" w:cs="Times New Roman"/>
          <w:b/>
          <w:bCs/>
          <w:sz w:val="32"/>
          <w:szCs w:val="32"/>
        </w:rPr>
      </w:pPr>
      <w:bookmarkStart w:id="101" w:name="_Toc900000101"/>
      <w:r>
        <w:rPr>
          <w:rFonts w:ascii="Times New Roman" w:eastAsia="Times New Roman" w:hAnsi="Times New Roman" w:cs="Times New Roman"/>
          <w:b/>
          <w:bCs/>
          <w:sz w:val="32"/>
          <w:szCs w:val="32"/>
        </w:rPr>
        <w:t xml:space="preserve">LỜI NÓI ĐẦU</w:t>
      </w:r>
      <w:bookmarkEnd w:id="101"/>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hình học máy đang được huấn luyện trên kho dữ liệu gắn với người thật: văn bản công khai trên mạng, ảnh, lịch sử giao dịch, hồ sơ sức khỏe. Cùng lúc đó, pháp luật dữ liệu cá nhân chuyển từ nguyên tắc chung sang đạo luậ</w:t>
      </w:r>
      <w:r>
        <w:rPr>
          <w:rFonts w:ascii="Times New Roman" w:eastAsia="Times New Roman" w:hAnsi="Times New Roman" w:cs="Times New Roman"/>
          <w:sz w:val="26"/>
          <w:szCs w:val="26"/>
        </w:rPr>
        <w:t xml:space="preserve">t riêng. Liên minh châu Âu có Quy định chung về bảo vệ dữ liệu từ năm 2018. Việt Nam có Luật Bảo vệ dữ liệu cá nhân số 91/2025/QH15, hiệu lực ngày 01/01/2026, và Luật Trí tuệ nhân tạo số 134/2025/QH15, hiệu lực ngày 01/3/2026. Hai dòng này gặp nhau ở một c</w:t>
      </w:r>
      <w:r>
        <w:rPr>
          <w:rFonts w:ascii="Times New Roman" w:eastAsia="Times New Roman" w:hAnsi="Times New Roman" w:cs="Times New Roman"/>
          <w:sz w:val="26"/>
          <w:szCs w:val="26"/>
        </w:rPr>
        <w:t xml:space="preserve">âu hỏi thực tế: nhóm phát triển được làm gì với dữ liệu cá nhân khi xây dựng mô hình, và phải chứng minh điều gì với cơ quan quản lý.</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được thực hiện cho Topic 8 của môn Cyber Security. Đề bài yêu cầu tìm hiểu pháp luật bảo vệ thông tin cá nhân tại </w:t>
      </w:r>
      <w:r>
        <w:rPr>
          <w:rFonts w:ascii="Times New Roman" w:eastAsia="Times New Roman" w:hAnsi="Times New Roman" w:cs="Times New Roman"/>
          <w:sz w:val="26"/>
          <w:szCs w:val="26"/>
        </w:rPr>
        <w:t xml:space="preserve">Việt Nam và trên thế giới, rồi rút ra ý nghĩa đối với việc phát triển các mô hình trí tuệ nhân tạo. Đề bài dùng cụm “thông tin cá nhân”. Pháp luật Việt Nam hiện hành dùng “dữ liệu cá nhân”, nên báo cáo dùng thống nhất thuật ngữ này.</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tổng quan tám t</w:t>
      </w:r>
      <w:r>
        <w:rPr>
          <w:rFonts w:ascii="Times New Roman" w:eastAsia="Times New Roman" w:hAnsi="Times New Roman" w:cs="Times New Roman"/>
          <w:sz w:val="26"/>
          <w:szCs w:val="26"/>
        </w:rPr>
        <w:t xml:space="preserve">ài liệu gốc, chia ba hướng: lập pháp, diễn giải và kỹ thuật. Phần lập pháp đọc Luật 91/2025, Nghị định 356/2025/NĐ-CP, GDPR và Đạo luật AI của EU. Phần diễn giải đặt Ý kiến 28/2024 của Ủy ban Bảo vệ dữ liệu châu Âu cạnh bài của Veale, Binns và Edwards năm </w:t>
      </w:r>
      <w:r>
        <w:rPr>
          <w:rFonts w:ascii="Times New Roman" w:eastAsia="Times New Roman" w:hAnsi="Times New Roman" w:cs="Times New Roman"/>
          <w:sz w:val="26"/>
          <w:szCs w:val="26"/>
        </w:rPr>
        <w:t xml:space="preserve">2018. Phần kỹ thuật lấy ba công trình có bình duyệt: Carlini và cộng sự năm 2021 về trích xuất dữ liệu huấn luyện, Abadi và cộng sự năm 2016 về riêng tư vi phân, Bourtoule và cộng sự năm 2021 về quên máy. Trên nền đó, báo cáo áp Điều 2 và Điều 19 của luật </w:t>
      </w:r>
      <w:r>
        <w:rPr>
          <w:rFonts w:ascii="Times New Roman" w:eastAsia="Times New Roman" w:hAnsi="Times New Roman" w:cs="Times New Roman"/>
          <w:sz w:val="26"/>
          <w:szCs w:val="26"/>
        </w:rPr>
        <w:t xml:space="preserve">Việt Nam vào hai việc còn mở: mô hình đã huấn luyện còn là dữ liệu cá nhân hay không, và dữ liệu thu từ web có căn cứ xử lý hay không.</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có ba giới hạn cần nói ngay. Báo cáo không tiến hành thực nghiệm. Pháp luật Hoa Kỳ, Trung Quốc và Hàn Quốc chỉ đư</w:t>
      </w:r>
      <w:r>
        <w:rPr>
          <w:rFonts w:ascii="Times New Roman" w:eastAsia="Times New Roman" w:hAnsi="Times New Roman" w:cs="Times New Roman"/>
          <w:sz w:val="26"/>
          <w:szCs w:val="26"/>
        </w:rPr>
        <w:t xml:space="preserve">ợc khảo sát qua nguồn thứ cấp, và được ghi rõ là nguồn thứ cấp ở chương 4. Nội dung mang tính học thuật, không thay tư vấn pháp lý cho một vụ việc cụ thể.</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gồm tám chương. Chương 1 đặt câu hỏi, phạm vi và khái niệm. Chương 2 phân loại tám tài liệu. </w:t>
      </w:r>
      <w:r>
        <w:rPr>
          <w:rFonts w:ascii="Times New Roman" w:eastAsia="Times New Roman" w:hAnsi="Times New Roman" w:cs="Times New Roman"/>
          <w:sz w:val="26"/>
          <w:szCs w:val="26"/>
        </w:rPr>
        <w:t xml:space="preserve">Chương 3 đọc luật Việt Nam tới điều khoản. Chương 4 đối chiếu với EU và ba nước. Chương 5 trình bày bốn công trình nghiên cứu và nối kết quả trích xuất với định nghĩa dữ liệu cá nhân. Chương 6 so sánh các khung. Chương 7 </w:t>
      </w:r>
      <w:r>
        <w:rPr>
          <w:rFonts w:ascii="Times New Roman" w:eastAsia="Times New Roman" w:hAnsi="Times New Roman" w:cs="Times New Roman"/>
          <w:sz w:val="26"/>
          <w:szCs w:val="26"/>
        </w:rPr>
        <w:t xml:space="preserve">đi theo vòng đời mô hình, kèm hai v</w:t>
      </w:r>
      <w:r>
        <w:rPr>
          <w:rFonts w:ascii="Times New Roman" w:eastAsia="Times New Roman" w:hAnsi="Times New Roman" w:cs="Times New Roman"/>
          <w:sz w:val="26"/>
          <w:szCs w:val="26"/>
        </w:rPr>
        <w:t xml:space="preserve">í dụ. Chương 8 nêu xu hướng, khoảng trống và kết luận. Phần cuối là tài liệu tham khảo và bảng phân công để nhóm điền tên.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thực hiện xin cảm ơn giảng viên phụ trách môn học đã giao đề và dành thời gian góp ý. Những chỗ còn thiếu trong báo cáo thuộc về</w:t>
      </w:r>
      <w:r>
        <w:rPr>
          <w:rFonts w:ascii="Times New Roman" w:eastAsia="Times New Roman" w:hAnsi="Times New Roman" w:cs="Times New Roman"/>
          <w:sz w:val="26"/>
          <w:szCs w:val="26"/>
        </w:rPr>
        <w:t xml:space="preserve"> trách nhiệm của nhóm.</w:t>
      </w:r>
    </w:p>
    <w:p>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bookmarkStart w:id="0" w:name="_Toc235447184" w:displacedByCustomXml="next"/>
    <w:sdt>
      <w:sdtPr>
        <w:rPr>
          <w:rFonts w:asciiTheme="majorHAnsi" w:eastAsia="Calibri" w:hAnsiTheme="majorHAnsi" w:cstheme="majorHAnsi"/>
          <w:b w:val="0"/>
          <w:bCs w:val="0"/>
          <w:color w:val="auto"/>
          <w:sz w:val="24"/>
          <w:szCs w:val="24"/>
          <w:lang w:val="vi-VN"/>
        </w:rPr>
        <w:id w:val="-1834753761"/>
        <w:docPartObj>
          <w:docPartGallery w:val="Table of Contents"/>
          <w:docPartUnique/>
        </w:docPartObj>
      </w:sdtPr>
      <w:sdtEndPr>
        <w:rPr>
          <w:rFonts w:eastAsiaTheme="minorHAnsi"/>
          <w:noProof/>
        </w:rPr>
      </w:sdtEndPr>
      <w:sdtContent>
        <w:p w14:paraId="6C433F0B" w14:textId="77777777" w:rsidR="009A667E" w:rsidRPr="00F72901" w:rsidRDefault="009A667E" w:rsidP="00F473C2">
          <w:pPr>
            <w:pStyle w:val="TOCHeading"/>
            <w:spacing w:before="0" w:line="312" w:lineRule="auto"/>
            <w:jc w:val="center"/>
            <w:outlineLvl w:val="0"/>
            <w:rPr>
              <w:rFonts w:asciiTheme="majorHAnsi" w:hAnsiTheme="majorHAnsi" w:cstheme="majorHAnsi"/>
              <w:color w:val="auto"/>
              <w:sz w:val="36"/>
              <w:szCs w:val="36"/>
              <w:lang w:val="vi-VN"/>
            </w:rPr>
          </w:pPr>
          <w:r w:rsidRPr="00F72901">
            <w:rPr>
              <w:rFonts w:asciiTheme="majorHAnsi" w:hAnsiTheme="majorHAnsi" w:cstheme="majorHAnsi"/>
              <w:color w:val="auto"/>
              <w:sz w:val="36"/>
              <w:szCs w:val="36"/>
              <w:lang w:val="vi-VN"/>
            </w:rPr>
            <w:t>MỤC LỤC</w:t>
          </w:r>
          <w:bookmarkEnd w:id="0"/>
        </w:p>
        <w:p w14:paraId="62D70133" w14:textId="65C5EDB4" w:rsidR="00C4518B" w:rsidRPr="002C17B8" w:rsidRDefault="00385E34">
          <w:pPr>
            <w:pStyle w:val="TOC1"/>
            <w:rPr>
              <w:rFonts w:asciiTheme="minorHAnsi" w:eastAsiaTheme="minorEastAsia" w:hAnsiTheme="minorHAnsi" w:cstheme="minorBidi"/>
              <w:kern w:val="2"/>
              <w:sz w:val="24"/>
              <w:szCs w:val="24"/>
              <w14:ligatures w14:val="standardContextual"/>
            </w:rPr>
          </w:pPr>
          <w:r w:rsidRPr="00F72901">
            <w:rPr>
              <w:rFonts w:asciiTheme="majorHAnsi" w:hAnsiTheme="majorHAnsi" w:cstheme="majorHAnsi"/>
              <w:bCs/>
            </w:rPr>
            <w:fldChar w:fldCharType="begin"/>
          </w:r>
          <w:r w:rsidRPr="00F72901">
            <w:rPr>
              <w:rFonts w:asciiTheme="majorHAnsi" w:hAnsiTheme="majorHAnsi" w:cstheme="majorHAnsi"/>
              <w:bCs/>
            </w:rPr>
            <w:instrText xml:space="preserve"> TOC \o "1-3" \h \z \u </w:instrText>
          </w:r>
          <w:r w:rsidRPr="00F72901">
            <w:rPr>
              <w:rFonts w:asciiTheme="majorHAnsi" w:hAnsiTheme="majorHAnsi" w:cstheme="majorHAnsi"/>
              <w:bCs/>
            </w:rPr>
            <w:fldChar w:fldCharType="separate"/>
          </w:r>
          <w:hyperlink w:anchor="_Toc900000101" w:history="1">
            <w:r w:rsidR="00C4518B" w:rsidRPr="002C17B8">
              <w:rPr>
                <w:rStyle w:val="Hyperlink"/>
                <w:rFonts w:asciiTheme="majorHAnsi" w:hAnsiTheme="majorHAnsi" w:cstheme="majorHAnsi"/>
                <w:lang w:val="vi-VN"/>
              </w:rPr>
              <w:t>LỜI NÓI ĐẦU</w:t>
            </w:r>
            <w:r w:rsidR="00C4518B" w:rsidRPr="002C17B8">
              <w:rPr>
                <w:webHidden/>
              </w:rPr>
              <w:tab/>
            </w:r>
            <w:r w:rsidR="00C4518B" w:rsidRPr="002C17B8">
              <w:rPr>
                <w:webHidden/>
              </w:rPr>
              <w:fldChar w:fldCharType="begin"/>
            </w:r>
            <w:r w:rsidR="00C4518B" w:rsidRPr="002C17B8">
              <w:rPr>
                <w:webHidden/>
              </w:rPr>
              <w:instrText xml:space="preserve"> PAGEREF _Toc900000101 \h </w:instrText>
            </w:r>
            <w:r w:rsidR="00C4518B" w:rsidRPr="002C17B8">
              <w:rPr>
                <w:webHidden/>
              </w:rPr>
            </w:r>
            <w:r w:rsidR="00C4518B" w:rsidRPr="002C17B8">
              <w:rPr>
                <w:webHidden/>
              </w:rPr>
              <w:fldChar w:fldCharType="separate"/>
            </w:r>
            <w:r w:rsidR="00C4518B" w:rsidRPr="002C17B8">
              <w:rPr>
                <w:webHidden/>
              </w:rPr>
              <w:t>3</w:t>
            </w:r>
            <w:r w:rsidR="00C4518B" w:rsidRPr="002C17B8">
              <w:rPr>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235447184" w:history="1">
            <w:r w:rsidRPr="002C17B8">
              <w:rPr>
                <w:rStyle w:val="Hyperlink"/>
                <w:rFonts w:asciiTheme="majorHAnsi" w:hAnsiTheme="majorHAnsi" w:cstheme="majorHAnsi"/>
                <w:lang w:val="fr-FR"/>
              </w:rPr>
              <w:t>MỤC LỤC</w:t>
            </w:r>
            <w:r w:rsidRPr="002C17B8">
              <w:rPr>
                <w:webHidden/>
              </w:rPr>
              <w:tab/>
            </w:r>
            <w:r w:rsidRPr="002C17B8">
              <w:rPr>
                <w:webHidden/>
              </w:rPr>
              <w:fldChar w:fldCharType="begin"/>
            </w:r>
            <w:r w:rsidRPr="002C17B8">
              <w:rPr>
                <w:webHidden/>
              </w:rPr>
              <w:instrText xml:space="preserve"> PAGEREF _Toc235447184 \h </w:instrText>
            </w:r>
            <w:r w:rsidRPr="002C17B8">
              <w:rPr>
                <w:webHidden/>
              </w:rPr>
            </w:r>
            <w:r w:rsidRPr="002C17B8">
              <w:rPr>
                <w:webHidden/>
              </w:rPr>
              <w:fldChar w:fldCharType="separate"/>
            </w:r>
            <w:r w:rsidRPr="002C17B8">
              <w:rPr>
                <w:webHidden/>
              </w:rPr>
              <w:t>4</w:t>
            </w:r>
            <w:r w:rsidRPr="002C17B8">
              <w:rPr>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02" w:history="1">
            <w:r w:rsidRPr="002C17B8">
              <w:rPr>
                <w:rStyle w:val="Hyperlink"/>
                <w:rFonts w:asciiTheme="majorHAnsi" w:hAnsiTheme="majorHAnsi" w:cstheme="majorHAnsi"/>
                <w:lang w:val="fr-FR"/>
              </w:rPr>
              <w:t>DANH MỤC TỪ VIẾT TẮT</w:t>
            </w:r>
            <w:r w:rsidRPr="002C17B8">
              <w:rPr>
                <w:webHidden/>
              </w:rPr>
              <w:tab/>
            </w:r>
            <w:r w:rsidRPr="002C17B8">
              <w:rPr>
                <w:webHidden/>
              </w:rPr>
              <w:fldChar w:fldCharType="begin"/>
            </w:r>
            <w:r w:rsidRPr="002C17B8">
              <w:rPr>
                <w:webHidden/>
              </w:rPr>
              <w:instrText xml:space="preserve"> PAGEREF _Toc900000102 \h </w:instrText>
            </w:r>
            <w:r w:rsidRPr="002C17B8">
              <w:rPr>
                <w:webHidden/>
              </w:rPr>
            </w:r>
            <w:r w:rsidRPr="002C17B8">
              <w:rPr>
                <w:webHidden/>
              </w:rPr>
              <w:fldChar w:fldCharType="separate"/>
            </w:r>
            <w:r w:rsidRPr="002C17B8">
              <w:rPr>
                <w:webHidden/>
              </w:rPr>
              <w:t>6</w:t>
            </w:r>
            <w:r w:rsidRPr="002C17B8">
              <w:rPr>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03" w:history="1">
            <w:r w:rsidRPr="002C17B8">
              <w:rPr>
                <w:rStyle w:val="Hyperlink"/>
                <w:rFonts w:asciiTheme="majorHAnsi" w:hAnsiTheme="majorHAnsi" w:cstheme="majorHAnsi"/>
                <w:lang w:val="fr-FR"/>
              </w:rPr>
              <w:t>DANH MỤC BẢNG</w:t>
            </w:r>
            <w:r w:rsidRPr="002C17B8">
              <w:rPr>
                <w:webHidden/>
              </w:rPr>
              <w:tab/>
            </w:r>
            <w:r w:rsidRPr="002C17B8">
              <w:rPr>
                <w:webHidden/>
              </w:rPr>
              <w:fldChar w:fldCharType="begin"/>
            </w:r>
            <w:r w:rsidRPr="002C17B8">
              <w:rPr>
                <w:webHidden/>
              </w:rPr>
              <w:instrText xml:space="preserve"> PAGEREF _Toc900000103 \h </w:instrText>
            </w:r>
            <w:r w:rsidRPr="002C17B8">
              <w:rPr>
                <w:webHidden/>
              </w:rPr>
            </w:r>
            <w:r w:rsidRPr="002C17B8">
              <w:rPr>
                <w:webHidden/>
              </w:rPr>
              <w:fldChar w:fldCharType="separate"/>
            </w:r>
            <w:r w:rsidRPr="002C17B8">
              <w:rPr>
                <w:webHidden/>
              </w:rPr>
              <w:t>6</w:t>
            </w:r>
            <w:r w:rsidRPr="002C17B8">
              <w:rPr>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04" w:history="1">
            <w:r w:rsidRPr="002C17B8">
              <w:rPr>
                <w:rStyle w:val="Hyperlink"/>
                <w:rFonts w:asciiTheme="majorHAnsi" w:hAnsiTheme="majorHAnsi" w:cstheme="majorHAnsi"/>
                <w:lang w:val="fr-FR"/>
              </w:rPr>
              <w:t>PHÂN CÔNG THỰC HIỆN</w:t>
            </w:r>
            <w:r w:rsidRPr="002C17B8">
              <w:rPr>
                <w:webHidden/>
              </w:rPr>
              <w:tab/>
            </w:r>
            <w:r w:rsidRPr="002C17B8">
              <w:rPr>
                <w:webHidden/>
              </w:rPr>
              <w:fldChar w:fldCharType="begin"/>
            </w:r>
            <w:r w:rsidRPr="002C17B8">
              <w:rPr>
                <w:webHidden/>
              </w:rPr>
              <w:instrText xml:space="preserve"> PAGEREF _Toc900000104 \h </w:instrText>
            </w:r>
            <w:r w:rsidRPr="002C17B8">
              <w:rPr>
                <w:webHidden/>
              </w:rPr>
            </w:r>
            <w:r w:rsidRPr="002C17B8">
              <w:rPr>
                <w:webHidden/>
              </w:rPr>
              <w:fldChar w:fldCharType="separate"/>
            </w:r>
            <w:r w:rsidRPr="002C17B8">
              <w:rPr>
                <w:webHidden/>
              </w:rPr>
              <w:t>8</w:t>
            </w:r>
            <w:r w:rsidRPr="002C17B8">
              <w:rPr>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05" w:history="1">
            <w:r w:rsidRPr="002C17B8">
              <w:rPr>
                <w:rStyle w:val="Hyperlink"/>
                <w:rFonts w:asciiTheme="majorHAnsi" w:hAnsiTheme="majorHAnsi" w:cstheme="majorHAnsi"/>
                <w:lang w:val="fr-FR"/>
              </w:rPr>
              <w:t>CHƯƠNG I. MỞ ĐẦU</w:t>
            </w:r>
            <w:r w:rsidRPr="002C17B8">
              <w:rPr>
                <w:webHidden/>
              </w:rPr>
              <w:tab/>
            </w:r>
            <w:r w:rsidRPr="002C17B8">
              <w:rPr>
                <w:webHidden/>
              </w:rPr>
              <w:fldChar w:fldCharType="begin"/>
            </w:r>
            <w:r w:rsidRPr="002C17B8">
              <w:rPr>
                <w:webHidden/>
              </w:rPr>
              <w:instrText xml:space="preserve"> PAGEREF _Toc900000105 \h </w:instrText>
            </w:r>
            <w:r w:rsidRPr="002C17B8">
              <w:rPr>
                <w:webHidden/>
              </w:rPr>
            </w:r>
            <w:r w:rsidRPr="002C17B8">
              <w:rPr>
                <w:webHidden/>
              </w:rPr>
              <w:fldChar w:fldCharType="separate"/>
            </w:r>
            <w:r w:rsidRPr="002C17B8">
              <w:rPr>
                <w:webHidden/>
              </w:rPr>
              <w:t>9</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06" w:history="1">
            <w:r w:rsidRPr="002C17B8">
              <w:rPr>
                <w:rStyle w:val="Hyperlink"/>
                <w:rFonts w:asciiTheme="majorHAnsi" w:hAnsiTheme="majorHAnsi" w:cstheme="majorHAnsi"/>
                <w:b/>
                <w:lang w:val="fr-FR"/>
              </w:rPr>
              <w:t>I.1. Bối cảnh</w:t>
            </w:r>
            <w:r w:rsidRPr="002C17B8">
              <w:rPr>
                <w:b/>
                <w:webHidden/>
              </w:rPr>
              <w:tab/>
            </w:r>
            <w:r w:rsidRPr="002C17B8">
              <w:rPr>
                <w:b/>
                <w:webHidden/>
              </w:rPr>
              <w:fldChar w:fldCharType="begin"/>
            </w:r>
            <w:r w:rsidRPr="002C17B8">
              <w:rPr>
                <w:b/>
                <w:webHidden/>
              </w:rPr>
              <w:instrText xml:space="preserve"> PAGEREF _Toc900000106 \h </w:instrText>
            </w:r>
            <w:r w:rsidRPr="002C17B8">
              <w:rPr>
                <w:b/>
                <w:webHidden/>
              </w:rPr>
            </w:r>
            <w:r w:rsidRPr="002C17B8">
              <w:rPr>
                <w:b/>
                <w:webHidden/>
              </w:rPr>
              <w:fldChar w:fldCharType="separate"/>
            </w:r>
            <w:r w:rsidRPr="002C17B8">
              <w:rPr>
                <w:b/>
                <w:webHidden/>
              </w:rPr>
              <w:t>9</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07" w:history="1">
            <w:r w:rsidRPr="002C17B8">
              <w:rPr>
                <w:rStyle w:val="Hyperlink"/>
                <w:rFonts w:asciiTheme="majorHAnsi" w:hAnsiTheme="majorHAnsi" w:cstheme="majorHAnsi"/>
                <w:b/>
                <w:lang w:val="fr-FR"/>
              </w:rPr>
              <w:t>I.2. Khái niệm</w:t>
            </w:r>
            <w:r w:rsidRPr="002C17B8">
              <w:rPr>
                <w:b/>
                <w:webHidden/>
              </w:rPr>
              <w:tab/>
            </w:r>
            <w:r w:rsidRPr="002C17B8">
              <w:rPr>
                <w:b/>
                <w:webHidden/>
              </w:rPr>
              <w:fldChar w:fldCharType="begin"/>
            </w:r>
            <w:r w:rsidRPr="002C17B8">
              <w:rPr>
                <w:b/>
                <w:webHidden/>
              </w:rPr>
              <w:instrText xml:space="preserve"> PAGEREF _Toc900000107 \h </w:instrText>
            </w:r>
            <w:r w:rsidRPr="002C17B8">
              <w:rPr>
                <w:b/>
                <w:webHidden/>
              </w:rPr>
            </w:r>
            <w:r w:rsidRPr="002C17B8">
              <w:rPr>
                <w:b/>
                <w:webHidden/>
              </w:rPr>
              <w:fldChar w:fldCharType="separate"/>
            </w:r>
            <w:r w:rsidRPr="002C17B8">
              <w:rPr>
                <w:b/>
                <w:webHidden/>
              </w:rPr>
              <w:t>9</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08" w:history="1">
            <w:r w:rsidRPr="002C17B8">
              <w:rPr>
                <w:rStyle w:val="Hyperlink"/>
                <w:rFonts w:asciiTheme="majorHAnsi" w:hAnsiTheme="majorHAnsi" w:cstheme="majorHAnsi"/>
                <w:b/>
                <w:lang w:val="fr-FR"/>
              </w:rPr>
              <w:t>I.3. Câu hỏi nghiên cứu</w:t>
            </w:r>
            <w:r w:rsidRPr="002C17B8">
              <w:rPr>
                <w:b/>
                <w:webHidden/>
              </w:rPr>
              <w:tab/>
            </w:r>
            <w:r w:rsidRPr="002C17B8">
              <w:rPr>
                <w:b/>
                <w:webHidden/>
              </w:rPr>
              <w:fldChar w:fldCharType="begin"/>
            </w:r>
            <w:r w:rsidRPr="002C17B8">
              <w:rPr>
                <w:b/>
                <w:webHidden/>
              </w:rPr>
              <w:instrText xml:space="preserve"> PAGEREF _Toc900000108 \h </w:instrText>
            </w:r>
            <w:r w:rsidRPr="002C17B8">
              <w:rPr>
                <w:b/>
                <w:webHidden/>
              </w:rPr>
            </w:r>
            <w:r w:rsidRPr="002C17B8">
              <w:rPr>
                <w:b/>
                <w:webHidden/>
              </w:rPr>
              <w:fldChar w:fldCharType="separate"/>
            </w:r>
            <w:r w:rsidRPr="002C17B8">
              <w:rPr>
                <w:b/>
                <w:webHidden/>
              </w:rPr>
              <w:t>10</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09" w:history="1">
            <w:r w:rsidRPr="002C17B8">
              <w:rPr>
                <w:rStyle w:val="Hyperlink"/>
                <w:rFonts w:asciiTheme="majorHAnsi" w:hAnsiTheme="majorHAnsi" w:cstheme="majorHAnsi"/>
                <w:b/>
                <w:lang w:val="fr-FR"/>
              </w:rPr>
              <w:t>I.4. Phạm vi và phương pháp</w:t>
            </w:r>
            <w:r w:rsidRPr="002C17B8">
              <w:rPr>
                <w:b/>
                <w:webHidden/>
              </w:rPr>
              <w:tab/>
            </w:r>
            <w:r w:rsidRPr="002C17B8">
              <w:rPr>
                <w:b/>
                <w:webHidden/>
              </w:rPr>
              <w:fldChar w:fldCharType="begin"/>
            </w:r>
            <w:r w:rsidRPr="002C17B8">
              <w:rPr>
                <w:b/>
                <w:webHidden/>
              </w:rPr>
              <w:instrText xml:space="preserve"> PAGEREF _Toc900000109 \h </w:instrText>
            </w:r>
            <w:r w:rsidRPr="002C17B8">
              <w:rPr>
                <w:b/>
                <w:webHidden/>
              </w:rPr>
            </w:r>
            <w:r w:rsidRPr="002C17B8">
              <w:rPr>
                <w:b/>
                <w:webHidden/>
              </w:rPr>
              <w:fldChar w:fldCharType="separate"/>
            </w:r>
            <w:r w:rsidRPr="002C17B8">
              <w:rPr>
                <w:b/>
                <w:webHidden/>
              </w:rPr>
              <w:t>10</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0" w:history="1">
            <w:r w:rsidRPr="002C17B8">
              <w:rPr>
                <w:rStyle w:val="Hyperlink"/>
                <w:rFonts w:asciiTheme="majorHAnsi" w:hAnsiTheme="majorHAnsi" w:cstheme="majorHAnsi"/>
                <w:b/>
                <w:lang w:val="fr-FR"/>
              </w:rPr>
              <w:t>I.5. Cấu trúc báo cáo</w:t>
            </w:r>
            <w:r w:rsidRPr="002C17B8">
              <w:rPr>
                <w:b/>
                <w:webHidden/>
              </w:rPr>
              <w:tab/>
            </w:r>
            <w:r w:rsidRPr="002C17B8">
              <w:rPr>
                <w:b/>
                <w:webHidden/>
              </w:rPr>
              <w:fldChar w:fldCharType="begin"/>
            </w:r>
            <w:r w:rsidRPr="002C17B8">
              <w:rPr>
                <w:b/>
                <w:webHidden/>
              </w:rPr>
              <w:instrText xml:space="preserve"> PAGEREF _Toc900000110 \h </w:instrText>
            </w:r>
            <w:r w:rsidRPr="002C17B8">
              <w:rPr>
                <w:b/>
                <w:webHidden/>
              </w:rPr>
            </w:r>
            <w:r w:rsidRPr="002C17B8">
              <w:rPr>
                <w:b/>
                <w:webHidden/>
              </w:rPr>
              <w:fldChar w:fldCharType="separate"/>
            </w:r>
            <w:r w:rsidRPr="002C17B8">
              <w:rPr>
                <w:b/>
                <w:webHidden/>
              </w:rPr>
              <w:t>11</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11" w:history="1">
            <w:r w:rsidRPr="002C17B8">
              <w:rPr>
                <w:rStyle w:val="Hyperlink"/>
                <w:rFonts w:asciiTheme="majorHAnsi" w:hAnsiTheme="majorHAnsi" w:cstheme="majorHAnsi"/>
                <w:lang w:val="fr-FR"/>
              </w:rPr>
              <w:t>CHƯƠNG II. TỔNG QUAN VÀ PHÂN LOẠI TÀI LIỆU</w:t>
            </w:r>
            <w:r w:rsidRPr="002C17B8">
              <w:rPr>
                <w:webHidden/>
              </w:rPr>
              <w:tab/>
            </w:r>
            <w:r w:rsidRPr="002C17B8">
              <w:rPr>
                <w:webHidden/>
              </w:rPr>
              <w:fldChar w:fldCharType="begin"/>
            </w:r>
            <w:r w:rsidRPr="002C17B8">
              <w:rPr>
                <w:webHidden/>
              </w:rPr>
              <w:instrText xml:space="preserve"> PAGEREF _Toc900000111 \h </w:instrText>
            </w:r>
            <w:r w:rsidRPr="002C17B8">
              <w:rPr>
                <w:webHidden/>
              </w:rPr>
            </w:r>
            <w:r w:rsidRPr="002C17B8">
              <w:rPr>
                <w:webHidden/>
              </w:rPr>
              <w:fldChar w:fldCharType="separate"/>
            </w:r>
            <w:r w:rsidRPr="002C17B8">
              <w:rPr>
                <w:webHidden/>
              </w:rPr>
              <w:t>12</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2" w:history="1">
            <w:r w:rsidRPr="002C17B8">
              <w:rPr>
                <w:rStyle w:val="Hyperlink"/>
                <w:rFonts w:asciiTheme="majorHAnsi" w:hAnsiTheme="majorHAnsi" w:cstheme="majorHAnsi"/>
                <w:b/>
                <w:lang w:val="fr-FR"/>
              </w:rPr>
              <w:t>II.1. Vì sao là tám tài liệu này</w:t>
            </w:r>
            <w:r w:rsidRPr="002C17B8">
              <w:rPr>
                <w:b/>
                <w:webHidden/>
              </w:rPr>
              <w:tab/>
            </w:r>
            <w:r w:rsidRPr="002C17B8">
              <w:rPr>
                <w:b/>
                <w:webHidden/>
              </w:rPr>
              <w:fldChar w:fldCharType="begin"/>
            </w:r>
            <w:r w:rsidRPr="002C17B8">
              <w:rPr>
                <w:b/>
                <w:webHidden/>
              </w:rPr>
              <w:instrText xml:space="preserve"> PAGEREF _Toc900000112 \h </w:instrText>
            </w:r>
            <w:r w:rsidRPr="002C17B8">
              <w:rPr>
                <w:b/>
                <w:webHidden/>
              </w:rPr>
            </w:r>
            <w:r w:rsidRPr="002C17B8">
              <w:rPr>
                <w:b/>
                <w:webHidden/>
              </w:rPr>
              <w:fldChar w:fldCharType="separate"/>
            </w:r>
            <w:r w:rsidRPr="002C17B8">
              <w:rPr>
                <w:b/>
                <w:webHidden/>
              </w:rPr>
              <w:t>12</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3" w:history="1">
            <w:r w:rsidRPr="002C17B8">
              <w:rPr>
                <w:rStyle w:val="Hyperlink"/>
                <w:rFonts w:asciiTheme="majorHAnsi" w:hAnsiTheme="majorHAnsi" w:cstheme="majorHAnsi"/>
                <w:b/>
                <w:lang w:val="fr-FR"/>
              </w:rPr>
              <w:t>II.2. Ba hướng tiếp cận</w:t>
            </w:r>
            <w:r w:rsidRPr="002C17B8">
              <w:rPr>
                <w:b/>
                <w:webHidden/>
              </w:rPr>
              <w:tab/>
            </w:r>
            <w:r w:rsidRPr="002C17B8">
              <w:rPr>
                <w:b/>
                <w:webHidden/>
              </w:rPr>
              <w:fldChar w:fldCharType="begin"/>
            </w:r>
            <w:r w:rsidRPr="002C17B8">
              <w:rPr>
                <w:b/>
                <w:webHidden/>
              </w:rPr>
              <w:instrText xml:space="preserve"> PAGEREF _Toc900000113 \h </w:instrText>
            </w:r>
            <w:r w:rsidRPr="002C17B8">
              <w:rPr>
                <w:b/>
                <w:webHidden/>
              </w:rPr>
            </w:r>
            <w:r w:rsidRPr="002C17B8">
              <w:rPr>
                <w:b/>
                <w:webHidden/>
              </w:rPr>
              <w:fldChar w:fldCharType="separate"/>
            </w:r>
            <w:r w:rsidRPr="002C17B8">
              <w:rPr>
                <w:b/>
                <w:webHidden/>
              </w:rPr>
              <w:t>12</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4" w:history="1">
            <w:r w:rsidRPr="002C17B8">
              <w:rPr>
                <w:rStyle w:val="Hyperlink"/>
                <w:rFonts w:asciiTheme="majorHAnsi" w:hAnsiTheme="majorHAnsi" w:cstheme="majorHAnsi"/>
                <w:b/>
                <w:lang w:val="fr-FR"/>
              </w:rPr>
              <w:t>II.3. Quan hệ giữa ba hướng</w:t>
            </w:r>
            <w:r w:rsidRPr="002C17B8">
              <w:rPr>
                <w:b/>
                <w:webHidden/>
              </w:rPr>
              <w:tab/>
            </w:r>
            <w:r w:rsidRPr="002C17B8">
              <w:rPr>
                <w:b/>
                <w:webHidden/>
              </w:rPr>
              <w:fldChar w:fldCharType="begin"/>
            </w:r>
            <w:r w:rsidRPr="002C17B8">
              <w:rPr>
                <w:b/>
                <w:webHidden/>
              </w:rPr>
              <w:instrText xml:space="preserve"> PAGEREF _Toc900000114 \h </w:instrText>
            </w:r>
            <w:r w:rsidRPr="002C17B8">
              <w:rPr>
                <w:b/>
                <w:webHidden/>
              </w:rPr>
            </w:r>
            <w:r w:rsidRPr="002C17B8">
              <w:rPr>
                <w:b/>
                <w:webHidden/>
              </w:rPr>
              <w:fldChar w:fldCharType="separate"/>
            </w:r>
            <w:r w:rsidRPr="002C17B8">
              <w:rPr>
                <w:b/>
                <w:webHidden/>
              </w:rPr>
              <w:t>13</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15" w:history="1">
            <w:r w:rsidRPr="002C17B8">
              <w:rPr>
                <w:rStyle w:val="Hyperlink"/>
                <w:rFonts w:asciiTheme="majorHAnsi" w:hAnsiTheme="majorHAnsi" w:cstheme="majorHAnsi"/>
                <w:lang w:val="fr-FR"/>
              </w:rPr>
              <w:t>CHƯƠNG III. PHÁP LUẬT VIỆT NAM</w:t>
            </w:r>
            <w:r w:rsidRPr="002C17B8">
              <w:rPr>
                <w:webHidden/>
              </w:rPr>
              <w:tab/>
            </w:r>
            <w:r w:rsidRPr="002C17B8">
              <w:rPr>
                <w:webHidden/>
              </w:rPr>
              <w:fldChar w:fldCharType="begin"/>
            </w:r>
            <w:r w:rsidRPr="002C17B8">
              <w:rPr>
                <w:webHidden/>
              </w:rPr>
              <w:instrText xml:space="preserve"> PAGEREF _Toc900000115 \h </w:instrText>
            </w:r>
            <w:r w:rsidRPr="002C17B8">
              <w:rPr>
                <w:webHidden/>
              </w:rPr>
            </w:r>
            <w:r w:rsidRPr="002C17B8">
              <w:rPr>
                <w:webHidden/>
              </w:rPr>
              <w:fldChar w:fldCharType="separate"/>
            </w:r>
            <w:r w:rsidRPr="002C17B8">
              <w:rPr>
                <w:webHidden/>
              </w:rPr>
              <w:t>14</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6" w:history="1">
            <w:r w:rsidRPr="002C17B8">
              <w:rPr>
                <w:rStyle w:val="Hyperlink"/>
                <w:rFonts w:asciiTheme="majorHAnsi" w:hAnsiTheme="majorHAnsi" w:cstheme="majorHAnsi"/>
                <w:b/>
                <w:lang w:val="fr-FR"/>
              </w:rPr>
              <w:t>III.1. Tiến trình</w:t>
            </w:r>
            <w:r w:rsidRPr="002C17B8">
              <w:rPr>
                <w:b/>
                <w:webHidden/>
              </w:rPr>
              <w:tab/>
            </w:r>
            <w:r w:rsidRPr="002C17B8">
              <w:rPr>
                <w:b/>
                <w:webHidden/>
              </w:rPr>
              <w:fldChar w:fldCharType="begin"/>
            </w:r>
            <w:r w:rsidRPr="002C17B8">
              <w:rPr>
                <w:b/>
                <w:webHidden/>
              </w:rPr>
              <w:instrText xml:space="preserve"> PAGEREF _Toc900000116 \h </w:instrText>
            </w:r>
            <w:r w:rsidRPr="002C17B8">
              <w:rPr>
                <w:b/>
                <w:webHidden/>
              </w:rPr>
            </w:r>
            <w:r w:rsidRPr="002C17B8">
              <w:rPr>
                <w:b/>
                <w:webHidden/>
              </w:rPr>
              <w:fldChar w:fldCharType="separate"/>
            </w:r>
            <w:r w:rsidRPr="002C17B8">
              <w:rPr>
                <w:b/>
                <w:webHidden/>
              </w:rPr>
              <w:t>14</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7" w:history="1">
            <w:r w:rsidRPr="002C17B8">
              <w:rPr>
                <w:rStyle w:val="Hyperlink"/>
                <w:rFonts w:asciiTheme="majorHAnsi" w:hAnsiTheme="majorHAnsi" w:cstheme="majorHAnsi"/>
                <w:b/>
                <w:lang w:val="fr-FR"/>
              </w:rPr>
              <w:t>III.2. Phạm vi, nguyên tắc và sự đồng ý</w:t>
            </w:r>
            <w:r w:rsidRPr="002C17B8">
              <w:rPr>
                <w:b/>
                <w:webHidden/>
              </w:rPr>
              <w:tab/>
            </w:r>
            <w:r w:rsidRPr="002C17B8">
              <w:rPr>
                <w:b/>
                <w:webHidden/>
              </w:rPr>
              <w:fldChar w:fldCharType="begin"/>
            </w:r>
            <w:r w:rsidRPr="002C17B8">
              <w:rPr>
                <w:b/>
                <w:webHidden/>
              </w:rPr>
              <w:instrText xml:space="preserve"> PAGEREF _Toc900000117 \h </w:instrText>
            </w:r>
            <w:r w:rsidRPr="002C17B8">
              <w:rPr>
                <w:b/>
                <w:webHidden/>
              </w:rPr>
            </w:r>
            <w:r w:rsidRPr="002C17B8">
              <w:rPr>
                <w:b/>
                <w:webHidden/>
              </w:rPr>
              <w:fldChar w:fldCharType="separate"/>
            </w:r>
            <w:r w:rsidRPr="002C17B8">
              <w:rPr>
                <w:b/>
                <w:webHidden/>
              </w:rPr>
              <w:t>14</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8" w:history="1">
            <w:r w:rsidRPr="002C17B8">
              <w:rPr>
                <w:rStyle w:val="Hyperlink"/>
                <w:rFonts w:asciiTheme="majorHAnsi" w:hAnsiTheme="majorHAnsi" w:cstheme="majorHAnsi"/>
                <w:b/>
                <w:lang w:val="fr-FR"/>
              </w:rPr>
              <w:t>III.3. Điều 19 không mở một cửa chung cho dữ liệu web</w:t>
            </w:r>
            <w:r w:rsidRPr="002C17B8">
              <w:rPr>
                <w:b/>
                <w:webHidden/>
              </w:rPr>
              <w:tab/>
            </w:r>
            <w:r w:rsidRPr="002C17B8">
              <w:rPr>
                <w:b/>
                <w:webHidden/>
              </w:rPr>
              <w:fldChar w:fldCharType="begin"/>
            </w:r>
            <w:r w:rsidRPr="002C17B8">
              <w:rPr>
                <w:b/>
                <w:webHidden/>
              </w:rPr>
              <w:instrText xml:space="preserve"> PAGEREF _Toc900000118 \h </w:instrText>
            </w:r>
            <w:r w:rsidRPr="002C17B8">
              <w:rPr>
                <w:b/>
                <w:webHidden/>
              </w:rPr>
            </w:r>
            <w:r w:rsidRPr="002C17B8">
              <w:rPr>
                <w:b/>
                <w:webHidden/>
              </w:rPr>
              <w:fldChar w:fldCharType="separate"/>
            </w:r>
            <w:r w:rsidRPr="002C17B8">
              <w:rPr>
                <w:b/>
                <w:webHidden/>
              </w:rPr>
              <w:t>15</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19" w:history="1">
            <w:r w:rsidRPr="002C17B8">
              <w:rPr>
                <w:rStyle w:val="Hyperlink"/>
                <w:rFonts w:asciiTheme="majorHAnsi" w:hAnsiTheme="majorHAnsi" w:cstheme="majorHAnsi"/>
                <w:b/>
                <w:lang w:val="fr-FR"/>
              </w:rPr>
              <w:t>III.4. Rút đồng ý và yêu cầu xóa</w:t>
            </w:r>
            <w:r w:rsidRPr="002C17B8">
              <w:rPr>
                <w:b/>
                <w:webHidden/>
              </w:rPr>
              <w:tab/>
            </w:r>
            <w:r w:rsidRPr="002C17B8">
              <w:rPr>
                <w:b/>
                <w:webHidden/>
              </w:rPr>
              <w:fldChar w:fldCharType="begin"/>
            </w:r>
            <w:r w:rsidRPr="002C17B8">
              <w:rPr>
                <w:b/>
                <w:webHidden/>
              </w:rPr>
              <w:instrText xml:space="preserve"> PAGEREF _Toc900000119 \h </w:instrText>
            </w:r>
            <w:r w:rsidRPr="002C17B8">
              <w:rPr>
                <w:b/>
                <w:webHidden/>
              </w:rPr>
            </w:r>
            <w:r w:rsidRPr="002C17B8">
              <w:rPr>
                <w:b/>
                <w:webHidden/>
              </w:rPr>
              <w:fldChar w:fldCharType="separate"/>
            </w:r>
            <w:r w:rsidRPr="002C17B8">
              <w:rPr>
                <w:b/>
                <w:webHidden/>
              </w:rPr>
              <w:t>16</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0" w:history="1">
            <w:r w:rsidRPr="002C17B8">
              <w:rPr>
                <w:rStyle w:val="Hyperlink"/>
                <w:rFonts w:asciiTheme="majorHAnsi" w:hAnsiTheme="majorHAnsi" w:cstheme="majorHAnsi"/>
                <w:b/>
                <w:lang w:val="fr-FR"/>
              </w:rPr>
              <w:t>III.5. Đánh giá tác động, xuyên biên giới, mua bán và chế tài</w:t>
            </w:r>
            <w:r w:rsidRPr="002C17B8">
              <w:rPr>
                <w:b/>
                <w:webHidden/>
              </w:rPr>
              <w:tab/>
            </w:r>
            <w:r w:rsidRPr="002C17B8">
              <w:rPr>
                <w:b/>
                <w:webHidden/>
              </w:rPr>
              <w:fldChar w:fldCharType="begin"/>
            </w:r>
            <w:r w:rsidRPr="002C17B8">
              <w:rPr>
                <w:b/>
                <w:webHidden/>
              </w:rPr>
              <w:instrText xml:space="preserve"> PAGEREF _Toc900000120 \h </w:instrText>
            </w:r>
            <w:r w:rsidRPr="002C17B8">
              <w:rPr>
                <w:b/>
                <w:webHidden/>
              </w:rPr>
            </w:r>
            <w:r w:rsidRPr="002C17B8">
              <w:rPr>
                <w:b/>
                <w:webHidden/>
              </w:rPr>
              <w:fldChar w:fldCharType="separate"/>
            </w:r>
            <w:r w:rsidRPr="002C17B8">
              <w:rPr>
                <w:b/>
                <w:webHidden/>
              </w:rPr>
              <w:t>17</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1" w:history="1">
            <w:r w:rsidRPr="002C17B8">
              <w:rPr>
                <w:rStyle w:val="Hyperlink"/>
                <w:rFonts w:asciiTheme="majorHAnsi" w:hAnsiTheme="majorHAnsi" w:cstheme="majorHAnsi"/>
                <w:b/>
                <w:lang w:val="fr-FR"/>
              </w:rPr>
              <w:t>III.6. Quy định riêng cho AI</w:t>
            </w:r>
            <w:r w:rsidRPr="002C17B8">
              <w:rPr>
                <w:b/>
                <w:webHidden/>
              </w:rPr>
              <w:tab/>
            </w:r>
            <w:r w:rsidRPr="002C17B8">
              <w:rPr>
                <w:b/>
                <w:webHidden/>
              </w:rPr>
              <w:fldChar w:fldCharType="begin"/>
            </w:r>
            <w:r w:rsidRPr="002C17B8">
              <w:rPr>
                <w:b/>
                <w:webHidden/>
              </w:rPr>
              <w:instrText xml:space="preserve"> PAGEREF _Toc900000121 \h </w:instrText>
            </w:r>
            <w:r w:rsidRPr="002C17B8">
              <w:rPr>
                <w:b/>
                <w:webHidden/>
              </w:rPr>
            </w:r>
            <w:r w:rsidRPr="002C17B8">
              <w:rPr>
                <w:b/>
                <w:webHidden/>
              </w:rPr>
              <w:fldChar w:fldCharType="separate"/>
            </w:r>
            <w:r w:rsidRPr="002C17B8">
              <w:rPr>
                <w:b/>
                <w:webHidden/>
              </w:rPr>
              <w:t>18</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2" w:history="1">
            <w:r w:rsidRPr="002C17B8">
              <w:rPr>
                <w:rStyle w:val="Hyperlink"/>
                <w:rFonts w:asciiTheme="majorHAnsi" w:hAnsiTheme="majorHAnsi" w:cstheme="majorHAnsi"/>
                <w:b/>
                <w:lang w:val="fr-FR"/>
              </w:rPr>
              <w:t>III.7. Luật Trí tuệ nhân tạo</w:t>
            </w:r>
            <w:r w:rsidRPr="002C17B8">
              <w:rPr>
                <w:b/>
                <w:webHidden/>
              </w:rPr>
              <w:tab/>
            </w:r>
            <w:r w:rsidRPr="002C17B8">
              <w:rPr>
                <w:b/>
                <w:webHidden/>
              </w:rPr>
              <w:fldChar w:fldCharType="begin"/>
            </w:r>
            <w:r w:rsidRPr="002C17B8">
              <w:rPr>
                <w:b/>
                <w:webHidden/>
              </w:rPr>
              <w:instrText xml:space="preserve"> PAGEREF _Toc900000122 \h </w:instrText>
            </w:r>
            <w:r w:rsidRPr="002C17B8">
              <w:rPr>
                <w:b/>
                <w:webHidden/>
              </w:rPr>
            </w:r>
            <w:r w:rsidRPr="002C17B8">
              <w:rPr>
                <w:b/>
                <w:webHidden/>
              </w:rPr>
              <w:fldChar w:fldCharType="separate"/>
            </w:r>
            <w:r w:rsidRPr="002C17B8">
              <w:rPr>
                <w:b/>
                <w:webHidden/>
              </w:rPr>
              <w:t>19</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3" w:history="1">
            <w:r w:rsidRPr="002C17B8">
              <w:rPr>
                <w:rStyle w:val="Hyperlink"/>
                <w:rFonts w:asciiTheme="majorHAnsi" w:hAnsiTheme="majorHAnsi" w:cstheme="majorHAnsi"/>
                <w:b/>
                <w:lang w:val="fr-FR"/>
              </w:rPr>
              <w:t>III.8. Nhận xét</w:t>
            </w:r>
            <w:r w:rsidRPr="002C17B8">
              <w:rPr>
                <w:b/>
                <w:webHidden/>
              </w:rPr>
              <w:tab/>
            </w:r>
            <w:r w:rsidRPr="002C17B8">
              <w:rPr>
                <w:b/>
                <w:webHidden/>
              </w:rPr>
              <w:fldChar w:fldCharType="begin"/>
            </w:r>
            <w:r w:rsidRPr="002C17B8">
              <w:rPr>
                <w:b/>
                <w:webHidden/>
              </w:rPr>
              <w:instrText xml:space="preserve"> PAGEREF _Toc900000123 \h </w:instrText>
            </w:r>
            <w:r w:rsidRPr="002C17B8">
              <w:rPr>
                <w:b/>
                <w:webHidden/>
              </w:rPr>
            </w:r>
            <w:r w:rsidRPr="002C17B8">
              <w:rPr>
                <w:b/>
                <w:webHidden/>
              </w:rPr>
              <w:fldChar w:fldCharType="separate"/>
            </w:r>
            <w:r w:rsidRPr="002C17B8">
              <w:rPr>
                <w:b/>
                <w:webHidden/>
              </w:rPr>
              <w:t>19</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24" w:history="1">
            <w:r w:rsidRPr="002C17B8">
              <w:rPr>
                <w:rStyle w:val="Hyperlink"/>
                <w:rFonts w:asciiTheme="majorHAnsi" w:hAnsiTheme="majorHAnsi" w:cstheme="majorHAnsi"/>
                <w:lang w:val="fr-FR"/>
              </w:rPr>
              <w:t>CHƯƠNG IV. PHÁP LUẬT THẾ GIỚI</w:t>
            </w:r>
            <w:r w:rsidRPr="002C17B8">
              <w:rPr>
                <w:webHidden/>
              </w:rPr>
              <w:tab/>
            </w:r>
            <w:r w:rsidRPr="002C17B8">
              <w:rPr>
                <w:webHidden/>
              </w:rPr>
              <w:fldChar w:fldCharType="begin"/>
            </w:r>
            <w:r w:rsidRPr="002C17B8">
              <w:rPr>
                <w:webHidden/>
              </w:rPr>
              <w:instrText xml:space="preserve"> PAGEREF _Toc900000124 \h </w:instrText>
            </w:r>
            <w:r w:rsidRPr="002C17B8">
              <w:rPr>
                <w:webHidden/>
              </w:rPr>
            </w:r>
            <w:r w:rsidRPr="002C17B8">
              <w:rPr>
                <w:webHidden/>
              </w:rPr>
              <w:fldChar w:fldCharType="separate"/>
            </w:r>
            <w:r w:rsidRPr="002C17B8">
              <w:rPr>
                <w:webHidden/>
              </w:rPr>
              <w:t>20</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5" w:history="1">
            <w:r w:rsidRPr="002C17B8">
              <w:rPr>
                <w:rStyle w:val="Hyperlink"/>
                <w:rFonts w:asciiTheme="majorHAnsi" w:hAnsiTheme="majorHAnsi" w:cstheme="majorHAnsi"/>
                <w:b/>
                <w:lang w:val="fr-FR"/>
              </w:rPr>
              <w:t>IV.1. GDPR</w:t>
            </w:r>
            <w:r w:rsidRPr="002C17B8">
              <w:rPr>
                <w:b/>
                <w:webHidden/>
              </w:rPr>
              <w:tab/>
            </w:r>
            <w:r w:rsidRPr="002C17B8">
              <w:rPr>
                <w:b/>
                <w:webHidden/>
              </w:rPr>
              <w:fldChar w:fldCharType="begin"/>
            </w:r>
            <w:r w:rsidRPr="002C17B8">
              <w:rPr>
                <w:b/>
                <w:webHidden/>
              </w:rPr>
              <w:instrText xml:space="preserve"> PAGEREF _Toc900000125 \h </w:instrText>
            </w:r>
            <w:r w:rsidRPr="002C17B8">
              <w:rPr>
                <w:b/>
                <w:webHidden/>
              </w:rPr>
            </w:r>
            <w:r w:rsidRPr="002C17B8">
              <w:rPr>
                <w:b/>
                <w:webHidden/>
              </w:rPr>
              <w:fldChar w:fldCharType="separate"/>
            </w:r>
            <w:r w:rsidRPr="002C17B8">
              <w:rPr>
                <w:b/>
                <w:webHidden/>
              </w:rPr>
              <w:t>20</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6" w:history="1">
            <w:r w:rsidRPr="002C17B8">
              <w:rPr>
                <w:rStyle w:val="Hyperlink"/>
                <w:rFonts w:asciiTheme="majorHAnsi" w:hAnsiTheme="majorHAnsi" w:cstheme="majorHAnsi"/>
                <w:b/>
                <w:lang w:val="fr-FR"/>
              </w:rPr>
              <w:t>IV.2. Ý kiến 28/2024 của EDPB</w:t>
            </w:r>
            <w:r w:rsidRPr="002C17B8">
              <w:rPr>
                <w:b/>
                <w:webHidden/>
              </w:rPr>
              <w:tab/>
            </w:r>
            <w:r w:rsidRPr="002C17B8">
              <w:rPr>
                <w:b/>
                <w:webHidden/>
              </w:rPr>
              <w:fldChar w:fldCharType="begin"/>
            </w:r>
            <w:r w:rsidRPr="002C17B8">
              <w:rPr>
                <w:b/>
                <w:webHidden/>
              </w:rPr>
              <w:instrText xml:space="preserve"> PAGEREF _Toc900000126 \h </w:instrText>
            </w:r>
            <w:r w:rsidRPr="002C17B8">
              <w:rPr>
                <w:b/>
                <w:webHidden/>
              </w:rPr>
            </w:r>
            <w:r w:rsidRPr="002C17B8">
              <w:rPr>
                <w:b/>
                <w:webHidden/>
              </w:rPr>
              <w:fldChar w:fldCharType="separate"/>
            </w:r>
            <w:r w:rsidRPr="002C17B8">
              <w:rPr>
                <w:b/>
                <w:webHidden/>
              </w:rPr>
              <w:t>21</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7" w:history="1">
            <w:r w:rsidRPr="002C17B8">
              <w:rPr>
                <w:rStyle w:val="Hyperlink"/>
                <w:rFonts w:asciiTheme="majorHAnsi" w:hAnsiTheme="majorHAnsi" w:cstheme="majorHAnsi"/>
                <w:b/>
                <w:lang w:val="fr-FR"/>
              </w:rPr>
              <w:t>IV.3. Đạo luật AI của EU</w:t>
            </w:r>
            <w:r w:rsidRPr="002C17B8">
              <w:rPr>
                <w:b/>
                <w:webHidden/>
              </w:rPr>
              <w:tab/>
            </w:r>
            <w:r w:rsidRPr="002C17B8">
              <w:rPr>
                <w:b/>
                <w:webHidden/>
              </w:rPr>
              <w:fldChar w:fldCharType="begin"/>
            </w:r>
            <w:r w:rsidRPr="002C17B8">
              <w:rPr>
                <w:b/>
                <w:webHidden/>
              </w:rPr>
              <w:instrText xml:space="preserve"> PAGEREF _Toc900000127 \h </w:instrText>
            </w:r>
            <w:r w:rsidRPr="002C17B8">
              <w:rPr>
                <w:b/>
                <w:webHidden/>
              </w:rPr>
            </w:r>
            <w:r w:rsidRPr="002C17B8">
              <w:rPr>
                <w:b/>
                <w:webHidden/>
              </w:rPr>
              <w:fldChar w:fldCharType="separate"/>
            </w:r>
            <w:r w:rsidRPr="002C17B8">
              <w:rPr>
                <w:b/>
                <w:webHidden/>
              </w:rPr>
              <w:t>21</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8" w:history="1">
            <w:r w:rsidRPr="002C17B8">
              <w:rPr>
                <w:rStyle w:val="Hyperlink"/>
                <w:rFonts w:asciiTheme="majorHAnsi" w:hAnsiTheme="majorHAnsi" w:cstheme="majorHAnsi"/>
                <w:b/>
                <w:lang w:val="fr-FR"/>
              </w:rPr>
              <w:t>IV.4. Hoa Kỳ, Trung Quốc và Hàn Quốc</w:t>
            </w:r>
            <w:r w:rsidRPr="002C17B8">
              <w:rPr>
                <w:b/>
                <w:webHidden/>
              </w:rPr>
              <w:tab/>
            </w:r>
            <w:r w:rsidRPr="002C17B8">
              <w:rPr>
                <w:b/>
                <w:webHidden/>
              </w:rPr>
              <w:fldChar w:fldCharType="begin"/>
            </w:r>
            <w:r w:rsidRPr="002C17B8">
              <w:rPr>
                <w:b/>
                <w:webHidden/>
              </w:rPr>
              <w:instrText xml:space="preserve"> PAGEREF _Toc900000128 \h </w:instrText>
            </w:r>
            <w:r w:rsidRPr="002C17B8">
              <w:rPr>
                <w:b/>
                <w:webHidden/>
              </w:rPr>
            </w:r>
            <w:r w:rsidRPr="002C17B8">
              <w:rPr>
                <w:b/>
                <w:webHidden/>
              </w:rPr>
              <w:fldChar w:fldCharType="separate"/>
            </w:r>
            <w:r w:rsidRPr="002C17B8">
              <w:rPr>
                <w:b/>
                <w:webHidden/>
              </w:rPr>
              <w:t>22</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29" w:history="1">
            <w:r w:rsidRPr="002C17B8">
              <w:rPr>
                <w:rStyle w:val="Hyperlink"/>
                <w:rFonts w:asciiTheme="majorHAnsi" w:hAnsiTheme="majorHAnsi" w:cstheme="majorHAnsi"/>
                <w:b/>
                <w:lang w:val="fr-FR"/>
              </w:rPr>
              <w:t>IV.5. Thực tiễn thực thi</w:t>
            </w:r>
            <w:r w:rsidRPr="002C17B8">
              <w:rPr>
                <w:b/>
                <w:webHidden/>
              </w:rPr>
              <w:tab/>
            </w:r>
            <w:r w:rsidRPr="002C17B8">
              <w:rPr>
                <w:b/>
                <w:webHidden/>
              </w:rPr>
              <w:fldChar w:fldCharType="begin"/>
            </w:r>
            <w:r w:rsidRPr="002C17B8">
              <w:rPr>
                <w:b/>
                <w:webHidden/>
              </w:rPr>
              <w:instrText xml:space="preserve"> PAGEREF _Toc900000129 \h </w:instrText>
            </w:r>
            <w:r w:rsidRPr="002C17B8">
              <w:rPr>
                <w:b/>
                <w:webHidden/>
              </w:rPr>
            </w:r>
            <w:r w:rsidRPr="002C17B8">
              <w:rPr>
                <w:b/>
                <w:webHidden/>
              </w:rPr>
              <w:fldChar w:fldCharType="separate"/>
            </w:r>
            <w:r w:rsidRPr="002C17B8">
              <w:rPr>
                <w:b/>
                <w:webHidden/>
              </w:rPr>
              <w:t>23</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30" w:history="1">
            <w:r w:rsidRPr="002C17B8">
              <w:rPr>
                <w:rStyle w:val="Hyperlink"/>
                <w:rFonts w:asciiTheme="majorHAnsi" w:hAnsiTheme="majorHAnsi" w:cstheme="majorHAnsi"/>
                <w:lang w:val="fr-FR"/>
              </w:rPr>
              <w:t>CHƯƠNG V. CÁC NGHIÊN CỨU TIÊU BIỂU VÀ CÂU HỎI VỀ MÔ HÌNH</w:t>
            </w:r>
            <w:r w:rsidRPr="002C17B8">
              <w:rPr>
                <w:webHidden/>
              </w:rPr>
              <w:tab/>
            </w:r>
            <w:r w:rsidRPr="002C17B8">
              <w:rPr>
                <w:webHidden/>
              </w:rPr>
              <w:fldChar w:fldCharType="begin"/>
            </w:r>
            <w:r w:rsidRPr="002C17B8">
              <w:rPr>
                <w:webHidden/>
              </w:rPr>
              <w:instrText xml:space="preserve"> PAGEREF _Toc900000130 \h </w:instrText>
            </w:r>
            <w:r w:rsidRPr="002C17B8">
              <w:rPr>
                <w:webHidden/>
              </w:rPr>
            </w:r>
            <w:r w:rsidRPr="002C17B8">
              <w:rPr>
                <w:webHidden/>
              </w:rPr>
              <w:fldChar w:fldCharType="separate"/>
            </w:r>
            <w:r w:rsidRPr="002C17B8">
              <w:rPr>
                <w:webHidden/>
              </w:rPr>
              <w:t>24</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1" w:history="1">
            <w:r w:rsidRPr="002C17B8">
              <w:rPr>
                <w:rStyle w:val="Hyperlink"/>
                <w:rFonts w:asciiTheme="majorHAnsi" w:hAnsiTheme="majorHAnsi" w:cstheme="majorHAnsi"/>
                <w:b/>
                <w:lang w:val="fr-FR"/>
              </w:rPr>
              <w:t>V.1. Veale, Binns và Edwards (2018)</w:t>
            </w:r>
            <w:r w:rsidRPr="002C17B8">
              <w:rPr>
                <w:b/>
                <w:webHidden/>
              </w:rPr>
              <w:tab/>
            </w:r>
            <w:r w:rsidRPr="002C17B8">
              <w:rPr>
                <w:b/>
                <w:webHidden/>
              </w:rPr>
              <w:fldChar w:fldCharType="begin"/>
            </w:r>
            <w:r w:rsidRPr="002C17B8">
              <w:rPr>
                <w:b/>
                <w:webHidden/>
              </w:rPr>
              <w:instrText xml:space="preserve"> PAGEREF _Toc900000131 \h </w:instrText>
            </w:r>
            <w:r w:rsidRPr="002C17B8">
              <w:rPr>
                <w:b/>
                <w:webHidden/>
              </w:rPr>
            </w:r>
            <w:r w:rsidRPr="002C17B8">
              <w:rPr>
                <w:b/>
                <w:webHidden/>
              </w:rPr>
              <w:fldChar w:fldCharType="separate"/>
            </w:r>
            <w:r w:rsidRPr="002C17B8">
              <w:rPr>
                <w:b/>
                <w:webHidden/>
              </w:rPr>
              <w:t>24</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2" w:history="1">
            <w:r w:rsidRPr="002C17B8">
              <w:rPr>
                <w:rStyle w:val="Hyperlink"/>
                <w:rFonts w:asciiTheme="majorHAnsi" w:hAnsiTheme="majorHAnsi" w:cstheme="majorHAnsi"/>
                <w:b/>
                <w:lang w:val="fr-FR"/>
              </w:rPr>
              <w:t>V.2. Carlini và cộng sự (2021)</w:t>
            </w:r>
            <w:r w:rsidRPr="002C17B8">
              <w:rPr>
                <w:b/>
                <w:webHidden/>
              </w:rPr>
              <w:tab/>
            </w:r>
            <w:r w:rsidRPr="002C17B8">
              <w:rPr>
                <w:b/>
                <w:webHidden/>
              </w:rPr>
              <w:fldChar w:fldCharType="begin"/>
            </w:r>
            <w:r w:rsidRPr="002C17B8">
              <w:rPr>
                <w:b/>
                <w:webHidden/>
              </w:rPr>
              <w:instrText xml:space="preserve"> PAGEREF _Toc900000132 \h </w:instrText>
            </w:r>
            <w:r w:rsidRPr="002C17B8">
              <w:rPr>
                <w:b/>
                <w:webHidden/>
              </w:rPr>
            </w:r>
            <w:r w:rsidRPr="002C17B8">
              <w:rPr>
                <w:b/>
                <w:webHidden/>
              </w:rPr>
              <w:fldChar w:fldCharType="separate"/>
            </w:r>
            <w:r w:rsidRPr="002C17B8">
              <w:rPr>
                <w:b/>
                <w:webHidden/>
              </w:rPr>
              <w:t>24</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3" w:history="1">
            <w:r w:rsidRPr="002C17B8">
              <w:rPr>
                <w:rStyle w:val="Hyperlink"/>
                <w:rFonts w:asciiTheme="majorHAnsi" w:hAnsiTheme="majorHAnsi" w:cstheme="majorHAnsi"/>
                <w:b/>
                <w:lang w:val="fr-FR"/>
              </w:rPr>
              <w:t>V.3. Abadi và cộng sự (2016)</w:t>
            </w:r>
            <w:r w:rsidRPr="002C17B8">
              <w:rPr>
                <w:b/>
                <w:webHidden/>
              </w:rPr>
              <w:tab/>
            </w:r>
            <w:r w:rsidRPr="002C17B8">
              <w:rPr>
                <w:b/>
                <w:webHidden/>
              </w:rPr>
              <w:fldChar w:fldCharType="begin"/>
            </w:r>
            <w:r w:rsidRPr="002C17B8">
              <w:rPr>
                <w:b/>
                <w:webHidden/>
              </w:rPr>
              <w:instrText xml:space="preserve"> PAGEREF _Toc900000133 \h </w:instrText>
            </w:r>
            <w:r w:rsidRPr="002C17B8">
              <w:rPr>
                <w:b/>
                <w:webHidden/>
              </w:rPr>
            </w:r>
            <w:r w:rsidRPr="002C17B8">
              <w:rPr>
                <w:b/>
                <w:webHidden/>
              </w:rPr>
              <w:fldChar w:fldCharType="separate"/>
            </w:r>
            <w:r w:rsidRPr="002C17B8">
              <w:rPr>
                <w:b/>
                <w:webHidden/>
              </w:rPr>
              <w:t>25</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4" w:history="1">
            <w:r w:rsidRPr="002C17B8">
              <w:rPr>
                <w:rStyle w:val="Hyperlink"/>
                <w:rFonts w:asciiTheme="majorHAnsi" w:hAnsiTheme="majorHAnsi" w:cstheme="majorHAnsi"/>
                <w:b/>
                <w:lang w:val="fr-FR"/>
              </w:rPr>
              <w:t>V.4. Bourtoule và cộng sự (2021)</w:t>
            </w:r>
            <w:r w:rsidRPr="002C17B8">
              <w:rPr>
                <w:b/>
                <w:webHidden/>
              </w:rPr>
              <w:tab/>
            </w:r>
            <w:r w:rsidRPr="002C17B8">
              <w:rPr>
                <w:b/>
                <w:webHidden/>
              </w:rPr>
              <w:fldChar w:fldCharType="begin"/>
            </w:r>
            <w:r w:rsidRPr="002C17B8">
              <w:rPr>
                <w:b/>
                <w:webHidden/>
              </w:rPr>
              <w:instrText xml:space="preserve"> PAGEREF _Toc900000134 \h </w:instrText>
            </w:r>
            <w:r w:rsidRPr="002C17B8">
              <w:rPr>
                <w:b/>
                <w:webHidden/>
              </w:rPr>
            </w:r>
            <w:r w:rsidRPr="002C17B8">
              <w:rPr>
                <w:b/>
                <w:webHidden/>
              </w:rPr>
              <w:fldChar w:fldCharType="separate"/>
            </w:r>
            <w:r w:rsidRPr="002C17B8">
              <w:rPr>
                <w:b/>
                <w:webHidden/>
              </w:rPr>
              <w:t>25</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5" w:history="1">
            <w:r w:rsidRPr="002C17B8">
              <w:rPr>
                <w:rStyle w:val="Hyperlink"/>
                <w:rFonts w:asciiTheme="majorHAnsi" w:hAnsiTheme="majorHAnsi" w:cstheme="majorHAnsi"/>
                <w:b/>
                <w:lang w:val="fr-FR"/>
              </w:rPr>
              <w:t>V.5. Mô hình đã huấn luyện theo Điều 2</w:t>
            </w:r>
            <w:r w:rsidRPr="002C17B8">
              <w:rPr>
                <w:b/>
                <w:webHidden/>
              </w:rPr>
              <w:tab/>
            </w:r>
            <w:r w:rsidRPr="002C17B8">
              <w:rPr>
                <w:b/>
                <w:webHidden/>
              </w:rPr>
              <w:fldChar w:fldCharType="begin"/>
            </w:r>
            <w:r w:rsidRPr="002C17B8">
              <w:rPr>
                <w:b/>
                <w:webHidden/>
              </w:rPr>
              <w:instrText xml:space="preserve"> PAGEREF _Toc900000135 \h </w:instrText>
            </w:r>
            <w:r w:rsidRPr="002C17B8">
              <w:rPr>
                <w:b/>
                <w:webHidden/>
              </w:rPr>
            </w:r>
            <w:r w:rsidRPr="002C17B8">
              <w:rPr>
                <w:b/>
                <w:webHidden/>
              </w:rPr>
              <w:fldChar w:fldCharType="separate"/>
            </w:r>
            <w:r w:rsidRPr="002C17B8">
              <w:rPr>
                <w:b/>
                <w:webHidden/>
              </w:rPr>
              <w:t>26</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36" w:history="1">
            <w:r w:rsidRPr="002C17B8">
              <w:rPr>
                <w:rStyle w:val="Hyperlink"/>
                <w:rFonts w:asciiTheme="majorHAnsi" w:hAnsiTheme="majorHAnsi" w:cstheme="majorHAnsi"/>
                <w:lang w:val="fr-FR"/>
              </w:rPr>
              <w:t>CHƯƠNG VI. SO SÁNH VÀ ĐÁNH GIÁ</w:t>
            </w:r>
            <w:r w:rsidRPr="002C17B8">
              <w:rPr>
                <w:webHidden/>
              </w:rPr>
              <w:tab/>
            </w:r>
            <w:r w:rsidRPr="002C17B8">
              <w:rPr>
                <w:webHidden/>
              </w:rPr>
              <w:fldChar w:fldCharType="begin"/>
            </w:r>
            <w:r w:rsidRPr="002C17B8">
              <w:rPr>
                <w:webHidden/>
              </w:rPr>
              <w:instrText xml:space="preserve"> PAGEREF _Toc900000136 \h </w:instrText>
            </w:r>
            <w:r w:rsidRPr="002C17B8">
              <w:rPr>
                <w:webHidden/>
              </w:rPr>
            </w:r>
            <w:r w:rsidRPr="002C17B8">
              <w:rPr>
                <w:webHidden/>
              </w:rPr>
              <w:fldChar w:fldCharType="separate"/>
            </w:r>
            <w:r w:rsidRPr="002C17B8">
              <w:rPr>
                <w:webHidden/>
              </w:rPr>
              <w:t>27</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7" w:history="1">
            <w:r w:rsidRPr="002C17B8">
              <w:rPr>
                <w:rStyle w:val="Hyperlink"/>
                <w:rFonts w:asciiTheme="majorHAnsi" w:hAnsiTheme="majorHAnsi" w:cstheme="majorHAnsi"/>
                <w:b/>
                <w:lang w:val="fr-FR"/>
              </w:rPr>
              <w:t>VI.1. So sánh các khung pháp luật</w:t>
            </w:r>
            <w:r w:rsidRPr="002C17B8">
              <w:rPr>
                <w:b/>
                <w:webHidden/>
              </w:rPr>
              <w:tab/>
            </w:r>
            <w:r w:rsidRPr="002C17B8">
              <w:rPr>
                <w:b/>
                <w:webHidden/>
              </w:rPr>
              <w:fldChar w:fldCharType="begin"/>
            </w:r>
            <w:r w:rsidRPr="002C17B8">
              <w:rPr>
                <w:b/>
                <w:webHidden/>
              </w:rPr>
              <w:instrText xml:space="preserve"> PAGEREF _Toc900000137 \h </w:instrText>
            </w:r>
            <w:r w:rsidRPr="002C17B8">
              <w:rPr>
                <w:b/>
                <w:webHidden/>
              </w:rPr>
            </w:r>
            <w:r w:rsidRPr="002C17B8">
              <w:rPr>
                <w:b/>
                <w:webHidden/>
              </w:rPr>
              <w:fldChar w:fldCharType="separate"/>
            </w:r>
            <w:r w:rsidRPr="002C17B8">
              <w:rPr>
                <w:b/>
                <w:webHidden/>
              </w:rPr>
              <w:t>27</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8" w:history="1">
            <w:r w:rsidRPr="002C17B8">
              <w:rPr>
                <w:rStyle w:val="Hyperlink"/>
                <w:rFonts w:asciiTheme="majorHAnsi" w:hAnsiTheme="majorHAnsi" w:cstheme="majorHAnsi"/>
                <w:b/>
                <w:lang w:val="fr-FR"/>
              </w:rPr>
              <w:t>VI.2. So sánh bốn văn bản và hướng dẫn</w:t>
            </w:r>
            <w:r w:rsidRPr="002C17B8">
              <w:rPr>
                <w:b/>
                <w:webHidden/>
              </w:rPr>
              <w:tab/>
            </w:r>
            <w:r w:rsidRPr="002C17B8">
              <w:rPr>
                <w:b/>
                <w:webHidden/>
              </w:rPr>
              <w:fldChar w:fldCharType="begin"/>
            </w:r>
            <w:r w:rsidRPr="002C17B8">
              <w:rPr>
                <w:b/>
                <w:webHidden/>
              </w:rPr>
              <w:instrText xml:space="preserve"> PAGEREF _Toc900000138 \h </w:instrText>
            </w:r>
            <w:r w:rsidRPr="002C17B8">
              <w:rPr>
                <w:b/>
                <w:webHidden/>
              </w:rPr>
            </w:r>
            <w:r w:rsidRPr="002C17B8">
              <w:rPr>
                <w:b/>
                <w:webHidden/>
              </w:rPr>
              <w:fldChar w:fldCharType="separate"/>
            </w:r>
            <w:r w:rsidRPr="002C17B8">
              <w:rPr>
                <w:b/>
                <w:webHidden/>
              </w:rPr>
              <w:t>28</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39" w:history="1">
            <w:r w:rsidRPr="002C17B8">
              <w:rPr>
                <w:rStyle w:val="Hyperlink"/>
                <w:rFonts w:asciiTheme="majorHAnsi" w:hAnsiTheme="majorHAnsi" w:cstheme="majorHAnsi"/>
                <w:b/>
                <w:lang w:val="fr-FR"/>
              </w:rPr>
              <w:t>VI.3. So sánh bốn công trình</w:t>
            </w:r>
            <w:r w:rsidRPr="002C17B8">
              <w:rPr>
                <w:b/>
                <w:webHidden/>
              </w:rPr>
              <w:tab/>
            </w:r>
            <w:r w:rsidRPr="002C17B8">
              <w:rPr>
                <w:b/>
                <w:webHidden/>
              </w:rPr>
              <w:fldChar w:fldCharType="begin"/>
            </w:r>
            <w:r w:rsidRPr="002C17B8">
              <w:rPr>
                <w:b/>
                <w:webHidden/>
              </w:rPr>
              <w:instrText xml:space="preserve"> PAGEREF _Toc900000139 \h </w:instrText>
            </w:r>
            <w:r w:rsidRPr="002C17B8">
              <w:rPr>
                <w:b/>
                <w:webHidden/>
              </w:rPr>
            </w:r>
            <w:r w:rsidRPr="002C17B8">
              <w:rPr>
                <w:b/>
                <w:webHidden/>
              </w:rPr>
              <w:fldChar w:fldCharType="separate"/>
            </w:r>
            <w:r w:rsidRPr="002C17B8">
              <w:rPr>
                <w:b/>
                <w:webHidden/>
              </w:rPr>
              <w:t>29</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0" w:history="1">
            <w:r w:rsidRPr="002C17B8">
              <w:rPr>
                <w:rStyle w:val="Hyperlink"/>
                <w:rFonts w:asciiTheme="majorHAnsi" w:hAnsiTheme="majorHAnsi" w:cstheme="majorHAnsi"/>
                <w:b/>
                <w:lang w:val="fr-FR"/>
              </w:rPr>
              <w:t>VI.4. Đánh giá chung</w:t>
            </w:r>
            <w:r w:rsidRPr="002C17B8">
              <w:rPr>
                <w:b/>
                <w:webHidden/>
              </w:rPr>
              <w:tab/>
            </w:r>
            <w:r w:rsidRPr="002C17B8">
              <w:rPr>
                <w:b/>
                <w:webHidden/>
              </w:rPr>
              <w:fldChar w:fldCharType="begin"/>
            </w:r>
            <w:r w:rsidRPr="002C17B8">
              <w:rPr>
                <w:b/>
                <w:webHidden/>
              </w:rPr>
              <w:instrText xml:space="preserve"> PAGEREF _Toc900000140 \h </w:instrText>
            </w:r>
            <w:r w:rsidRPr="002C17B8">
              <w:rPr>
                <w:b/>
                <w:webHidden/>
              </w:rPr>
            </w:r>
            <w:r w:rsidRPr="002C17B8">
              <w:rPr>
                <w:b/>
                <w:webHidden/>
              </w:rPr>
              <w:fldChar w:fldCharType="separate"/>
            </w:r>
            <w:r w:rsidRPr="002C17B8">
              <w:rPr>
                <w:b/>
                <w:webHidden/>
              </w:rPr>
              <w:t>29</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41" w:history="1">
            <w:r w:rsidRPr="002C17B8">
              <w:rPr>
                <w:rStyle w:val="Hyperlink"/>
                <w:rFonts w:asciiTheme="majorHAnsi" w:hAnsiTheme="majorHAnsi" w:cstheme="majorHAnsi"/>
                <w:lang w:val="fr-FR"/>
              </w:rPr>
              <w:t>CHƯƠNG VII. Ý NGHĨA ĐỐI VỚI PHÁT TRIỂN MÔ HÌNH</w:t>
            </w:r>
            <w:r w:rsidRPr="002C17B8">
              <w:rPr>
                <w:webHidden/>
              </w:rPr>
              <w:tab/>
            </w:r>
            <w:r w:rsidRPr="002C17B8">
              <w:rPr>
                <w:webHidden/>
              </w:rPr>
              <w:fldChar w:fldCharType="begin"/>
            </w:r>
            <w:r w:rsidRPr="002C17B8">
              <w:rPr>
                <w:webHidden/>
              </w:rPr>
              <w:instrText xml:space="preserve"> PAGEREF _Toc900000141 \h </w:instrText>
            </w:r>
            <w:r w:rsidRPr="002C17B8">
              <w:rPr>
                <w:webHidden/>
              </w:rPr>
            </w:r>
            <w:r w:rsidRPr="002C17B8">
              <w:rPr>
                <w:webHidden/>
              </w:rPr>
              <w:fldChar w:fldCharType="separate"/>
            </w:r>
            <w:r w:rsidRPr="002C17B8">
              <w:rPr>
                <w:webHidden/>
              </w:rPr>
              <w:t>31</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2" w:history="1">
            <w:r w:rsidRPr="002C17B8">
              <w:rPr>
                <w:rStyle w:val="Hyperlink"/>
                <w:rFonts w:asciiTheme="majorHAnsi" w:hAnsiTheme="majorHAnsi" w:cstheme="majorHAnsi"/>
                <w:b/>
                <w:lang w:val="fr-FR"/>
              </w:rPr>
              <w:t>VII.1. Bảy giai đoạn</w:t>
            </w:r>
            <w:r w:rsidRPr="002C17B8">
              <w:rPr>
                <w:b/>
                <w:webHidden/>
              </w:rPr>
              <w:tab/>
            </w:r>
            <w:r w:rsidRPr="002C17B8">
              <w:rPr>
                <w:b/>
                <w:webHidden/>
              </w:rPr>
              <w:fldChar w:fldCharType="begin"/>
            </w:r>
            <w:r w:rsidRPr="002C17B8">
              <w:rPr>
                <w:b/>
                <w:webHidden/>
              </w:rPr>
              <w:instrText xml:space="preserve"> PAGEREF _Toc900000142 \h </w:instrText>
            </w:r>
            <w:r w:rsidRPr="002C17B8">
              <w:rPr>
                <w:b/>
                <w:webHidden/>
              </w:rPr>
            </w:r>
            <w:r w:rsidRPr="002C17B8">
              <w:rPr>
                <w:b/>
                <w:webHidden/>
              </w:rPr>
              <w:fldChar w:fldCharType="separate"/>
            </w:r>
            <w:r w:rsidRPr="002C17B8">
              <w:rPr>
                <w:b/>
                <w:webHidden/>
              </w:rPr>
              <w:t>31</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3" w:history="1">
            <w:r w:rsidRPr="002C17B8">
              <w:rPr>
                <w:rStyle w:val="Hyperlink"/>
                <w:rFonts w:asciiTheme="majorHAnsi" w:hAnsiTheme="majorHAnsi" w:cstheme="majorHAnsi"/>
                <w:b/>
                <w:lang w:val="fr-FR"/>
              </w:rPr>
              <w:t>VII.2. Năm hệ quả cần giữ khi thiết kế</w:t>
            </w:r>
            <w:r w:rsidRPr="002C17B8">
              <w:rPr>
                <w:b/>
                <w:webHidden/>
              </w:rPr>
              <w:tab/>
            </w:r>
            <w:r w:rsidRPr="002C17B8">
              <w:rPr>
                <w:b/>
                <w:webHidden/>
              </w:rPr>
              <w:fldChar w:fldCharType="begin"/>
            </w:r>
            <w:r w:rsidRPr="002C17B8">
              <w:rPr>
                <w:b/>
                <w:webHidden/>
              </w:rPr>
              <w:instrText xml:space="preserve"> PAGEREF _Toc900000143 \h </w:instrText>
            </w:r>
            <w:r w:rsidRPr="002C17B8">
              <w:rPr>
                <w:b/>
                <w:webHidden/>
              </w:rPr>
            </w:r>
            <w:r w:rsidRPr="002C17B8">
              <w:rPr>
                <w:b/>
                <w:webHidden/>
              </w:rPr>
              <w:fldChar w:fldCharType="separate"/>
            </w:r>
            <w:r w:rsidRPr="002C17B8">
              <w:rPr>
                <w:b/>
                <w:webHidden/>
              </w:rPr>
              <w:t>31</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4" w:history="1">
            <w:r w:rsidRPr="002C17B8">
              <w:rPr>
                <w:rStyle w:val="Hyperlink"/>
                <w:rFonts w:asciiTheme="majorHAnsi" w:hAnsiTheme="majorHAnsi" w:cstheme="majorHAnsi"/>
                <w:b/>
                <w:lang w:val="fr-FR"/>
              </w:rPr>
              <w:t>VII.3. Ví dụ chấm điểm tín dụng</w:t>
            </w:r>
            <w:r w:rsidRPr="002C17B8">
              <w:rPr>
                <w:b/>
                <w:webHidden/>
              </w:rPr>
              <w:tab/>
            </w:r>
            <w:r w:rsidRPr="002C17B8">
              <w:rPr>
                <w:b/>
                <w:webHidden/>
              </w:rPr>
              <w:fldChar w:fldCharType="begin"/>
            </w:r>
            <w:r w:rsidRPr="002C17B8">
              <w:rPr>
                <w:b/>
                <w:webHidden/>
              </w:rPr>
              <w:instrText xml:space="preserve"> PAGEREF _Toc900000144 \h </w:instrText>
            </w:r>
            <w:r w:rsidRPr="002C17B8">
              <w:rPr>
                <w:b/>
                <w:webHidden/>
              </w:rPr>
            </w:r>
            <w:r w:rsidRPr="002C17B8">
              <w:rPr>
                <w:b/>
                <w:webHidden/>
              </w:rPr>
              <w:fldChar w:fldCharType="separate"/>
            </w:r>
            <w:r w:rsidRPr="002C17B8">
              <w:rPr>
                <w:b/>
                <w:webHidden/>
              </w:rPr>
              <w:t>32</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5" w:history="1">
            <w:r w:rsidRPr="002C17B8">
              <w:rPr>
                <w:rStyle w:val="Hyperlink"/>
                <w:rFonts w:asciiTheme="majorHAnsi" w:hAnsiTheme="majorHAnsi" w:cstheme="majorHAnsi"/>
                <w:b/>
                <w:lang w:val="fr-FR"/>
              </w:rPr>
              <w:t>VII.4. Ví dụ mô hình tiếng Việt thu từ web</w:t>
            </w:r>
            <w:r w:rsidRPr="002C17B8">
              <w:rPr>
                <w:b/>
                <w:webHidden/>
              </w:rPr>
              <w:tab/>
            </w:r>
            <w:r w:rsidRPr="002C17B8">
              <w:rPr>
                <w:b/>
                <w:webHidden/>
              </w:rPr>
              <w:fldChar w:fldCharType="begin"/>
            </w:r>
            <w:r w:rsidRPr="002C17B8">
              <w:rPr>
                <w:b/>
                <w:webHidden/>
              </w:rPr>
              <w:instrText xml:space="preserve"> PAGEREF _Toc900000145 \h </w:instrText>
            </w:r>
            <w:r w:rsidRPr="002C17B8">
              <w:rPr>
                <w:b/>
                <w:webHidden/>
              </w:rPr>
            </w:r>
            <w:r w:rsidRPr="002C17B8">
              <w:rPr>
                <w:b/>
                <w:webHidden/>
              </w:rPr>
              <w:fldChar w:fldCharType="separate"/>
            </w:r>
            <w:r w:rsidRPr="002C17B8">
              <w:rPr>
                <w:b/>
                <w:webHidden/>
              </w:rPr>
              <w:t>33</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6" w:history="1">
            <w:r w:rsidRPr="002C17B8">
              <w:rPr>
                <w:rStyle w:val="Hyperlink"/>
                <w:rFonts w:asciiTheme="majorHAnsi" w:hAnsiTheme="majorHAnsi" w:cstheme="majorHAnsi"/>
                <w:b/>
                <w:lang w:val="fr-FR"/>
              </w:rPr>
              <w:t>VII.5. Danh mục việc trước khi mở một đợt học</w:t>
            </w:r>
            <w:r w:rsidRPr="002C17B8">
              <w:rPr>
                <w:b/>
                <w:webHidden/>
              </w:rPr>
              <w:tab/>
            </w:r>
            <w:r w:rsidRPr="002C17B8">
              <w:rPr>
                <w:b/>
                <w:webHidden/>
              </w:rPr>
              <w:fldChar w:fldCharType="begin"/>
            </w:r>
            <w:r w:rsidRPr="002C17B8">
              <w:rPr>
                <w:b/>
                <w:webHidden/>
              </w:rPr>
              <w:instrText xml:space="preserve"> PAGEREF _Toc900000146 \h </w:instrText>
            </w:r>
            <w:r w:rsidRPr="002C17B8">
              <w:rPr>
                <w:b/>
                <w:webHidden/>
              </w:rPr>
            </w:r>
            <w:r w:rsidRPr="002C17B8">
              <w:rPr>
                <w:b/>
                <w:webHidden/>
              </w:rPr>
              <w:fldChar w:fldCharType="separate"/>
            </w:r>
            <w:r w:rsidRPr="002C17B8">
              <w:rPr>
                <w:b/>
                <w:webHidden/>
              </w:rPr>
              <w:t>33</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47" w:history="1">
            <w:r w:rsidRPr="002C17B8">
              <w:rPr>
                <w:rStyle w:val="Hyperlink"/>
                <w:rFonts w:asciiTheme="majorHAnsi" w:hAnsiTheme="majorHAnsi" w:cstheme="majorHAnsi"/>
                <w:lang w:val="fr-FR"/>
              </w:rPr>
              <w:t>CHƯƠNG VIII. XU HƯỚNG, KHOẢNG TRỐNG VÀ KẾT LUẬN</w:t>
            </w:r>
            <w:r w:rsidRPr="002C17B8">
              <w:rPr>
                <w:webHidden/>
              </w:rPr>
              <w:tab/>
            </w:r>
            <w:r w:rsidRPr="002C17B8">
              <w:rPr>
                <w:webHidden/>
              </w:rPr>
              <w:fldChar w:fldCharType="begin"/>
            </w:r>
            <w:r w:rsidRPr="002C17B8">
              <w:rPr>
                <w:webHidden/>
              </w:rPr>
              <w:instrText xml:space="preserve"> PAGEREF _Toc900000147 \h </w:instrText>
            </w:r>
            <w:r w:rsidRPr="002C17B8">
              <w:rPr>
                <w:webHidden/>
              </w:rPr>
            </w:r>
            <w:r w:rsidRPr="002C17B8">
              <w:rPr>
                <w:webHidden/>
              </w:rPr>
              <w:fldChar w:fldCharType="separate"/>
            </w:r>
            <w:r w:rsidRPr="002C17B8">
              <w:rPr>
                <w:webHidden/>
              </w:rPr>
              <w:t>35</w:t>
            </w:r>
            <w:r w:rsidRPr="002C17B8">
              <w:rPr>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8" w:history="1">
            <w:r w:rsidRPr="002C17B8">
              <w:rPr>
                <w:rStyle w:val="Hyperlink"/>
                <w:rFonts w:asciiTheme="majorHAnsi" w:hAnsiTheme="majorHAnsi" w:cstheme="majorHAnsi"/>
                <w:b/>
                <w:lang w:val="fr-FR"/>
              </w:rPr>
              <w:t>VIII.1. Xu hướng</w:t>
            </w:r>
            <w:r w:rsidRPr="002C17B8">
              <w:rPr>
                <w:b/>
                <w:webHidden/>
              </w:rPr>
              <w:tab/>
            </w:r>
            <w:r w:rsidRPr="002C17B8">
              <w:rPr>
                <w:b/>
                <w:webHidden/>
              </w:rPr>
              <w:fldChar w:fldCharType="begin"/>
            </w:r>
            <w:r w:rsidRPr="002C17B8">
              <w:rPr>
                <w:b/>
                <w:webHidden/>
              </w:rPr>
              <w:instrText xml:space="preserve"> PAGEREF _Toc900000148 \h </w:instrText>
            </w:r>
            <w:r w:rsidRPr="002C17B8">
              <w:rPr>
                <w:b/>
                <w:webHidden/>
              </w:rPr>
            </w:r>
            <w:r w:rsidRPr="002C17B8">
              <w:rPr>
                <w:b/>
                <w:webHidden/>
              </w:rPr>
              <w:fldChar w:fldCharType="separate"/>
            </w:r>
            <w:r w:rsidRPr="002C17B8">
              <w:rPr>
                <w:b/>
                <w:webHidden/>
              </w:rPr>
              <w:t>35</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49" w:history="1">
            <w:r w:rsidRPr="002C17B8">
              <w:rPr>
                <w:rStyle w:val="Hyperlink"/>
                <w:rFonts w:asciiTheme="majorHAnsi" w:hAnsiTheme="majorHAnsi" w:cstheme="majorHAnsi"/>
                <w:b/>
                <w:lang w:val="fr-FR"/>
              </w:rPr>
              <w:t>VIII.2. Khoảng trống</w:t>
            </w:r>
            <w:r w:rsidRPr="002C17B8">
              <w:rPr>
                <w:b/>
                <w:webHidden/>
              </w:rPr>
              <w:tab/>
            </w:r>
            <w:r w:rsidRPr="002C17B8">
              <w:rPr>
                <w:b/>
                <w:webHidden/>
              </w:rPr>
              <w:fldChar w:fldCharType="begin"/>
            </w:r>
            <w:r w:rsidRPr="002C17B8">
              <w:rPr>
                <w:b/>
                <w:webHidden/>
              </w:rPr>
              <w:instrText xml:space="preserve"> PAGEREF _Toc900000149 \h </w:instrText>
            </w:r>
            <w:r w:rsidRPr="002C17B8">
              <w:rPr>
                <w:b/>
                <w:webHidden/>
              </w:rPr>
            </w:r>
            <w:r w:rsidRPr="002C17B8">
              <w:rPr>
                <w:b/>
                <w:webHidden/>
              </w:rPr>
              <w:fldChar w:fldCharType="separate"/>
            </w:r>
            <w:r w:rsidRPr="002C17B8">
              <w:rPr>
                <w:b/>
                <w:webHidden/>
              </w:rPr>
              <w:t>35</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50" w:history="1">
            <w:r w:rsidRPr="002C17B8">
              <w:rPr>
                <w:rStyle w:val="Hyperlink"/>
                <w:rFonts w:asciiTheme="majorHAnsi" w:hAnsiTheme="majorHAnsi" w:cstheme="majorHAnsi"/>
                <w:b/>
                <w:lang w:val="fr-FR"/>
              </w:rPr>
              <w:t>VIII.3. Triển vọng áp dụng</w:t>
            </w:r>
            <w:r w:rsidRPr="002C17B8">
              <w:rPr>
                <w:b/>
                <w:webHidden/>
              </w:rPr>
              <w:tab/>
            </w:r>
            <w:r w:rsidRPr="002C17B8">
              <w:rPr>
                <w:b/>
                <w:webHidden/>
              </w:rPr>
              <w:fldChar w:fldCharType="begin"/>
            </w:r>
            <w:r w:rsidRPr="002C17B8">
              <w:rPr>
                <w:b/>
                <w:webHidden/>
              </w:rPr>
              <w:instrText xml:space="preserve"> PAGEREF _Toc900000150 \h </w:instrText>
            </w:r>
            <w:r w:rsidRPr="002C17B8">
              <w:rPr>
                <w:b/>
                <w:webHidden/>
              </w:rPr>
            </w:r>
            <w:r w:rsidRPr="002C17B8">
              <w:rPr>
                <w:b/>
                <w:webHidden/>
              </w:rPr>
              <w:fldChar w:fldCharType="separate"/>
            </w:r>
            <w:r w:rsidRPr="002C17B8">
              <w:rPr>
                <w:b/>
                <w:webHidden/>
              </w:rPr>
              <w:t>36</w:t>
            </w:r>
            <w:r w:rsidRPr="002C17B8">
              <w:rPr>
                <w:b/>
                <w:webHidden/>
              </w:rPr>
              <w:fldChar w:fldCharType="end"/>
            </w:r>
          </w:hyperlink>
        </w:p>
        <w:p w14:paraId="135A24FA" w14:textId="73FB13EC" w:rsidR="00C4518B" w:rsidRPr="002C17B8" w:rsidRDefault="00C4518B">
          <w:pPr>
            <w:pStyle w:val="TOC2"/>
            <w:rPr>
              <w:rFonts w:asciiTheme="minorHAnsi" w:eastAsiaTheme="minorEastAsia" w:hAnsiTheme="minorHAnsi" w:cstheme="minorBidi"/>
              <w:b/>
              <w:kern w:val="2"/>
              <w:sz w:val="24"/>
              <w:szCs w:val="24"/>
              <w14:ligatures w14:val="standardContextual"/>
            </w:rPr>
          </w:pPr>
          <w:hyperlink w:anchor="_Toc900000151" w:history="1">
            <w:r w:rsidRPr="002C17B8">
              <w:rPr>
                <w:rStyle w:val="Hyperlink"/>
                <w:rFonts w:asciiTheme="majorHAnsi" w:hAnsiTheme="majorHAnsi" w:cstheme="majorHAnsi"/>
                <w:b/>
                <w:lang w:val="fr-FR"/>
              </w:rPr>
              <w:t>VIII.4. Kết luận</w:t>
            </w:r>
            <w:r w:rsidRPr="002C17B8">
              <w:rPr>
                <w:b/>
                <w:webHidden/>
              </w:rPr>
              <w:tab/>
            </w:r>
            <w:r w:rsidRPr="002C17B8">
              <w:rPr>
                <w:b/>
                <w:webHidden/>
              </w:rPr>
              <w:fldChar w:fldCharType="begin"/>
            </w:r>
            <w:r w:rsidRPr="002C17B8">
              <w:rPr>
                <w:b/>
                <w:webHidden/>
              </w:rPr>
              <w:instrText xml:space="preserve"> PAGEREF _Toc900000151 \h </w:instrText>
            </w:r>
            <w:r w:rsidRPr="002C17B8">
              <w:rPr>
                <w:b/>
                <w:webHidden/>
              </w:rPr>
            </w:r>
            <w:r w:rsidRPr="002C17B8">
              <w:rPr>
                <w:b/>
                <w:webHidden/>
              </w:rPr>
              <w:fldChar w:fldCharType="separate"/>
            </w:r>
            <w:r w:rsidRPr="002C17B8">
              <w:rPr>
                <w:b/>
                <w:webHidden/>
              </w:rPr>
              <w:t>36</w:t>
            </w:r>
            <w:r w:rsidRPr="002C17B8">
              <w:rPr>
                <w:b/>
                <w:webHidden/>
              </w:rPr>
              <w:fldChar w:fldCharType="end"/>
            </w:r>
          </w:hyperlink>
        </w:p>
        <w:p w14:paraId="6D55E5B4" w14:textId="4016A463" w:rsidR="00C4518B" w:rsidRPr="002C17B8" w:rsidRDefault="00C4518B">
          <w:pPr>
            <w:pStyle w:val="TOC1"/>
            <w:rPr>
              <w:rFonts w:asciiTheme="minorHAnsi" w:eastAsiaTheme="minorEastAsia" w:hAnsiTheme="minorHAnsi" w:cstheme="minorBidi"/>
              <w:kern w:val="2"/>
              <w:sz w:val="24"/>
              <w:szCs w:val="24"/>
              <w14:ligatures w14:val="standardContextual"/>
            </w:rPr>
          </w:pPr>
          <w:hyperlink w:anchor="_Toc900000152" w:history="1">
            <w:r w:rsidRPr="002C17B8">
              <w:rPr>
                <w:rStyle w:val="Hyperlink"/>
                <w:rFonts w:asciiTheme="majorHAnsi" w:hAnsiTheme="majorHAnsi" w:cstheme="majorHAnsi"/>
                <w:lang w:val="fr-FR"/>
              </w:rPr>
              <w:t>TÀI LIỆU THAM KHẢO</w:t>
            </w:r>
            <w:r w:rsidRPr="002C17B8">
              <w:rPr>
                <w:webHidden/>
              </w:rPr>
              <w:tab/>
            </w:r>
            <w:r w:rsidRPr="002C17B8">
              <w:rPr>
                <w:webHidden/>
              </w:rPr>
              <w:fldChar w:fldCharType="begin"/>
            </w:r>
            <w:r w:rsidRPr="002C17B8">
              <w:rPr>
                <w:webHidden/>
              </w:rPr>
              <w:instrText xml:space="preserve"> PAGEREF _Toc900000152 \h </w:instrText>
            </w:r>
            <w:r w:rsidRPr="002C17B8">
              <w:rPr>
                <w:webHidden/>
              </w:rPr>
            </w:r>
            <w:r w:rsidRPr="002C17B8">
              <w:rPr>
                <w:webHidden/>
              </w:rPr>
              <w:fldChar w:fldCharType="separate"/>
            </w:r>
            <w:r w:rsidRPr="002C17B8">
              <w:rPr>
                <w:webHidden/>
              </w:rPr>
              <w:t>38</w:t>
            </w:r>
            <w:r w:rsidRPr="002C17B8">
              <w:rPr>
                <w:webHidden/>
              </w:rPr>
              <w:fldChar w:fldCharType="end"/>
            </w:r>
          </w:hyperlink>
        </w:p>
        <w:p w14:paraId="5E6CCB4F" w14:textId="23505948" w:rsidR="007057DD" w:rsidRPr="002C17B8" w:rsidRDefault="00385E34" w:rsidP="00F473C2">
          <w:pPr>
            <w:spacing w:after="0" w:line="312" w:lineRule="auto"/>
            <w:rPr>
              <w:rFonts w:asciiTheme="majorHAnsi" w:hAnsiTheme="majorHAnsi" w:cstheme="majorHAnsi"/>
              <w:sz w:val="24"/>
              <w:szCs w:val="24"/>
              <w:lang w:val="en-US"/>
            </w:rPr>
            <w:sectPr w:rsidR="007057DD" w:rsidRPr="002C17B8" w:rsidSect="00D74046">
              <w:headerReference w:type="even" r:id="rId10"/>
              <w:footerReference w:type="even" r:id="rId11"/>
              <w:pgSz w:w="11906" w:h="16838" w:code="9"/>
              <w:pgMar w:top="1440" w:right="1440" w:bottom="1440" w:left="1440" w:header="708" w:footer="708" w:gutter="0"/>
              <w:cols w:space="708"/>
              <w:docGrid w:linePitch="360"/>
            </w:sectPr>
          </w:pPr>
          <w:r w:rsidRPr="00F72901">
            <w:rPr>
              <w:rFonts w:asciiTheme="majorHAnsi" w:hAnsiTheme="majorHAnsi" w:cstheme="majorHAnsi"/>
              <w:b/>
              <w:bCs/>
              <w:sz w:val="26"/>
              <w:szCs w:val="26"/>
            </w:rPr>
            <w:fldChar w:fldCharType="end"/>
          </w:r>
        </w:p>
      </w:sdtContent>
    </w:sdt>
    <w:p>
      <w:pPr>
        <w:spacing w:after="0" w:line="312" w:lineRule="auto"/>
        <w:jc w:val="center"/>
        <w:outlineLvl w:val="0"/>
        <w:rPr>
          <w:rFonts w:ascii="Times New Roman" w:eastAsia="Times New Roman" w:hAnsi="Times New Roman" w:cs="Times New Roman"/>
          <w:b/>
          <w:bCs/>
          <w:sz w:val="32"/>
          <w:szCs w:val="32"/>
        </w:rPr>
      </w:pPr>
      <w:bookmarkStart w:id="102" w:name="_Toc900000102"/>
      <w:r>
        <w:rPr>
          <w:rFonts w:ascii="Times New Roman" w:eastAsia="Times New Roman" w:hAnsi="Times New Roman" w:cs="Times New Roman"/>
          <w:b/>
          <w:bCs/>
          <w:sz w:val="32"/>
          <w:szCs w:val="32"/>
        </w:rPr>
        <w:t xml:space="preserve">DANH MỤC TỪ VIẾT TẮT</w:t>
      </w:r>
      <w:bookmarkEnd w:id="102"/>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0.1. Từ </w:t>
      </w:r>
      <w:r>
        <w:rPr>
          <w:rFonts w:ascii="Times New Roman" w:eastAsia="Times New Roman" w:hAnsi="Times New Roman" w:cs="Times New Roman"/>
          <w:b/>
          <w:bCs/>
          <w:i/>
          <w:iCs/>
          <w:sz w:val="24"/>
          <w:szCs w:val="24"/>
        </w:rPr>
        <w:t xml:space="preserve">viết tắt dùng trong báo cáo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7221"/>
      </w:tblGrid>
      <w:tr>
        <w:trPr>
          <w:cantSplit/>
          <w:tblHeader/>
        </w:trPr>
        <w:tc>
          <w:tcPr>
            <w:tcW w:w="180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Viết tắt</w:t>
            </w:r>
          </w:p>
        </w:tc>
        <w:tc>
          <w:tcPr>
            <w:tcW w:w="7221"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Diễn giải</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AI</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Trí tuệ nhân tạo (artificial intelligence).</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GDPR</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Quy định (EU) 2016/679, General Data Protection Regulation, áp dụng từ 25/5/2018.</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EDPB</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European Data Protection Board, Ủy ban Bảo vệ dữ liệu châu Âu.</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EDPS</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European Data Protection Supervisor, Cơ quan Giám sát bảo vệ dữ liệu châu Âu.</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DP-SGD</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Differentially Private Stochastic Gradient Descent, hạ gradient ngẫu nhiên có riêng tư vi phân.</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SISA</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Sharded, Isolated, Sliced and Aggregated, khung huấn luyện để q</w:t>
            </w:r>
            <w:r>
              <w:rPr>
                <w:rFonts w:asciiTheme="majorHAnsi" w:hAnsiTheme="majorHAnsi" w:cstheme="majorHAnsi"/>
                <w:sz w:val="24"/>
                <w:szCs w:val="24"/>
              </w:rPr>
              <w:t xml:space="preserve">uên chính xác một điểm dữ liệu.</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FTC</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Federal Trade Commission, Ủy ban Thương mại Liên bang Hoa Kỳ.</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PIPL</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Personal Information Protection Law, Luật Bảo vệ thông tin cá nhân của Trung Quốc, hiệu lực 01/11/2021.</w:t>
            </w:r>
          </w:p>
        </w:tc>
      </w:tr>
    </w:tbl>
    <w:p>
      <w:pPr>
        <w:spacing w:after="80"/>
        <w:rPr>
          <w:rFonts w:ascii="Times New Roman" w:eastAsia="Times New Roman" w:hAnsi="Times New Roman" w:cs="Times New Roman"/>
          <w:sz w:val="26"/>
          <w:szCs w:val="26"/>
        </w:rPr>
      </w:pPr>
    </w:p>
    <w:p>
      <w:pPr>
        <w:spacing w:after="0" w:line="312" w:lineRule="auto"/>
        <w:jc w:val="center"/>
        <w:outlineLvl w:val="0"/>
        <w:rPr>
          <w:rFonts w:ascii="Times New Roman" w:eastAsia="Times New Roman" w:hAnsi="Times New Roman" w:cs="Times New Roman"/>
          <w:b/>
          <w:bCs/>
          <w:sz w:val="32"/>
          <w:szCs w:val="32"/>
        </w:rPr>
      </w:pPr>
      <w:bookmarkStart w:id="103" w:name="_Toc900000103"/>
      <w:r>
        <w:rPr>
          <w:rFonts w:ascii="Times New Roman" w:eastAsia="Times New Roman" w:hAnsi="Times New Roman" w:cs="Times New Roman"/>
          <w:b/>
          <w:bCs/>
          <w:sz w:val="32"/>
          <w:szCs w:val="32"/>
        </w:rPr>
        <w:t xml:space="preserve">DANH MỤC BẢNG</w:t>
      </w:r>
      <w:bookmarkEnd w:id="103"/>
    </w:p>
    <w:p>
      <w:pPr>
        <w:spacing w:after="40"/>
        <w:ind w:left="360"/>
      </w:pPr>
      <w:r>
        <w:rPr>
          <w:rFonts w:ascii="Times New Roman" w:eastAsia="Times New Roman" w:hAnsi="Times New Roman" w:cs="Times New Roman"/>
          <w:sz w:val="26"/>
          <w:szCs w:val="26"/>
        </w:rPr>
        <w:t xml:space="preserve">Bảng 0.1. Từ viết tắt dùng </w:t>
      </w:r>
      <w:r>
        <w:rPr>
          <w:rFonts w:ascii="Times New Roman" w:eastAsia="Times New Roman" w:hAnsi="Times New Roman" w:cs="Times New Roman"/>
          <w:sz w:val="26"/>
          <w:szCs w:val="26"/>
        </w:rPr>
        <w:t xml:space="preserve">trong báo cáo</w:t>
      </w:r>
    </w:p>
    <w:p>
      <w:pPr>
        <w:spacing w:after="40"/>
        <w:ind w:left="360"/>
      </w:pPr>
      <w:r>
        <w:rPr>
          <w:rFonts w:ascii="Times New Roman" w:eastAsia="Times New Roman" w:hAnsi="Times New Roman" w:cs="Times New Roman"/>
          <w:sz w:val="26"/>
          <w:szCs w:val="26"/>
        </w:rPr>
        <w:t xml:space="preserve">Bảng 1.1. Khái niệm dùng trong báo cáo</w:t>
      </w:r>
    </w:p>
    <w:p>
      <w:pPr>
        <w:spacing w:after="40"/>
        <w:ind w:left="360"/>
      </w:pPr>
      <w:r>
        <w:rPr>
          <w:rFonts w:ascii="Times New Roman" w:eastAsia="Times New Roman" w:hAnsi="Times New Roman" w:cs="Times New Roman"/>
          <w:sz w:val="26"/>
          <w:szCs w:val="26"/>
        </w:rPr>
        <w:t xml:space="preserve">Bảng 2.1. Tám tài liệu chính</w:t>
      </w:r>
    </w:p>
    <w:p>
      <w:pPr>
        <w:spacing w:after="40"/>
        <w:ind w:left="360"/>
      </w:pPr>
      <w:r>
        <w:rPr>
          <w:rFonts w:ascii="Times New Roman" w:eastAsia="Times New Roman" w:hAnsi="Times New Roman" w:cs="Times New Roman"/>
          <w:sz w:val="26"/>
          <w:szCs w:val="26"/>
        </w:rPr>
        <w:t xml:space="preserve">Bảng 3.1. Tiến trình văn bản tại Việt Nam</w:t>
      </w:r>
    </w:p>
    <w:p>
      <w:pPr>
        <w:spacing w:after="40"/>
        <w:ind w:left="360"/>
      </w:pPr>
      <w:r>
        <w:rPr>
          <w:rFonts w:ascii="Times New Roman" w:eastAsia="Times New Roman" w:hAnsi="Times New Roman" w:cs="Times New Roman"/>
          <w:sz w:val="26"/>
          <w:szCs w:val="26"/>
        </w:rPr>
        <w:t xml:space="preserve">Bảng 3.2. Mức phạt tối đa theo Điều 8 Luật 91/2025</w:t>
      </w:r>
    </w:p>
    <w:p>
      <w:pPr>
        <w:spacing w:after="40"/>
        <w:ind w:left="360"/>
      </w:pPr>
      <w:r>
        <w:rPr>
          <w:rFonts w:ascii="Times New Roman" w:eastAsia="Times New Roman" w:hAnsi="Times New Roman" w:cs="Times New Roman"/>
          <w:sz w:val="26"/>
          <w:szCs w:val="26"/>
        </w:rPr>
        <w:t xml:space="preserve">Bảng 3.3. Quy định về AI và dữ liệu lớn</w:t>
      </w:r>
    </w:p>
    <w:p>
      <w:pPr>
        <w:spacing w:after="40"/>
        <w:ind w:left="360"/>
      </w:pPr>
      <w:r>
        <w:rPr>
          <w:rFonts w:ascii="Times New Roman" w:eastAsia="Times New Roman" w:hAnsi="Times New Roman" w:cs="Times New Roman"/>
          <w:sz w:val="26"/>
          <w:szCs w:val="26"/>
        </w:rPr>
        <w:t xml:space="preserve">Bảng 3.4. Năm nhánh Điều 19 khoản 1 </w:t>
      </w:r>
      <w:r>
        <w:rPr>
          <w:rFonts w:ascii="Times New Roman" w:eastAsia="Times New Roman" w:hAnsi="Times New Roman" w:cs="Times New Roman"/>
          <w:sz w:val="26"/>
          <w:szCs w:val="26"/>
        </w:rPr>
        <w:t xml:space="preserve">đối với việc thu dữ liệu từ web</w:t>
      </w:r>
    </w:p>
    <w:p>
      <w:pPr>
        <w:spacing w:after="40"/>
        <w:ind w:left="360"/>
      </w:pPr>
      <w:r>
        <w:rPr>
          <w:rFonts w:ascii="Times New Roman" w:eastAsia="Times New Roman" w:hAnsi="Times New Roman" w:cs="Times New Roman"/>
          <w:sz w:val="26"/>
          <w:szCs w:val="26"/>
        </w:rPr>
        <w:t xml:space="preserve">Bảng 4.1. Nguyên tắc GDPR và chỗ vướng với học máy</w:t>
      </w:r>
    </w:p>
    <w:p>
      <w:pPr>
        <w:spacing w:after="40"/>
        <w:ind w:left="360"/>
      </w:pPr>
      <w:r>
        <w:rPr>
          <w:rFonts w:ascii="Times New Roman" w:eastAsia="Times New Roman" w:hAnsi="Times New Roman" w:cs="Times New Roman"/>
          <w:sz w:val="26"/>
          <w:szCs w:val="26"/>
        </w:rPr>
        <w:t xml:space="preserve">Bảng 4.2. Mốc áp dụng Đạo luật AI của EU</w:t>
      </w:r>
    </w:p>
    <w:p>
      <w:pPr>
        <w:spacing w:after="40"/>
        <w:ind w:left="360"/>
      </w:pPr>
      <w:r>
        <w:rPr>
          <w:rFonts w:ascii="Times New Roman" w:eastAsia="Times New Roman" w:hAnsi="Times New Roman" w:cs="Times New Roman"/>
          <w:sz w:val="26"/>
          <w:szCs w:val="26"/>
        </w:rPr>
        <w:t xml:space="preserve">Bảng 4.3. Một số vụ việc thực thi</w:t>
      </w:r>
    </w:p>
    <w:p>
      <w:pPr>
        <w:spacing w:after="40"/>
        <w:ind w:left="360"/>
      </w:pPr>
      <w:r>
        <w:rPr>
          <w:rFonts w:ascii="Times New Roman" w:eastAsia="Times New Roman" w:hAnsi="Times New Roman" w:cs="Times New Roman"/>
          <w:sz w:val="26"/>
          <w:szCs w:val="26"/>
        </w:rPr>
        <w:t xml:space="preserve">Bảng 5.1. Độ chính xác của DP-SGD trên MNIST và CIFAR-10</w:t>
      </w:r>
    </w:p>
    <w:p>
      <w:pPr>
        <w:spacing w:after="40"/>
        <w:ind w:left="360"/>
      </w:pPr>
      <w:r>
        <w:rPr>
          <w:rFonts w:ascii="Times New Roman" w:eastAsia="Times New Roman" w:hAnsi="Times New Roman" w:cs="Times New Roman"/>
          <w:sz w:val="26"/>
          <w:szCs w:val="26"/>
        </w:rPr>
        <w:t xml:space="preserve">Bảng 6.1. So sánh khung pháp luật</w:t>
      </w:r>
    </w:p>
    <w:p>
      <w:pPr>
        <w:spacing w:after="40"/>
        <w:ind w:left="360"/>
      </w:pPr>
      <w:r>
        <w:rPr>
          <w:rFonts w:ascii="Times New Roman" w:eastAsia="Times New Roman" w:hAnsi="Times New Roman" w:cs="Times New Roman"/>
          <w:sz w:val="26"/>
          <w:szCs w:val="26"/>
        </w:rPr>
        <w:t xml:space="preserve">Bảng 6.</w:t>
      </w:r>
      <w:r>
        <w:rPr>
          <w:rFonts w:ascii="Times New Roman" w:eastAsia="Times New Roman" w:hAnsi="Times New Roman" w:cs="Times New Roman"/>
          <w:sz w:val="26"/>
          <w:szCs w:val="26"/>
        </w:rPr>
        <w:t xml:space="preserve">2. So sánh bốn văn bản và hướng dẫn</w:t>
      </w:r>
    </w:p>
    <w:p>
      <w:pPr>
        <w:spacing w:after="40"/>
        <w:ind w:left="360"/>
      </w:pPr>
      <w:r>
        <w:rPr>
          <w:rFonts w:ascii="Times New Roman" w:eastAsia="Times New Roman" w:hAnsi="Times New Roman" w:cs="Times New Roman"/>
          <w:sz w:val="26"/>
          <w:szCs w:val="26"/>
        </w:rPr>
        <w:t xml:space="preserve">Bảng 6.3. So sánh bốn công trình nghiên cứu</w:t>
      </w:r>
    </w:p>
    <w:p>
      <w:pPr>
        <w:spacing w:after="40"/>
        <w:ind w:left="360"/>
      </w:pPr>
      <w:r>
        <w:rPr>
          <w:rFonts w:ascii="Times New Roman" w:eastAsia="Times New Roman" w:hAnsi="Times New Roman" w:cs="Times New Roman"/>
          <w:sz w:val="26"/>
          <w:szCs w:val="26"/>
        </w:rPr>
        <w:t xml:space="preserve">Bảng 7.1. Nghĩa vụ theo bảy giai đoạn vòng đời mô hình</w:t>
      </w:r>
    </w:p>
    <w:p>
      <w:pPr>
        <w:pageBreakBefore/>
        <w:spacing w:after="0" w:line="312" w:lineRule="auto"/>
        <w:jc w:val="center"/>
        <w:outlineLvl w:val="0"/>
        <w:rPr>
          <w:rFonts w:ascii="Times New Roman" w:eastAsia="Times New Roman" w:hAnsi="Times New Roman" w:cs="Times New Roman"/>
          <w:b/>
          <w:bCs/>
          <w:sz w:val="32"/>
          <w:szCs w:val="32"/>
        </w:rPr>
      </w:pPr>
      <w:bookmarkStart w:id="104" w:name="_Toc900000104"/>
      <w:r>
        <w:rPr>
          <w:rFonts w:ascii="Times New Roman" w:eastAsia="Times New Roman" w:hAnsi="Times New Roman" w:cs="Times New Roman"/>
          <w:b/>
          <w:bCs/>
          <w:sz w:val="32"/>
          <w:szCs w:val="32"/>
        </w:rPr>
        <w:t xml:space="preserve">PHÂN CÔNG THỰC HIỆN</w:t>
      </w:r>
      <w:bookmarkEnd w:id="104"/>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Bảng dưới chia việc theo cấu trúc báo cáo. Mọi thành viên cùng rà soát bản cuối và cùng trình bày.</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PL.1. Phân công theo chương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9"/>
        <w:gridCol w:w="1974"/>
        <w:gridCol w:w="4513"/>
      </w:tblGrid>
      <w:tr>
        <w:trPr>
          <w:cantSplit/>
          <w:tblHeader/>
        </w:trPr>
        <w:tc>
          <w:tcPr>
            <w:tcW w:w="2539"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Họ và tên</w:t>
            </w:r>
          </w:p>
        </w:tc>
        <w:tc>
          <w:tcPr>
            <w:tcW w:w="197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Mã số sinh viên</w:t>
            </w:r>
          </w:p>
        </w:tc>
        <w:tc>
          <w:tcPr>
            <w:tcW w:w="451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Phần phụ trách</w:t>
            </w:r>
          </w:p>
        </w:tc>
      </w:tr>
      <w:tr>
        <w:trPr>
          <w:cantSplit/>
        </w:trPr>
        <w:tc>
          <w:tcPr>
            <w:tcW w:w="2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Nguyễn Thị Diễm Anh</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20252613M</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Chương 1, 2, 7, 8, tài liệu tham khảo và bài trình bày</w:t>
            </w:r>
          </w:p>
        </w:tc>
      </w:tr>
      <w:tr>
        <w:trPr>
          <w:cantSplit/>
        </w:trPr>
        <w:tc>
          <w:tcPr>
            <w:tcW w:w="2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Nguyễn Gia Khảm</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20252126M</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Chương 3. Pháp luật Việt Nam, và cột Việt Nam trong bảng 6.1</w:t>
            </w:r>
          </w:p>
        </w:tc>
      </w:tr>
      <w:tr>
        <w:trPr>
          <w:cantSplit/>
        </w:trPr>
        <w:tc>
          <w:tcPr>
            <w:tcW w:w="2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Nguyễn Hòa Khiêm</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20252031M</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Chương 4. Pháp luật thế giới, bảng 6.1 và bảng 6.2</w:t>
            </w:r>
          </w:p>
        </w:tc>
      </w:tr>
      <w:tr>
        <w:trPr>
          <w:cantSplit/>
        </w:trPr>
        <w:tc>
          <w:tcPr>
            <w:tcW w:w="2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Đàm Đức Mạnh</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20252127M</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Chương 5. Bốn công trình, và bảng 6.3</w:t>
            </w:r>
          </w:p>
        </w:tc>
      </w:tr>
    </w:tbl>
    <w:p>
      <w:pPr>
        <w:spacing w:after="80"/>
        <w:rPr>
          <w:rFonts w:ascii="Times New Roman" w:eastAsia="Times New Roman" w:hAnsi="Times New Roman" w:cs="Times New Roman"/>
          <w:sz w:val="26"/>
          <w:szCs w:val="26"/>
        </w:rPr>
      </w:pPr>
    </w:p>
    <w:p>
      <w:pPr>
        <w:pageBreakBefore/>
        <w:spacing w:after="0" w:line="312" w:lineRule="auto"/>
        <w:jc w:val="center"/>
        <w:outlineLvl w:val="0"/>
        <w:rPr>
          <w:rFonts w:ascii="Times New Roman" w:eastAsia="Times New Roman" w:hAnsi="Times New Roman" w:cs="Times New Roman"/>
          <w:b/>
          <w:bCs/>
          <w:sz w:val="32"/>
          <w:szCs w:val="32"/>
        </w:rPr>
      </w:pPr>
      <w:bookmarkStart w:id="105" w:name="_Toc900000105"/>
      <w:r>
        <w:rPr>
          <w:rFonts w:ascii="Times New Roman" w:eastAsia="Times New Roman" w:hAnsi="Times New Roman" w:cs="Times New Roman"/>
          <w:b/>
          <w:bCs/>
          <w:sz w:val="32"/>
          <w:szCs w:val="32"/>
        </w:rPr>
        <w:t xml:space="preserve">CHƯƠNG I. MỞ ĐẦU</w:t>
      </w:r>
      <w:bookmarkEnd w:id="105"/>
    </w:p>
    <w:p>
      <w:pPr>
        <w:spacing w:after="0" w:line="312" w:lineRule="auto"/>
        <w:jc w:val="both"/>
        <w:outlineLvl w:val="1"/>
        <w:rPr>
          <w:rFonts w:ascii="Times New Roman" w:eastAsia="Times New Roman" w:hAnsi="Times New Roman" w:cs="Times New Roman"/>
          <w:b/>
          <w:bCs/>
          <w:sz w:val="28"/>
          <w:szCs w:val="28"/>
        </w:rPr>
      </w:pPr>
      <w:bookmarkStart w:id="106" w:name="_Toc900000106"/>
      <w:r>
        <w:rPr>
          <w:rFonts w:ascii="Times New Roman" w:eastAsia="Times New Roman" w:hAnsi="Times New Roman" w:cs="Times New Roman"/>
          <w:b/>
          <w:bCs/>
          <w:sz w:val="28"/>
          <w:szCs w:val="28"/>
        </w:rPr>
        <w:t xml:space="preserve">I.1. Bối cảnh</w:t>
      </w:r>
      <w:bookmarkEnd w:id="106"/>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hìn</w:t>
      </w:r>
      <w:r>
        <w:rPr>
          <w:rFonts w:ascii="Times New Roman" w:eastAsia="Times New Roman" w:hAnsi="Times New Roman" w:cs="Times New Roman"/>
          <w:sz w:val="26"/>
          <w:szCs w:val="26"/>
        </w:rPr>
        <w:t xml:space="preserve">h học máy hiện đại cần lượng dữ liệu rất lớn, và phần lớn dữ liệu đó gắn với con người. Mô hình ngôn ngữ lớn thường được huấn luyện trên văn bản thu tự động từ Internet. Trong kho đó có tên, số điện thoại và địa chỉ thư điện tử của người thật. Carlini và c</w:t>
      </w:r>
      <w:r>
        <w:rPr>
          <w:rFonts w:ascii="Times New Roman" w:eastAsia="Times New Roman" w:hAnsi="Times New Roman" w:cs="Times New Roman"/>
          <w:sz w:val="26"/>
          <w:szCs w:val="26"/>
        </w:rPr>
        <w:t xml:space="preserve">ộng sự đã chỉ ra điều này trên GPT-2: mô hình tái tạo được cả những mẫu chỉ xuất hiện một lần trong tập huấn luyện [12].</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Cùng giai đoạn, pháp luật dữ liệu cá nhân mở rộng. GDPR của EU áp dụng từ ngày 25/5/2018 và trở thành hình mẫu cho nhiều nước [5]. Việt</w:t>
      </w:r>
      <w:r>
        <w:rPr>
          <w:rFonts w:ascii="Times New Roman" w:eastAsia="Times New Roman" w:hAnsi="Times New Roman" w:cs="Times New Roman"/>
          <w:sz w:val="26"/>
          <w:szCs w:val="26"/>
        </w:rPr>
        <w:t xml:space="preserve"> Nam đi từ Nghị định 13/2023/NĐ-CP, có hiệu lực ngày 01/7/2023, tới Luật Bảo vệ dữ liệu cá nhân số 91/2025/QH15, Quốc hội thông qua ngày 26/6/2025, hiệu lực ngày 01/01/2026, cùng Nghị định 356/2025/NĐ-CP [1][2]. Luật Trí tuệ nhân tạo số 134/2025/QH15 được </w:t>
      </w:r>
      <w:r>
        <w:rPr>
          <w:rFonts w:ascii="Times New Roman" w:eastAsia="Times New Roman" w:hAnsi="Times New Roman" w:cs="Times New Roman"/>
          <w:sz w:val="26"/>
          <w:szCs w:val="26"/>
        </w:rPr>
        <w:t xml:space="preserve">thông qua ngày 10/12/2025 và có hiệu lực ngày 01/3/2026 [3]. Nghị định 142/2026/NĐ-CP hướng dẫn luật này có hiệu lực ngày 01/5/2026 [4].</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Câu hỏi thực tế vì vậy không còn là có cần bảo vệ dữ liệu hay không. Câu hỏi là ở từng giai đoạn của vòng đời mô hình, </w:t>
      </w:r>
      <w:r>
        <w:rPr>
          <w:rFonts w:ascii="Times New Roman" w:eastAsia="Times New Roman" w:hAnsi="Times New Roman" w:cs="Times New Roman"/>
          <w:sz w:val="26"/>
          <w:szCs w:val="26"/>
        </w:rPr>
        <w:t xml:space="preserve">nhóm phát triển được dùng dữ liệu nào, trên căn cứ nào, và phải lưu hồ sơ gì. Bảo vệ dữ liệu phải có từ lúc thiết kế. Gắn thêm sau khi đã huấn luyện xong thì muộn, vì riêng tư vi phân và quên máy chính xác đều phải được chọn trước lúc học.</w:t>
      </w:r>
    </w:p>
    <w:p>
      <w:pPr>
        <w:spacing w:after="0" w:line="312" w:lineRule="auto"/>
        <w:jc w:val="both"/>
        <w:outlineLvl w:val="1"/>
        <w:rPr>
          <w:rFonts w:ascii="Times New Roman" w:eastAsia="Times New Roman" w:hAnsi="Times New Roman" w:cs="Times New Roman"/>
          <w:b/>
          <w:bCs/>
          <w:sz w:val="28"/>
          <w:szCs w:val="28"/>
        </w:rPr>
      </w:pPr>
      <w:bookmarkStart w:id="107" w:name="_Toc900000107"/>
      <w:r>
        <w:rPr>
          <w:rFonts w:ascii="Times New Roman" w:eastAsia="Times New Roman" w:hAnsi="Times New Roman" w:cs="Times New Roman"/>
          <w:b/>
          <w:bCs/>
          <w:sz w:val="28"/>
          <w:szCs w:val="28"/>
        </w:rPr>
        <w:t xml:space="preserve">I.2. Khái niệm</w:t>
      </w:r>
      <w:bookmarkEnd w:id="107"/>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w:t>
      </w:r>
      <w:r>
        <w:rPr>
          <w:rFonts w:ascii="Times New Roman" w:eastAsia="Times New Roman" w:hAnsi="Times New Roman" w:cs="Times New Roman"/>
          <w:sz w:val="26"/>
          <w:szCs w:val="26"/>
        </w:rPr>
        <w:t xml:space="preserve">ác khái niệm dưới đây được dùng thống nhất trong toàn báo cáo. Định nghĩa pháp lý lấy từ điều luật. Định nghĩa kỹ thuật lấy từ công trình được khảo sát.</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1.1. Khái niệm dùng trong báo cáo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1"/>
        <w:gridCol w:w="4738"/>
        <w:gridCol w:w="2257"/>
      </w:tblGrid>
      <w:tr>
        <w:trPr>
          <w:cantSplit/>
          <w:tblHeader/>
        </w:trPr>
        <w:tc>
          <w:tcPr>
            <w:tcW w:w="2031"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Khái niệm</w:t>
            </w:r>
          </w:p>
        </w:tc>
        <w:tc>
          <w:tcPr>
            <w:tcW w:w="473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Nội dung</w:t>
            </w:r>
          </w:p>
        </w:tc>
        <w:tc>
          <w:tcPr>
            <w:tcW w:w="2257"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Nguồn</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Dữ liệu cá nhân</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Dữ liệu số hoặc </w:t>
            </w:r>
            <w:r>
              <w:rPr>
                <w:rFonts w:asciiTheme="majorHAnsi" w:hAnsiTheme="majorHAnsi" w:cstheme="majorHAnsi"/>
                <w:sz w:val="20"/>
                <w:szCs w:val="20"/>
              </w:rPr>
              <w:t xml:space="preserve">thông tin dưới dạng khác xác định hoặc giúp xác định một người cụ thể. Gồm dữ liệu cơ bản và dữ liệu nhạy cảm. Dữ liệu sau khi khử nhận dạng không còn là dữ liệu cá nhân.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2 Luật 91/2025 [1]</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Dữ liệu nhạy cảm</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Dữ liệu gắn với quyền riêng tư; khi bị xâm </w:t>
            </w:r>
            <w:r>
              <w:rPr>
                <w:rFonts w:asciiTheme="majorHAnsi" w:hAnsiTheme="majorHAnsi" w:cstheme="majorHAnsi"/>
                <w:sz w:val="20"/>
                <w:szCs w:val="20"/>
              </w:rPr>
              <w:t xml:space="preserve">phạm sẽ ảnh hưởng trực tiếp đến quyền và lợi ích hợp pháp. Ví dụ: sức khỏe, sinh trắc học, tài chính, vị trí, hành vi trên mạng.</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4 Nghị định 356/2025 [2]</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Bên kiểm soát và bên xử lý</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Bên kiểm soát quyết định mục đích và phương tiện. Bên xử lý xử lý </w:t>
            </w:r>
            <w:r>
              <w:rPr>
                <w:rFonts w:asciiTheme="majorHAnsi" w:hAnsiTheme="majorHAnsi" w:cstheme="majorHAnsi"/>
                <w:sz w:val="20"/>
                <w:szCs w:val="20"/>
              </w:rPr>
              <w:t xml:space="preserve">dữ liệu theo yêu cầu của bên kiểm soát.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2 Luật 91/2025 [1]; Điều 4 GDPR [5]</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Khử nhận dạng</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Thay đổi hoặc xóa thông tin để tạo ra dữ liệu mới không thể xác định hoặc không thể giúp xác định một người.</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2 khoản 11 Luật 91/2025 [1]</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Ghi nhớ (memoriza</w:t>
            </w:r>
            <w:r>
              <w:rPr>
                <w:rFonts w:asciiTheme="majorHAnsi" w:hAnsiTheme="majorHAnsi" w:cstheme="majorHAnsi"/>
                <w:sz w:val="20"/>
                <w:szCs w:val="20"/>
              </w:rPr>
              <w:t xml:space="preserve">tion)</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Mô hình tái tạo nguyên văn một mẫu huấn luyện khi được truy vấn.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Carlini và cộng sự [12]</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Suy luận thành viên</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Tấn công xác định một bản ghi có nằm trong tập huấn luyện hay không.</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Shokri và cộng sự [15]</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Đảo ngược mô hình</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Tấn công khôi phục thông </w:t>
            </w:r>
            <w:r>
              <w:rPr>
                <w:rFonts w:asciiTheme="majorHAnsi" w:hAnsiTheme="majorHAnsi" w:cstheme="majorHAnsi"/>
                <w:sz w:val="20"/>
                <w:szCs w:val="20"/>
              </w:rPr>
              <w:t xml:space="preserve">tin về dữ liệu huấn luyện từ chính mô hình.</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Veale và cộng sự [11]</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Riêng tư vi phân</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Bảo đảm toán học rằng kết quả gần như không đổi khi thêm hoặc bớt dữ liệu của một người. Mức bảo vệ đo bằng ε. ε càng nhỏ càng chặt.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Abadi và cộng sự [13]</w:t>
            </w:r>
          </w:p>
        </w:tc>
      </w:tr>
      <w:tr>
        <w:trPr>
          <w:cantSplit/>
        </w:trPr>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Quên máy</w:t>
            </w:r>
          </w:p>
        </w:tc>
        <w:tc>
          <w:tcPr>
            <w:tcW w:w="4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Loại bỏ ảnh hưởng của một mẫu khỏi mô hình đã huấn luyện.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Bourtoule và cộng sự [14]</w:t>
            </w:r>
          </w:p>
        </w:tc>
      </w:tr>
    </w:tbl>
    <w:p>
      <w:pPr>
        <w:spacing w:after="80"/>
        <w:rPr>
          <w:rFonts w:ascii="Times New Roman" w:eastAsia="Times New Roman" w:hAnsi="Times New Roman" w:cs="Times New Roman"/>
          <w:sz w:val="26"/>
          <w:szCs w:val="26"/>
        </w:rPr>
      </w:pPr>
    </w:p>
    <w:p>
      <w:pPr>
        <w:spacing w:after="0" w:line="312" w:lineRule="auto"/>
        <w:jc w:val="both"/>
        <w:outlineLvl w:val="1"/>
        <w:rPr>
          <w:rFonts w:ascii="Times New Roman" w:eastAsia="Times New Roman" w:hAnsi="Times New Roman" w:cs="Times New Roman"/>
          <w:b/>
          <w:bCs/>
          <w:sz w:val="28"/>
          <w:szCs w:val="28"/>
        </w:rPr>
      </w:pPr>
      <w:bookmarkStart w:id="108" w:name="_Toc900000108"/>
      <w:r>
        <w:rPr>
          <w:rFonts w:ascii="Times New Roman" w:eastAsia="Times New Roman" w:hAnsi="Times New Roman" w:cs="Times New Roman"/>
          <w:b/>
          <w:bCs/>
          <w:sz w:val="28"/>
          <w:szCs w:val="28"/>
        </w:rPr>
        <w:t xml:space="preserve">I.3. Câu hỏi nghiên cứu</w:t>
      </w:r>
      <w:bookmarkEnd w:id="108"/>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trả lời ba câu hỏi.</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Pháp luật Việt Nam và các nước quy định gì về việc dùng dữ liệu cá nhân trong vòng đời của một mô hình trí tuệ nhân</w:t>
      </w:r>
      <w:r>
        <w:rPr>
          <w:rFonts w:ascii="Times New Roman" w:eastAsia="Times New Roman" w:hAnsi="Times New Roman" w:cs="Times New Roman"/>
          <w:sz w:val="26"/>
          <w:szCs w:val="26"/>
        </w:rPr>
        <w:t xml:space="preserve"> tạo?</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khung giống và khác nhau ở đâu về căn cứ xử lý, quyền của chủ thể dữ liệu và chế tài?</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Nghiên cứu kỹ thuật cho biết gì về mức rủi ro thực tế, và các giải pháp hiện có đáp ứng nghĩa vụ pháp lý đến đâu?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Hai câu áp dụng nằm trong ba câu </w:t>
      </w:r>
      <w:r>
        <w:rPr>
          <w:rFonts w:ascii="Times New Roman" w:eastAsia="Times New Roman" w:hAnsi="Times New Roman" w:cs="Times New Roman"/>
          <w:sz w:val="26"/>
          <w:szCs w:val="26"/>
        </w:rPr>
        <w:t xml:space="preserve">trên và được đọc tới điều khoản. Một, mô hình đã huấn luyện còn là dữ liệu cá nhân theo Điều 2 Luật 91/2025 hay không. Hai, dữ liệu công khai thu từ web có căn cứ để đưa vào huấn luyện hay không. Chương 3 và chương 5 trả lời hai câu này bằng câu chữ của lu</w:t>
      </w:r>
      <w:r>
        <w:rPr>
          <w:rFonts w:ascii="Times New Roman" w:eastAsia="Times New Roman" w:hAnsi="Times New Roman" w:cs="Times New Roman"/>
          <w:sz w:val="26"/>
          <w:szCs w:val="26"/>
        </w:rPr>
        <w:t xml:space="preserve">ật và bằng số liệu trích xuất, không bằng một nhận xét chung.</w:t>
      </w:r>
    </w:p>
    <w:p>
      <w:pPr>
        <w:spacing w:after="0" w:line="312" w:lineRule="auto"/>
        <w:jc w:val="both"/>
        <w:outlineLvl w:val="1"/>
        <w:rPr>
          <w:rFonts w:ascii="Times New Roman" w:eastAsia="Times New Roman" w:hAnsi="Times New Roman" w:cs="Times New Roman"/>
          <w:b/>
          <w:bCs/>
          <w:sz w:val="28"/>
          <w:szCs w:val="28"/>
        </w:rPr>
      </w:pPr>
      <w:bookmarkStart w:id="109" w:name="_Toc900000109"/>
      <w:r>
        <w:rPr>
          <w:rFonts w:ascii="Times New Roman" w:eastAsia="Times New Roman" w:hAnsi="Times New Roman" w:cs="Times New Roman"/>
          <w:b/>
          <w:bCs/>
          <w:sz w:val="28"/>
          <w:szCs w:val="28"/>
        </w:rPr>
        <w:t xml:space="preserve">I.4. Phạm vi và phương pháp</w:t>
      </w:r>
      <w:bookmarkEnd w:id="109"/>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theo hướng tổng quan tài liệu và chọn tám tài liệu chính theo ba tiêu chí. Tài liệu là văn bản gốc đang có hiệu lực, hoặc công trình đăng ở hội nghị hay </w:t>
      </w:r>
      <w:r>
        <w:rPr>
          <w:rFonts w:ascii="Times New Roman" w:eastAsia="Times New Roman" w:hAnsi="Times New Roman" w:cs="Times New Roman"/>
          <w:sz w:val="26"/>
          <w:szCs w:val="26"/>
        </w:rPr>
        <w:t xml:space="preserve">tạp chí có bình duyệt. Mỗi tài liệu đại diện cho một hướng tiếp cận. Tài liệu được cơ quan quản lý hoặc các công trình sau trích dẫn rộng. Phương pháp gồm phân tích văn bản, so sánh theo một bộ tiêu chí thống nhất, và đối chiếu nghĩa vụ pháp lý với năng lự</w:t>
      </w:r>
      <w:r>
        <w:rPr>
          <w:rFonts w:ascii="Times New Roman" w:eastAsia="Times New Roman" w:hAnsi="Times New Roman" w:cs="Times New Roman"/>
          <w:sz w:val="26"/>
          <w:szCs w:val="26"/>
        </w:rPr>
        <w:t xml:space="preserve">c kỹ thuật. Ngoài tám tài liệu chính, báo cáo dùng nguồn bổ trợ để cập nhật diễn biến đến tháng 10/2026. Những nguồn này được tách riêng ở cuối danh mục tài liệu tham khảo.</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giới hạn đi theo phương pháp. Báo cáo không tự chạy tấn công trích xuất, không đ</w:t>
      </w:r>
      <w:r>
        <w:rPr>
          <w:rFonts w:ascii="Times New Roman" w:eastAsia="Times New Roman" w:hAnsi="Times New Roman" w:cs="Times New Roman"/>
          <w:sz w:val="26"/>
          <w:szCs w:val="26"/>
        </w:rPr>
        <w:t xml:space="preserve">o ε trên một mô hình tiếng Việt, và không thay một ý kiến tư vấn cho doanh nghiệp. Khi một con số đến từ nguồn thứ cấp, báo cáo nói rõ nguồn đó là bài tổng hợp, không phải toàn văn điều luật.</w:t>
      </w:r>
    </w:p>
    <w:p>
      <w:pPr>
        <w:spacing w:after="0" w:line="312" w:lineRule="auto"/>
        <w:jc w:val="both"/>
        <w:outlineLvl w:val="1"/>
        <w:rPr>
          <w:rFonts w:ascii="Times New Roman" w:eastAsia="Times New Roman" w:hAnsi="Times New Roman" w:cs="Times New Roman"/>
          <w:b/>
          <w:bCs/>
          <w:sz w:val="28"/>
          <w:szCs w:val="28"/>
        </w:rPr>
      </w:pPr>
      <w:bookmarkStart w:id="110" w:name="_Toc900000110"/>
      <w:r>
        <w:rPr>
          <w:rFonts w:ascii="Times New Roman" w:eastAsia="Times New Roman" w:hAnsi="Times New Roman" w:cs="Times New Roman"/>
          <w:b/>
          <w:bCs/>
          <w:sz w:val="28"/>
          <w:szCs w:val="28"/>
        </w:rPr>
        <w:t xml:space="preserve">I.5. Cấu trúc báo cáo</w:t>
      </w:r>
      <w:bookmarkEnd w:id="110"/>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Chương 2 giới thiệu tám tài liệu và quan h</w:t>
      </w:r>
      <w:r>
        <w:rPr>
          <w:rFonts w:ascii="Times New Roman" w:eastAsia="Times New Roman" w:hAnsi="Times New Roman" w:cs="Times New Roman"/>
          <w:sz w:val="26"/>
          <w:szCs w:val="26"/>
        </w:rPr>
        <w:t xml:space="preserve">ệ giữa chúng. Chương 3 đọc luật Việt Nam: đồng ý, Điều 19, quyền của chủ thể, xuyên biên giới, chế tài, và hai đạo luật về AI. Chương 4 đọc GDPR, Ý kiến 28/2024, Đạo luật AI của EU, rồi đối chiếu sơ bộ Hoa Kỳ, Trung Quốc và Hàn Quốc. Chương 5 trình bày bốn</w:t>
      </w:r>
      <w:r>
        <w:rPr>
          <w:rFonts w:ascii="Times New Roman" w:eastAsia="Times New Roman" w:hAnsi="Times New Roman" w:cs="Times New Roman"/>
          <w:sz w:val="26"/>
          <w:szCs w:val="26"/>
        </w:rPr>
        <w:t xml:space="preserve"> công trình và dùng kết quả của Carlini để áp Điều 2. Chương 6 đặt các khung cạnh nhau. Chương 7 chuyển nghĩa vụ thành việc làm theo vòng đời, với ví dụ chấm điểm tín dụng và ví dụ mô hình tiếng Việt thu từ web. Chương 8 nêu xu hướng, sáu khoảng trống và k</w:t>
      </w:r>
      <w:r>
        <w:rPr>
          <w:rFonts w:ascii="Times New Roman" w:eastAsia="Times New Roman" w:hAnsi="Times New Roman" w:cs="Times New Roman"/>
          <w:sz w:val="26"/>
          <w:szCs w:val="26"/>
        </w:rPr>
        <w:t xml:space="preserve">ết luận.</w:t>
      </w:r>
    </w:p>
    <w:p>
      <w:pPr>
        <w:pageBreakBefore/>
        <w:spacing w:after="0" w:line="312" w:lineRule="auto"/>
        <w:jc w:val="center"/>
        <w:outlineLvl w:val="0"/>
        <w:rPr>
          <w:rFonts w:ascii="Times New Roman" w:eastAsia="Times New Roman" w:hAnsi="Times New Roman" w:cs="Times New Roman"/>
          <w:b/>
          <w:bCs/>
          <w:sz w:val="32"/>
          <w:szCs w:val="32"/>
        </w:rPr>
      </w:pPr>
      <w:bookmarkStart w:id="111" w:name="_Toc900000111"/>
      <w:r>
        <w:rPr>
          <w:rFonts w:ascii="Times New Roman" w:eastAsia="Times New Roman" w:hAnsi="Times New Roman" w:cs="Times New Roman"/>
          <w:b/>
          <w:bCs/>
          <w:sz w:val="32"/>
          <w:szCs w:val="32"/>
        </w:rPr>
        <w:t xml:space="preserve">CHƯƠNG II. TỔNG QUAN VÀ PHÂN LOẠI TÀI LIỆU</w:t>
      </w:r>
      <w:bookmarkEnd w:id="111"/>
    </w:p>
    <w:p>
      <w:pPr>
        <w:spacing w:after="0" w:line="312" w:lineRule="auto"/>
        <w:jc w:val="both"/>
        <w:outlineLvl w:val="1"/>
        <w:rPr>
          <w:rFonts w:ascii="Times New Roman" w:eastAsia="Times New Roman" w:hAnsi="Times New Roman" w:cs="Times New Roman"/>
          <w:b/>
          <w:bCs/>
          <w:sz w:val="28"/>
          <w:szCs w:val="28"/>
        </w:rPr>
      </w:pPr>
      <w:bookmarkStart w:id="112" w:name="_Toc900000112"/>
      <w:r>
        <w:rPr>
          <w:rFonts w:ascii="Times New Roman" w:eastAsia="Times New Roman" w:hAnsi="Times New Roman" w:cs="Times New Roman"/>
          <w:b/>
          <w:bCs/>
          <w:sz w:val="28"/>
          <w:szCs w:val="28"/>
        </w:rPr>
        <w:t xml:space="preserve">II.1. Vì sao là tám tài liệu này</w:t>
      </w:r>
      <w:bookmarkEnd w:id="112"/>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Tám tài liệu ứng với ba câu hỏi của chương 1: luật yêu cầu gì, áp dụng yêu cầu đó vào mô hình ra sao, và kỹ thuật làm được đến đâu. Báo cáo không nhằm liệt kê mọi văn bản </w:t>
      </w:r>
      <w:r>
        <w:rPr>
          <w:rFonts w:ascii="Times New Roman" w:eastAsia="Times New Roman" w:hAnsi="Times New Roman" w:cs="Times New Roman"/>
          <w:sz w:val="26"/>
          <w:szCs w:val="26"/>
        </w:rPr>
        <w:t xml:space="preserve">đã ban hành đến tháng 10/2026. Luật Trí tuệ nhân tạo của Việt Nam và Nghị định 142/2026 được dùng làm nguồn bổ trợ khi so sánh với Đạo luật AI của EU, vì hai văn bản này điều chỉnh hệ thống AI chứ không thay luật dữ liệu cá nhân.</w:t>
      </w:r>
    </w:p>
    <w:p>
      <w:pPr>
        <w:spacing w:after="0" w:line="312" w:lineRule="auto"/>
        <w:jc w:val="both"/>
        <w:outlineLvl w:val="1"/>
        <w:rPr>
          <w:rFonts w:ascii="Times New Roman" w:eastAsia="Times New Roman" w:hAnsi="Times New Roman" w:cs="Times New Roman"/>
          <w:b/>
          <w:bCs/>
          <w:sz w:val="28"/>
          <w:szCs w:val="28"/>
        </w:rPr>
      </w:pPr>
      <w:bookmarkStart w:id="113" w:name="_Toc900000113"/>
      <w:r>
        <w:rPr>
          <w:rFonts w:ascii="Times New Roman" w:eastAsia="Times New Roman" w:hAnsi="Times New Roman" w:cs="Times New Roman"/>
          <w:b/>
          <w:bCs/>
          <w:sz w:val="28"/>
          <w:szCs w:val="28"/>
        </w:rPr>
        <w:t xml:space="preserve">II.2. Ba hướng tiếp cận</w:t>
      </w:r>
      <w:bookmarkEnd w:id="113"/>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w:t>
      </w:r>
      <w:r>
        <w:rPr>
          <w:rFonts w:ascii="Times New Roman" w:eastAsia="Times New Roman" w:hAnsi="Times New Roman" w:cs="Times New Roman"/>
          <w:sz w:val="26"/>
          <w:szCs w:val="26"/>
        </w:rPr>
        <w:t xml:space="preserve">ng A là lập pháp. Ba văn bản đặt khung quyền và nghĩa vụ. T1 và T2 điều chỉnh dữ liệu cá nhân nói chung. T3 điều chỉnh hệ thống AI và dẫn chiếu ngược lại luật dữ liệu. Hướng B là diễn giải. T5 nêu từ năm 2018 rằng bản thân mô hình có thể là dữ liệu cá nhân</w:t>
      </w:r>
      <w:r>
        <w:rPr>
          <w:rFonts w:ascii="Times New Roman" w:eastAsia="Times New Roman" w:hAnsi="Times New Roman" w:cs="Times New Roman"/>
          <w:sz w:val="26"/>
          <w:szCs w:val="26"/>
        </w:rPr>
        <w:t xml:space="preserve">. T4 là câu trả lời của cơ quan quản lý châu Âu sáu năm sau. Hướng C là kỹ thuật. T6 đo rủi ro bằng tấn công. T7 phòng ngừa ngay khi huấn luyện. T8 khắc phục sau khi đã huấn luyện, với điều kiện kiến trúc được chọn từ đầu.</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2.1. Tám tài liệu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33"/>
        <w:gridCol w:w="3497"/>
        <w:gridCol w:w="790"/>
        <w:gridCol w:w="1354"/>
        <w:gridCol w:w="2652"/>
      </w:tblGrid>
      <w:tr>
        <w:trPr>
          <w:cantSplit/>
          <w:tblHeader/>
        </w:trPr>
        <w:tc>
          <w:tcPr>
            <w:tcW w:w="73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Mã</w:t>
            </w:r>
          </w:p>
        </w:tc>
        <w:tc>
          <w:tcPr>
            <w:tcW w:w="3497"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T</w:t>
            </w:r>
            <w:r>
              <w:rPr>
                <w:rFonts w:asciiTheme="majorHAnsi" w:hAnsiTheme="majorHAnsi" w:cstheme="majorHAnsi"/>
                <w:b/>
                <w:bCs/>
                <w:sz w:val="20"/>
                <w:szCs w:val="20"/>
              </w:rPr>
              <w:t xml:space="preserve">ài liệu</w:t>
            </w:r>
          </w:p>
        </w:tc>
        <w:tc>
          <w:tcPr>
            <w:tcW w:w="79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Năm</w:t>
            </w:r>
          </w:p>
        </w:tc>
        <w:tc>
          <w:tcPr>
            <w:tcW w:w="135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Hướng</w:t>
            </w:r>
          </w:p>
        </w:tc>
        <w:tc>
          <w:tcPr>
            <w:tcW w:w="2652"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Câu hỏi trung tâm</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T1</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Luật 91/2025/QH15 và Nghị định 356/2025/NĐ-CP [1][2]</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2025</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A. Lập pháp</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Quyền của chủ thể và nghĩa vụ của bên xử lý tại Việt Nam.</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T2</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GDPR, Quy định (EU) 2016/679 [5]</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2016</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A. Lập pháp</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Nguyên tắc và căn cứ xử lý dữ </w:t>
            </w:r>
            <w:r>
              <w:rPr>
                <w:rFonts w:asciiTheme="majorHAnsi" w:hAnsiTheme="majorHAnsi" w:cstheme="majorHAnsi"/>
                <w:sz w:val="20"/>
                <w:szCs w:val="20"/>
              </w:rPr>
              <w:t xml:space="preserve">liệu.</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T3</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Đạo luật AI, Quy định (EU) 2024/1689 [7]</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2024</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A. Lập pháp</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Nghĩa vụ theo mức rủi ro của hệ thống AI.</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T4</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Ý kiến 28/2024 của EDPB [6]</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2024</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 Diễn giải</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Khi nào mô hình là ẩn danh; khi nào dùng được lợi ích chính đáng.</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T5</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Veale, Binns, </w:t>
            </w:r>
            <w:r>
              <w:rPr>
                <w:rFonts w:asciiTheme="majorHAnsi" w:hAnsiTheme="majorHAnsi" w:cstheme="majorHAnsi"/>
                <w:sz w:val="20"/>
                <w:szCs w:val="20"/>
              </w:rPr>
              <w:t xml:space="preserve">Edwards [11]</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2018</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 Diễn giải</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Bản thân mô hình có phải là dữ liệu cá nhân không.</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T6</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Carlini và cộng sự [12]</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2021</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 Đo rủi ro</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Mô hình làm lộ dữ liệu huấn luyện đến mức nào.</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T7</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Abadi và cộng sự [13]</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2016</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 Phòng ngừa</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Huấn luyện mạng sâu với bảo đảm </w:t>
            </w:r>
            <w:r>
              <w:rPr>
                <w:rFonts w:asciiTheme="majorHAnsi" w:hAnsiTheme="majorHAnsi" w:cstheme="majorHAnsi"/>
                <w:sz w:val="20"/>
                <w:szCs w:val="20"/>
              </w:rPr>
              <w:t xml:space="preserve">riêng tư đo được.</w:t>
            </w:r>
          </w:p>
        </w:tc>
      </w:tr>
      <w:tr>
        <w:trPr>
          <w:cantSplit/>
        </w:trPr>
        <w:tc>
          <w:tcPr>
            <w:tcW w:w="7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T8</w:t>
            </w:r>
          </w:p>
        </w:tc>
        <w:tc>
          <w:tcPr>
            <w:tcW w:w="34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Bourtoule và cộng sự [14]</w:t>
            </w:r>
          </w:p>
        </w:tc>
        <w:tc>
          <w:tcPr>
            <w:tcW w:w="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2021</w:t>
            </w:r>
          </w:p>
        </w:tc>
        <w:tc>
          <w:tcPr>
            <w:tcW w:w="135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 Khắc phục</w:t>
            </w:r>
          </w:p>
        </w:tc>
        <w:tc>
          <w:tcPr>
            <w:tcW w:w="26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Xóa ảnh hưởng của một điểm dữ liệu khỏi mô hình.</w:t>
            </w:r>
          </w:p>
        </w:tc>
      </w:tr>
    </w:tbl>
    <w:p>
      <w:pPr>
        <w:spacing w:after="80"/>
        <w:rPr>
          <w:rFonts w:ascii="Times New Roman" w:eastAsia="Times New Roman" w:hAnsi="Times New Roman" w:cs="Times New Roman"/>
          <w:sz w:val="26"/>
          <w:szCs w:val="26"/>
        </w:rPr>
      </w:pPr>
    </w:p>
    <w:p>
      <w:pPr>
        <w:spacing w:after="0" w:line="312" w:lineRule="auto"/>
        <w:jc w:val="both"/>
        <w:outlineLvl w:val="1"/>
        <w:rPr>
          <w:rFonts w:ascii="Times New Roman" w:eastAsia="Times New Roman" w:hAnsi="Times New Roman" w:cs="Times New Roman"/>
          <w:b/>
          <w:bCs/>
          <w:sz w:val="28"/>
          <w:szCs w:val="28"/>
        </w:rPr>
      </w:pPr>
      <w:bookmarkStart w:id="114" w:name="_Toc900000114"/>
      <w:r>
        <w:rPr>
          <w:rFonts w:ascii="Times New Roman" w:eastAsia="Times New Roman" w:hAnsi="Times New Roman" w:cs="Times New Roman"/>
          <w:b/>
          <w:bCs/>
          <w:sz w:val="28"/>
          <w:szCs w:val="28"/>
        </w:rPr>
        <w:t xml:space="preserve">II.3. Quan hệ giữa ba hướng</w:t>
      </w:r>
      <w:bookmarkEnd w:id="114"/>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hướng phụ thuộc lẫn nhau. Bằng chứng của hướng C là đầu vào cho hướng B: EDPB dùng chính khả năng trích </w:t>
      </w:r>
      <w:r>
        <w:rPr>
          <w:rFonts w:ascii="Times New Roman" w:eastAsia="Times New Roman" w:hAnsi="Times New Roman" w:cs="Times New Roman"/>
          <w:sz w:val="26"/>
          <w:szCs w:val="26"/>
        </w:rPr>
        <w:t xml:space="preserve">xuất dữ liệu làm tiêu chí xét mô hình ẩn danh [6]. Nghĩa vụ của hướng A tạo ra nhu cầu cho giải pháp của hướng C: quyền yêu cầu xóa dẫn tới bài toán quên máy [14]. Chiều ngược lại cũng đúng. Nếu T6 cho thấy truy vấn còn lấy lại được tên và thông tin liên l</w:t>
      </w:r>
      <w:r>
        <w:rPr>
          <w:rFonts w:ascii="Times New Roman" w:eastAsia="Times New Roman" w:hAnsi="Times New Roman" w:cs="Times New Roman"/>
          <w:sz w:val="26"/>
          <w:szCs w:val="26"/>
        </w:rPr>
        <w:t xml:space="preserve">ạc, thì định nghĩa “giúp xác định một người” ở Điều 2 Luật 91/2025 không dừng ở bảng dữ liệu gốc. Chương 5 nối hai chiều này thành một lập luận, thay vì để câu “mô hình có phải dữ liệu cá nhân” nằm riêng ở bài của Veale và câu kết luận nằm riêng ở EDPB.</w:t>
      </w:r>
    </w:p>
    <w:p>
      <w:pPr>
        <w:pageBreakBefore/>
        <w:spacing w:after="0" w:line="312" w:lineRule="auto"/>
        <w:jc w:val="center"/>
        <w:outlineLvl w:val="0"/>
        <w:rPr>
          <w:rFonts w:ascii="Times New Roman" w:eastAsia="Times New Roman" w:hAnsi="Times New Roman" w:cs="Times New Roman"/>
          <w:b/>
          <w:bCs/>
          <w:sz w:val="32"/>
          <w:szCs w:val="32"/>
        </w:rPr>
      </w:pPr>
      <w:bookmarkStart w:id="115" w:name="_Toc900000115"/>
      <w:r>
        <w:rPr>
          <w:rFonts w:ascii="Times New Roman" w:eastAsia="Times New Roman" w:hAnsi="Times New Roman" w:cs="Times New Roman"/>
          <w:b/>
          <w:bCs/>
          <w:sz w:val="32"/>
          <w:szCs w:val="32"/>
        </w:rPr>
        <w:t xml:space="preserve">CHƯƠNG III. PHÁP LUẬT VIỆT NAM</w:t>
      </w:r>
      <w:bookmarkEnd w:id="115"/>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năm 2026, Việt Nam điều chỉnh dữ liệu cá nhân bằng một đạo luật, một nghị định hướng dẫn và một đạo luật riêng về AI. Cả ba đều chạm tới dữ liệu huấn luyện. Chương này đọc những điều khoản nhóm phát triển mô hình phải dùng đ</w:t>
      </w:r>
      <w:r>
        <w:rPr>
          <w:rFonts w:ascii="Times New Roman" w:eastAsia="Times New Roman" w:hAnsi="Times New Roman" w:cs="Times New Roman"/>
          <w:sz w:val="26"/>
          <w:szCs w:val="26"/>
        </w:rPr>
        <w:t xml:space="preserve">ược, rồi dừng lại ở Điều 19 và ở cặp quyền rút đồng ý với quyền xóa, vì đó là hai chỗ dễ bị đọc rộng hơn câu chữ.</w:t>
      </w:r>
    </w:p>
    <w:p>
      <w:pPr>
        <w:spacing w:after="0" w:line="312" w:lineRule="auto"/>
        <w:jc w:val="both"/>
        <w:outlineLvl w:val="1"/>
        <w:rPr>
          <w:rFonts w:ascii="Times New Roman" w:eastAsia="Times New Roman" w:hAnsi="Times New Roman" w:cs="Times New Roman"/>
          <w:b/>
          <w:bCs/>
          <w:sz w:val="28"/>
          <w:szCs w:val="28"/>
        </w:rPr>
      </w:pPr>
      <w:bookmarkStart w:id="116" w:name="_Toc900000116"/>
      <w:r>
        <w:rPr>
          <w:rFonts w:ascii="Times New Roman" w:eastAsia="Times New Roman" w:hAnsi="Times New Roman" w:cs="Times New Roman"/>
          <w:b/>
          <w:bCs/>
          <w:sz w:val="28"/>
          <w:szCs w:val="28"/>
        </w:rPr>
        <w:t xml:space="preserve">III.1. Tiến trình</w:t>
      </w:r>
      <w:bookmarkEnd w:id="116"/>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3.1. Tiến trình văn bản tại Việt Nam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3"/>
        <w:gridCol w:w="3103"/>
        <w:gridCol w:w="4230"/>
      </w:tblGrid>
      <w:tr>
        <w:trPr>
          <w:cantSplit/>
          <w:tblHeader/>
        </w:trPr>
        <w:tc>
          <w:tcPr>
            <w:tcW w:w="169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Thời điểm</w:t>
            </w:r>
          </w:p>
        </w:tc>
        <w:tc>
          <w:tcPr>
            <w:tcW w:w="310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Văn bản</w:t>
            </w:r>
          </w:p>
        </w:tc>
        <w:tc>
          <w:tcPr>
            <w:tcW w:w="4230"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Ý nghĩa với dữ liệu huấn luyện</w:t>
            </w:r>
          </w:p>
        </w:tc>
      </w:tr>
      <w:tr>
        <w:trPr>
          <w:cantSplit/>
        </w:trPr>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01/7/2023</w:t>
            </w:r>
          </w:p>
        </w:tc>
        <w:tc>
          <w:tcPr>
            <w:tcW w:w="31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Nghị định </w:t>
            </w:r>
            <w:r>
              <w:rPr>
                <w:rFonts w:asciiTheme="majorHAnsi" w:hAnsiTheme="majorHAnsi" w:cstheme="majorHAnsi"/>
                <w:sz w:val="22"/>
                <w:szCs w:val="22"/>
              </w:rPr>
              <w:t xml:space="preserve">13/2023/NĐ-CP có hiệu lực</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Văn bản riêng đầu tiên về dữ liệu cá nhân, ở cấp nghị định.</w:t>
            </w:r>
          </w:p>
        </w:tc>
      </w:tr>
      <w:tr>
        <w:trPr>
          <w:cantSplit/>
        </w:trPr>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01/7/2025</w:t>
            </w:r>
          </w:p>
        </w:tc>
        <w:tc>
          <w:tcPr>
            <w:tcW w:w="31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Luật Dữ liệu 60/2024/QH15 có hiệu lực</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Khung chung về dữ liệu số, dữ liệu cốt lõi và dữ liệu quan trọng.</w:t>
            </w:r>
          </w:p>
        </w:tc>
      </w:tr>
      <w:tr>
        <w:trPr>
          <w:cantSplit/>
        </w:trPr>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01/01/2026</w:t>
            </w:r>
          </w:p>
        </w:tc>
        <w:tc>
          <w:tcPr>
            <w:tcW w:w="31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Luật 91/2025/QH15 và Nghị định </w:t>
            </w:r>
            <w:r>
              <w:rPr>
                <w:rFonts w:asciiTheme="majorHAnsi" w:hAnsiTheme="majorHAnsi" w:cstheme="majorHAnsi"/>
                <w:sz w:val="22"/>
                <w:szCs w:val="22"/>
              </w:rPr>
              <w:t xml:space="preserve">356/2025/NĐ-CP có hiệu lực</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Thay Nghị định 13/2023. Có điều riêng cho AI và chế tài theo doanh thu [1][2].</w:t>
            </w:r>
          </w:p>
        </w:tc>
      </w:tr>
      <w:tr>
        <w:trPr>
          <w:cantSplit/>
        </w:trPr>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01/3/2026</w:t>
            </w:r>
          </w:p>
        </w:tc>
        <w:tc>
          <w:tcPr>
            <w:tcW w:w="31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Luật Trí tuệ nhân tạo 134/2025/QH15 có hiệu lực</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Đạo luật riêng về AI, quản lý theo mức rủi ro [3].</w:t>
            </w:r>
          </w:p>
        </w:tc>
      </w:tr>
      <w:tr>
        <w:trPr>
          <w:cantSplit/>
        </w:trPr>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01/5/2026</w:t>
            </w:r>
          </w:p>
        </w:tc>
        <w:tc>
          <w:tcPr>
            <w:tcW w:w="31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Nghị định 142/2026/NĐ-CP có h</w:t>
            </w:r>
            <w:r>
              <w:rPr>
                <w:rFonts w:asciiTheme="majorHAnsi" w:hAnsiTheme="majorHAnsi" w:cstheme="majorHAnsi"/>
                <w:sz w:val="22"/>
                <w:szCs w:val="22"/>
              </w:rPr>
              <w:t xml:space="preserve">iệu lực</w:t>
            </w:r>
          </w:p>
        </w:tc>
        <w:tc>
          <w:tcPr>
            <w:tcW w:w="42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Hướng dẫn phân loại rủi ro, thông báo, gắn nhãn và báo cáo sự cố [4].</w:t>
            </w:r>
          </w:p>
        </w:tc>
      </w:tr>
    </w:tbl>
    <w:p>
      <w:pPr>
        <w:spacing w:after="80"/>
        <w:rPr>
          <w:rFonts w:ascii="Times New Roman" w:eastAsia="Times New Roman" w:hAnsi="Times New Roman" w:cs="Times New Roman"/>
          <w:sz w:val="26"/>
          <w:szCs w:val="26"/>
        </w:rPr>
      </w:pP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Luật 91/2025 được Quốc hội thông qua ngày 26/6/2025, gồm 5 chương và 39 điều [1]. Luật Trí tuệ nhân tạo được thông qua ngày 10/12/2025, gồm 8 chương và 35 điều [3]. Nội </w:t>
      </w:r>
      <w:r>
        <w:rPr>
          <w:rFonts w:ascii="Times New Roman" w:eastAsia="Times New Roman" w:hAnsi="Times New Roman" w:cs="Times New Roman"/>
          <w:sz w:val="26"/>
          <w:szCs w:val="26"/>
        </w:rPr>
        <w:t xml:space="preserve">dung Luật Trí tuệ nhân tạo và Nghị định 142 trong báo cáo này bám theo bản giới thiệu chính thức và các bản tổng hợp điều khoản đã dẫn; khi đối chiếu một vụ việc cụ thể thì cần đối lại toàn văn.</w:t>
      </w:r>
    </w:p>
    <w:p>
      <w:pPr>
        <w:spacing w:after="0" w:line="312" w:lineRule="auto"/>
        <w:jc w:val="both"/>
        <w:outlineLvl w:val="1"/>
        <w:rPr>
          <w:rFonts w:ascii="Times New Roman" w:eastAsia="Times New Roman" w:hAnsi="Times New Roman" w:cs="Times New Roman"/>
          <w:b/>
          <w:bCs/>
          <w:sz w:val="28"/>
          <w:szCs w:val="28"/>
        </w:rPr>
      </w:pPr>
      <w:bookmarkStart w:id="117" w:name="_Toc900000117"/>
      <w:r>
        <w:rPr>
          <w:rFonts w:ascii="Times New Roman" w:eastAsia="Times New Roman" w:hAnsi="Times New Roman" w:cs="Times New Roman"/>
          <w:b/>
          <w:bCs/>
          <w:sz w:val="28"/>
          <w:szCs w:val="28"/>
        </w:rPr>
        <w:t xml:space="preserve">III.2. Phạm vi, nguyên tắc và sự đồng ý</w:t>
      </w:r>
      <w:bookmarkEnd w:id="117"/>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Phạm vi. Luật áp dụng c</w:t>
      </w:r>
      <w:r>
        <w:rPr>
          <w:rFonts w:ascii="Times New Roman" w:eastAsia="Times New Roman" w:hAnsi="Times New Roman" w:cs="Times New Roman"/>
          <w:sz w:val="26"/>
          <w:szCs w:val="26"/>
        </w:rPr>
        <w:t xml:space="preserve">ả với tổ chức nước ngoài trực tiếp tham gia hoặc có liên quan đến việc xử lý dữ liệu cá nhân của công dân Việt Nam (Điều 1). Một nhà cung cấp mô hình đặt máy chủ ở nước ngoài vì vậy vẫn có thể thuộc phạm vi điều chỉnh, nếu việc xử lý nhắm tới dữ liệu của c</w:t>
      </w:r>
      <w:r>
        <w:rPr>
          <w:rFonts w:ascii="Times New Roman" w:eastAsia="Times New Roman" w:hAnsi="Times New Roman" w:cs="Times New Roman"/>
          <w:sz w:val="26"/>
          <w:szCs w:val="26"/>
        </w:rPr>
        <w:t xml:space="preserve">ông dân Việt Nam.</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Nguyên tắc. Chỉ thu thập và xử lý đúng phạm vi, đúng mục đích cụ thể và rõ ràng; bảo đảm chính xác; lưu trữ trong thời gian phù hợp với mục đích (Điều 3). Với </w:t>
      </w:r>
      <w:r>
        <w:rPr>
          <w:rFonts w:ascii="Times New Roman" w:eastAsia="Times New Roman" w:hAnsi="Times New Roman" w:cs="Times New Roman"/>
          <w:sz w:val="26"/>
          <w:szCs w:val="26"/>
        </w:rPr>
        <w:t xml:space="preserve">kho huấn luyện, nguyên tắc này loại cách gom dữ liệu trước rồi mới nghĩ mục đíc</w:t>
      </w:r>
      <w:r>
        <w:rPr>
          <w:rFonts w:ascii="Times New Roman" w:eastAsia="Times New Roman" w:hAnsi="Times New Roman" w:cs="Times New Roman"/>
          <w:sz w:val="26"/>
          <w:szCs w:val="26"/>
        </w:rPr>
        <w:t xml:space="preserve">h sau.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Đồng ý là căn cứ mặc định. Điều 9 yêu cầu đồng ý tự nguyện, trên cơ sở được biết loại dữ liệu, mục đích, bên kiểm soát và quyền của chủ thể. Đồng ý phải thể hiện theo từng mục đích. Im lặng không được coi là đồng ý. Hệ quả vận hành là đồng ý mở tài </w:t>
      </w:r>
      <w:r>
        <w:rPr>
          <w:rFonts w:ascii="Times New Roman" w:eastAsia="Times New Roman" w:hAnsi="Times New Roman" w:cs="Times New Roman"/>
          <w:sz w:val="26"/>
          <w:szCs w:val="26"/>
        </w:rPr>
        <w:t xml:space="preserve">khoản, hoặc việc một người tự đăng bài lên mạng, không sinh ra đồng ý cho mục đích huấn luyện mô hình.</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11 khoản 1 yêu cầu việc thu thập phải có đồng ý trước, trừ khi luật nói khác. Khoản 3 giới hạn tổ chức ngoài cơ quan Đảng và Nhà nước: chỉ được phân</w:t>
      </w:r>
      <w:r>
        <w:rPr>
          <w:rFonts w:ascii="Times New Roman" w:eastAsia="Times New Roman" w:hAnsi="Times New Roman" w:cs="Times New Roman"/>
          <w:sz w:val="26"/>
          <w:szCs w:val="26"/>
        </w:rPr>
        <w:t xml:space="preserve"> tích, tổng hợp từ nguồn dữ liệu mình được phép xử lý. Điều 16 chỉ cho công khai dữ liệu cá nhân khi có đồng ý, khi luật yêu cầu, khi thuộc điểm b khoản 1 Điều 19, hoặc khi thực hiện nghĩa vụ hợp đồng. Khoản 5 còn buộc bên đã công khai phải ngăn xử lý trái</w:t>
      </w:r>
      <w:r>
        <w:rPr>
          <w:rFonts w:ascii="Times New Roman" w:eastAsia="Times New Roman" w:hAnsi="Times New Roman" w:cs="Times New Roman"/>
          <w:sz w:val="26"/>
          <w:szCs w:val="26"/>
        </w:rPr>
        <w:t xml:space="preserve"> phép trong khả năng của mình. Sự công khai trên một trang web vì vậy là một lần xử lý có điều kiện. Nó không phải giấy phép để bên thứ ba mang trang đó đi huấn luyện.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12 khoản 1 nói chiều ngược với cách làm thường gặp khi chuẩn bị dữ liệu: dữ liệu đã</w:t>
      </w:r>
      <w:r>
        <w:rPr>
          <w:rFonts w:ascii="Times New Roman" w:eastAsia="Times New Roman" w:hAnsi="Times New Roman" w:cs="Times New Roman"/>
          <w:sz w:val="26"/>
          <w:szCs w:val="26"/>
        </w:rPr>
        <w:t xml:space="preserve"> mã hóa vẫn là dữ liệu cá nhân. Mã hóa đổi dạng đọc. Mã hóa không làm mất khả năng xác định người. Mã hóa kho cào về, hoặc mã hóa file trọng số, không đẩy dữ liệu ra khỏi định nghĩa.</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39 khoản 1 là điều khoản chuyển tiếp. Hoạt động xử lý đã được đồng ý</w:t>
      </w:r>
      <w:r>
        <w:rPr>
          <w:rFonts w:ascii="Times New Roman" w:eastAsia="Times New Roman" w:hAnsi="Times New Roman" w:cs="Times New Roman"/>
          <w:sz w:val="26"/>
          <w:szCs w:val="26"/>
        </w:rPr>
        <w:t xml:space="preserve"> hoặc đã có thỏa thuận theo Nghị định 13/2023 trước ngày 01/01/2026 thì được tiếp tục, không phải xin đồng ý lại. Một đợt huấn luyện mà đồng ý cũ không nêu mục đích này là hoạt động mới. Điều khoản chuyển tiếp không giữ mục đích mới.</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2 khoản 6 định ng</w:t>
      </w:r>
      <w:r>
        <w:rPr>
          <w:rFonts w:ascii="Times New Roman" w:eastAsia="Times New Roman" w:hAnsi="Times New Roman" w:cs="Times New Roman"/>
          <w:sz w:val="26"/>
          <w:szCs w:val="26"/>
        </w:rPr>
        <w:t xml:space="preserve">hĩa xử lý rất rộng: thu thập, phân tích, tổng hợp, mã hóa, giải mã, chỉnh sửa, xóa, hủy, khử nhận dạng, cung cấp, công khai, chuyển giao, và hoạt động khác tác động đến dữ liệu cá nhân. Huấn luyện, lưu mô hình, chuyển file mô hình và truy vấn ra thông tin </w:t>
      </w:r>
      <w:r>
        <w:rPr>
          <w:rFonts w:ascii="Times New Roman" w:eastAsia="Times New Roman" w:hAnsi="Times New Roman" w:cs="Times New Roman"/>
          <w:sz w:val="26"/>
          <w:szCs w:val="26"/>
        </w:rPr>
        <w:t xml:space="preserve">định danh đều có thể rơi vào câu này. Chương 5 áp câu này vào trọng số.</w:t>
      </w:r>
    </w:p>
    <w:p>
      <w:pPr>
        <w:spacing w:after="0" w:line="312" w:lineRule="auto"/>
        <w:jc w:val="both"/>
        <w:outlineLvl w:val="1"/>
        <w:rPr>
          <w:rFonts w:ascii="Times New Roman" w:eastAsia="Times New Roman" w:hAnsi="Times New Roman" w:cs="Times New Roman"/>
          <w:b/>
          <w:bCs/>
          <w:sz w:val="28"/>
          <w:szCs w:val="28"/>
        </w:rPr>
      </w:pPr>
      <w:bookmarkStart w:id="118" w:name="_Toc900000118"/>
      <w:r>
        <w:rPr>
          <w:rFonts w:ascii="Times New Roman" w:eastAsia="Times New Roman" w:hAnsi="Times New Roman" w:cs="Times New Roman"/>
          <w:b/>
          <w:bCs/>
          <w:sz w:val="28"/>
          <w:szCs w:val="28"/>
        </w:rPr>
        <w:t xml:space="preserve">III.3. Điều 19 không mở một cửa chung cho dữ liệu web</w:t>
      </w:r>
      <w:bookmarkEnd w:id="118"/>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19 khoản 1 liệt kê các trường hợp xử lý không cần đồng ý. Một cách nói tắt là luật Việt Nam không có căn cứ “lợi ích chính đáng</w:t>
      </w:r>
      <w:r>
        <w:rPr>
          <w:rFonts w:ascii="Times New Roman" w:eastAsia="Times New Roman" w:hAnsi="Times New Roman" w:cs="Times New Roman"/>
          <w:sz w:val="26"/>
          <w:szCs w:val="26"/>
        </w:rPr>
        <w:t xml:space="preserve">” chung như Điều 6 GDPR. Cách </w:t>
      </w:r>
      <w:r>
        <w:rPr>
          <w:rFonts w:ascii="Times New Roman" w:eastAsia="Times New Roman" w:hAnsi="Times New Roman" w:cs="Times New Roman"/>
          <w:sz w:val="26"/>
          <w:szCs w:val="26"/>
        </w:rPr>
        <w:t xml:space="preserve">nói đó đúng về kết quả, nhưng chưa đủ, vì cụm “lợi ích chính đáng” có xuất hiện trong luật. Nó nằm ở một nhánh hẹp, gắn với việc chống một hành vi xâm phạm và với nghĩa vụ chứng minh. Đọc lần lượt năm nhánh đối với việc thu we</w:t>
      </w:r>
      <w:r>
        <w:rPr>
          <w:rFonts w:ascii="Times New Roman" w:eastAsia="Times New Roman" w:hAnsi="Times New Roman" w:cs="Times New Roman"/>
          <w:sz w:val="26"/>
          <w:szCs w:val="26"/>
        </w:rPr>
        <w:t xml:space="preserve">b quy mô lớn để huấn luyện một mô hình ngôn ngữ thì không nhánh nào đỡ được việc đó.</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3.4. Năm nhánh Điều 19 khoản 1 đối với việc thu dữ liệu từ web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3"/>
        <w:gridCol w:w="4062"/>
        <w:gridCol w:w="4061"/>
      </w:tblGrid>
      <w:tr>
        <w:trPr>
          <w:cantSplit/>
          <w:tblHeader/>
        </w:trPr>
        <w:tc>
          <w:tcPr>
            <w:tcW w:w="90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Nhánh</w:t>
            </w:r>
          </w:p>
        </w:tc>
        <w:tc>
          <w:tcPr>
            <w:tcW w:w="4062"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Luật cho phép khi</w:t>
            </w:r>
          </w:p>
        </w:tc>
        <w:tc>
          <w:tcPr>
            <w:tcW w:w="4061"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Với việc thu web để huấn luyện</w:t>
            </w:r>
          </w:p>
        </w:tc>
      </w:tr>
      <w:tr>
        <w:trPr>
          <w:cantSplit/>
        </w:trPr>
        <w:tc>
          <w:tcPr>
            <w:tcW w:w="9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a</w:t>
            </w:r>
          </w:p>
        </w:tc>
        <w:tc>
          <w:tcPr>
            <w:tcW w:w="40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Cấp bách để bảo vệ tính mạng, sức khỏe, </w:t>
            </w:r>
            <w:r>
              <w:rPr>
                <w:rFonts w:asciiTheme="majorHAnsi" w:hAnsiTheme="majorHAnsi" w:cstheme="majorHAnsi"/>
                <w:sz w:val="20"/>
                <w:szCs w:val="20"/>
              </w:rPr>
              <w:t xml:space="preserve">danh dự, nhân phẩm, quyền và lợi ích hợp pháp; hoặc bảo vệ lợi ích chính đáng một cách cần thiết trước hành vi xâm phạm. Bên xử lý phải chứng minh.</w:t>
            </w:r>
          </w:p>
        </w:tc>
        <w:tc>
          <w:tcPr>
            <w:tcW w:w="40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Cụm “lợi ích chính đáng” nằm ở đây. Nâng chất lượng mô hình không phải tình thế chống một hành vi xâm phạm.</w:t>
            </w:r>
          </w:p>
        </w:tc>
      </w:tr>
      <w:tr>
        <w:trPr>
          <w:cantSplit/>
        </w:trPr>
        <w:tc>
          <w:tcPr>
            <w:tcW w:w="9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w:t>
            </w:r>
          </w:p>
        </w:tc>
        <w:tc>
          <w:tcPr>
            <w:tcW w:w="40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Tình trạng khẩn cấp, an ninh quốc gia, phòng chống bạo loạn, khủng bố, tội phạm và vi phạm pháp luật.</w:t>
            </w:r>
          </w:p>
        </w:tc>
        <w:tc>
          <w:tcPr>
            <w:tcW w:w="40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Huấn luyện mô hình ngôn ngữ phổ thông không phải hoạt động phòng chống tội phạm.</w:t>
            </w:r>
          </w:p>
        </w:tc>
      </w:tr>
      <w:tr>
        <w:trPr>
          <w:cantSplit/>
        </w:trPr>
        <w:tc>
          <w:tcPr>
            <w:tcW w:w="9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w:t>
            </w:r>
          </w:p>
        </w:tc>
        <w:tc>
          <w:tcPr>
            <w:tcW w:w="40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Hoạt động của cơ quan nhà nước và quản lý nhà nước theo luật.</w:t>
            </w:r>
          </w:p>
        </w:tc>
        <w:tc>
          <w:tcPr>
            <w:tcW w:w="40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Doanh nghiệp hoặc nhóm nghiên cứu tư nhân không đứng vào nhánh này chỉ vì sản phẩm có ích.</w:t>
            </w:r>
          </w:p>
        </w:tc>
      </w:tr>
      <w:tr>
        <w:trPr>
          <w:cantSplit/>
        </w:trPr>
        <w:tc>
          <w:tcPr>
            <w:tcW w:w="9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w:t>
            </w:r>
          </w:p>
        </w:tc>
        <w:tc>
          <w:tcPr>
            <w:tcW w:w="40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Thực hiện thỏa thuận của chủ thể dữ liệu với bên có liên quan.</w:t>
            </w:r>
          </w:p>
        </w:tc>
        <w:tc>
          <w:tcPr>
            <w:tcW w:w="40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Phải có thỏa thuận với chính người có dữ liệu, và thỏa thuận phải bao gồm mục đích huấn luyện. Tran</w:t>
            </w:r>
            <w:r>
              <w:rPr>
                <w:rFonts w:asciiTheme="majorHAnsi" w:hAnsiTheme="majorHAnsi" w:cstheme="majorHAnsi"/>
                <w:sz w:val="20"/>
                <w:szCs w:val="20"/>
              </w:rPr>
              <w:t xml:space="preserve">g công khai không phải thỏa thuận ấy.</w:t>
            </w:r>
          </w:p>
        </w:tc>
      </w:tr>
      <w:tr>
        <w:trPr>
          <w:cantSplit/>
        </w:trPr>
        <w:tc>
          <w:tcPr>
            <w:tcW w:w="9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w:t>
            </w:r>
          </w:p>
        </w:tc>
        <w:tc>
          <w:tcPr>
            <w:tcW w:w="40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Trường hợp khác theo quy định của pháp luật.</w:t>
            </w:r>
          </w:p>
        </w:tc>
        <w:tc>
          <w:tcPr>
            <w:tcW w:w="40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Trong các văn bản báo cáo đã khảo sát, chưa có điều nào mở một ngoại lệ huấn luyện. Nhánh này không tự sinh ra căn cứ.</w:t>
            </w:r>
          </w:p>
        </w:tc>
      </w:tr>
    </w:tbl>
    <w:p>
      <w:pPr>
        <w:spacing w:after="80"/>
        <w:rPr>
          <w:rFonts w:ascii="Times New Roman" w:eastAsia="Times New Roman" w:hAnsi="Times New Roman" w:cs="Times New Roman"/>
          <w:sz w:val="26"/>
          <w:szCs w:val="26"/>
        </w:rPr>
      </w:pP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19 khoản 2 còn buộc bên xử lý không cần </w:t>
      </w:r>
      <w:r>
        <w:rPr>
          <w:rFonts w:ascii="Times New Roman" w:eastAsia="Times New Roman" w:hAnsi="Times New Roman" w:cs="Times New Roman"/>
          <w:sz w:val="26"/>
          <w:szCs w:val="26"/>
        </w:rPr>
        <w:t xml:space="preserve">đồng ý phải có quy trình, đánh giá rủi ro, kiểm tra định kỳ và kênh tiếp nhận phản ánh. Kể cả khi một vụ việc lọt vào Điều 19, cửa đó không phải vùng miễn thủ tục.</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lối luật đang chỉ sẵn. Một, dữ liệu có đồng ý ghi đúng mục đích huấn luyện, với nguồn ký </w:t>
      </w:r>
      <w:r>
        <w:rPr>
          <w:rFonts w:ascii="Times New Roman" w:eastAsia="Times New Roman" w:hAnsi="Times New Roman" w:cs="Times New Roman"/>
          <w:sz w:val="26"/>
          <w:szCs w:val="26"/>
        </w:rPr>
        <w:t xml:space="preserve">được thỏa thuận. Hai, dữ liệu đã khử nhận dạng theo Điều 2 khoản 11, kèm kiểm soát quá trình khử và lệnh cấm tái nhận dạng ở Điều 14 khoản 6. Ba, dữ liệu tổng hợp không còn giúp xác định một người. Mã hóa kho thu về không thuộc lối thứ hai, vì Điều 12 khoả</w:t>
      </w:r>
      <w:r>
        <w:rPr>
          <w:rFonts w:ascii="Times New Roman" w:eastAsia="Times New Roman" w:hAnsi="Times New Roman" w:cs="Times New Roman"/>
          <w:sz w:val="26"/>
          <w:szCs w:val="26"/>
        </w:rPr>
        <w:t xml:space="preserve">n 1 giữ dữ liệu đã mã hóa trong phạm vi dữ liệu cá nhân.</w:t>
      </w:r>
    </w:p>
    <w:p>
      <w:pPr>
        <w:spacing w:after="0" w:line="312" w:lineRule="auto"/>
        <w:jc w:val="both"/>
        <w:outlineLvl w:val="1"/>
        <w:rPr>
          <w:rFonts w:ascii="Times New Roman" w:eastAsia="Times New Roman" w:hAnsi="Times New Roman" w:cs="Times New Roman"/>
          <w:b/>
          <w:bCs/>
          <w:sz w:val="28"/>
          <w:szCs w:val="28"/>
        </w:rPr>
      </w:pPr>
      <w:bookmarkStart w:id="119" w:name="_Toc900000119"/>
      <w:r>
        <w:rPr>
          <w:rFonts w:ascii="Times New Roman" w:eastAsia="Times New Roman" w:hAnsi="Times New Roman" w:cs="Times New Roman"/>
          <w:b/>
          <w:bCs/>
          <w:sz w:val="28"/>
          <w:szCs w:val="28"/>
        </w:rPr>
        <w:t xml:space="preserve">III.4. Rút đồng ý và yêu cầu xóa</w:t>
      </w:r>
      <w:bookmarkEnd w:id="119"/>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Chủ thể có quyền được biết, đồng ý, rút đồng ý, xem, chỉnh sửa, yêu cầu xóa, hạn chế và phản đối xử lý (Điều 4). Nghị định 356 ấn định thời hạn: phản hồi trong 2 ngày l</w:t>
      </w:r>
      <w:r>
        <w:rPr>
          <w:rFonts w:ascii="Times New Roman" w:eastAsia="Times New Roman" w:hAnsi="Times New Roman" w:cs="Times New Roman"/>
          <w:sz w:val="26"/>
          <w:szCs w:val="26"/>
        </w:rPr>
        <w:t xml:space="preserve">àm việc, thực hiện yêu cầu xóa trong 20 ngày, hoặc 30 ngày nếu phải yêu cầu bên thứ ba (Điều 5) [2].</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10 khoản 4 là câu dễ bị đọc quá tay. Việc thực hiện yêu cầu rút đồng ý không áp dụng đối với hoạt động xử lý đã diễn ra trước thời điểm rút. Một vòng </w:t>
      </w:r>
      <w:r>
        <w:rPr>
          <w:rFonts w:ascii="Times New Roman" w:eastAsia="Times New Roman" w:hAnsi="Times New Roman" w:cs="Times New Roman"/>
          <w:sz w:val="26"/>
          <w:szCs w:val="26"/>
        </w:rPr>
        <w:t xml:space="preserve">huấn luyện đã chạy xong không bị lệnh này kéo ngược. Câu này không nói rằng mô hình được quyền tiếp tục xử lý người đó sau thời điểm rút. Sau thời điểm rút, mỗi hoạt động mới phải tự có căn cứ: tiếp tục suy luận về người đó, tiếp tục tinh chỉnh trên dữ liệ</w:t>
      </w:r>
      <w:r>
        <w:rPr>
          <w:rFonts w:ascii="Times New Roman" w:eastAsia="Times New Roman" w:hAnsi="Times New Roman" w:cs="Times New Roman"/>
          <w:sz w:val="26"/>
          <w:szCs w:val="26"/>
        </w:rPr>
        <w:t xml:space="preserve">u đó, tiếp tục chuyển một mô hình còn nhớ dữ liệu của người đó.</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Quyền xóa nằm ở Điều 14, tách khỏi quyền rút đồng ý. Khoản 1 yêu cầu xóa khi chủ thể yêu cầu và chấp nhận rủi ro cho mình, khi đã xong mục đích, khi hết hạn lưu trữ, khi cơ quan nhà nước quyết</w:t>
      </w:r>
      <w:r>
        <w:rPr>
          <w:rFonts w:ascii="Times New Roman" w:eastAsia="Times New Roman" w:hAnsi="Times New Roman" w:cs="Times New Roman"/>
          <w:sz w:val="26"/>
          <w:szCs w:val="26"/>
        </w:rPr>
        <w:t xml:space="preserve"> định, hoặc khi thỏa thuận bắt buộc. Khoản 5 là cửa kỹ thuật: nếu không thể xóa vì lý do chính đáng thì phải thông báo cho chủ thể. Im lặng với lý do trọng số không xóa như một dòng trong bảng không đúng cách luật yêu cầu trả lời. Khoản 3 yêu cầu biện pháp</w:t>
      </w:r>
      <w:r>
        <w:rPr>
          <w:rFonts w:ascii="Times New Roman" w:eastAsia="Times New Roman" w:hAnsi="Times New Roman" w:cs="Times New Roman"/>
          <w:sz w:val="26"/>
          <w:szCs w:val="26"/>
        </w:rPr>
        <w:t xml:space="preserve"> ngăn khôi phục trái phép. Khoản 6 điểm b cấm tái nhận dạng sau khi đã khử nhận dạng.</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phương án kỹ thuật chỉ đứng được sau hai điều này, và mỗi phương án trả lời một câu khác nhau. Kiến trúc quên máy kiểu SISA trả lời Điều 14 khi yêu cầu xóa đến với từn</w:t>
      </w:r>
      <w:r>
        <w:rPr>
          <w:rFonts w:ascii="Times New Roman" w:eastAsia="Times New Roman" w:hAnsi="Times New Roman" w:cs="Times New Roman"/>
          <w:sz w:val="26"/>
          <w:szCs w:val="26"/>
        </w:rPr>
        <w:t xml:space="preserve">g bản ghi, và phải được chọn trước lúc huấn luyện [14]. Lịch huấn luyện lại định kỳ trả lời cùng quyền bằng cách bỏ bản ghi khỏi tập rồi học lại. Bộ lọc đầu ra chỉ chặn mô hình nói lại dữ liệu của người đã yêu cầu; nó chưa làm trọng số hết chứa dữ liệu đó,</w:t>
      </w:r>
      <w:r>
        <w:rPr>
          <w:rFonts w:ascii="Times New Roman" w:eastAsia="Times New Roman" w:hAnsi="Times New Roman" w:cs="Times New Roman"/>
          <w:sz w:val="26"/>
          <w:szCs w:val="26"/>
        </w:rPr>
        <w:t xml:space="preserve"> nên chưa phải đã xóa theo Điều 14. Với mô hình nền rất lớn, SISA trong các công trình đã khảo sát chưa dùng được. Phương án đang chứng minh được là học lại cộng với lọc đầu ra, và hồ sơ phải ghi rằng lọc đầu ra không thay cho việc xóa.</w:t>
      </w:r>
    </w:p>
    <w:p>
      <w:pPr>
        <w:spacing w:after="0" w:line="312" w:lineRule="auto"/>
        <w:jc w:val="both"/>
        <w:outlineLvl w:val="1"/>
        <w:rPr>
          <w:rFonts w:ascii="Times New Roman" w:eastAsia="Times New Roman" w:hAnsi="Times New Roman" w:cs="Times New Roman"/>
          <w:b/>
          <w:bCs/>
          <w:sz w:val="28"/>
          <w:szCs w:val="28"/>
        </w:rPr>
      </w:pPr>
      <w:bookmarkStart w:id="120" w:name="_Toc900000120"/>
      <w:r>
        <w:rPr>
          <w:rFonts w:ascii="Times New Roman" w:eastAsia="Times New Roman" w:hAnsi="Times New Roman" w:cs="Times New Roman"/>
          <w:b/>
          <w:bCs/>
          <w:sz w:val="28"/>
          <w:szCs w:val="28"/>
        </w:rPr>
        <w:t xml:space="preserve">III.5. Đánh giá tác động, xuyên biên giới, mua bán và chế tài</w:t>
      </w:r>
      <w:bookmarkEnd w:id="120"/>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kiểm soát phải lập hồ sơ đánh giá tác động xử lý dữ liệu và gửi cơ quan chuyên trách trong 60 ngày kể từ ngày đầu xử lý (Điều 21). Hồ sơ được cập nhật định kỳ 6 tháng một lần khi có thay đổi (Điều 22). Vi phạm p</w:t>
      </w:r>
      <w:r>
        <w:rPr>
          <w:rFonts w:ascii="Times New Roman" w:eastAsia="Times New Roman" w:hAnsi="Times New Roman" w:cs="Times New Roman"/>
          <w:sz w:val="26"/>
          <w:szCs w:val="26"/>
        </w:rPr>
        <w:t xml:space="preserve">hải được thông báo trong 72 giờ (Điều 23).</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Chuyển dữ liệu xuyên biên giới bao gồm cả việc dùng nền tảng đặt ngoài lãnh thổ để xử lý dữ liệu thu thập tại Việt Nam (Điều 20 khoản 1 điểm c). Gọi một dịch vụ mô hình ở nước ngoài với dữ liệu khách hàng, hoặc th</w:t>
      </w:r>
      <w:r>
        <w:rPr>
          <w:rFonts w:ascii="Times New Roman" w:eastAsia="Times New Roman" w:hAnsi="Times New Roman" w:cs="Times New Roman"/>
          <w:sz w:val="26"/>
          <w:szCs w:val="26"/>
        </w:rPr>
        <w:t xml:space="preserve">uê GPU ở nước ngoài để xử lý kho thu tại Việt Nam, vì vậy phát sinh nghĩa vụ lập hồ sơ đánh giá tác động chuyển dữ liệu, cũng trong 60 ngày.</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Luật cấm mua, bán dữ liệu cá nhân (Điều 7). Việc chuyển giao trong các trường hợp luật cho phép, kể cả có thu phí, </w:t>
      </w:r>
      <w:r>
        <w:rPr>
          <w:rFonts w:ascii="Times New Roman" w:eastAsia="Times New Roman" w:hAnsi="Times New Roman" w:cs="Times New Roman"/>
          <w:sz w:val="26"/>
          <w:szCs w:val="26"/>
        </w:rPr>
        <w:t xml:space="preserve">không bị coi là mua bán (Điều 17). Dữ liệu cá nhân phải được khử nhận dạng trước khi giao dịch trên sàn dữ liệu (Điều 7 Nghị định 356) [2].</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3.2. Mức phạt tối đa theo Điều 8 Luật 91/2025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Hành vi</w:t>
            </w:r>
          </w:p>
        </w:tc>
        <w:tc>
          <w:tcPr>
            <w:tcW w:w="451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Mức phạt tiền tối đa với tổ chức</w:t>
            </w:r>
          </w:p>
        </w:tc>
      </w:tr>
      <w:tr>
        <w:trPr>
          <w:cantSplit/>
        </w:trPr>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Mua, bán dữ liệu cá </w:t>
            </w:r>
            <w:r>
              <w:rPr>
                <w:rFonts w:asciiTheme="majorHAnsi" w:hAnsiTheme="majorHAnsi" w:cstheme="majorHAnsi"/>
                <w:sz w:val="24"/>
                <w:szCs w:val="24"/>
              </w:rPr>
              <w:t xml:space="preserve">nhân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10 lần khoản thu có được từ vi phạm.</w:t>
            </w:r>
          </w:p>
        </w:tc>
      </w:tr>
      <w:tr>
        <w:trPr>
          <w:cantSplit/>
        </w:trPr>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Vi phạm quy định chuyển dữ liệu xuyên biên giới</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5% doanh thu của năm trước liền kề.</w:t>
            </w:r>
          </w:p>
        </w:tc>
      </w:tr>
      <w:tr>
        <w:trPr>
          <w:cantSplit/>
        </w:trPr>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Vi phạm khác</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3 tỷ đồng.</w:t>
            </w:r>
          </w:p>
        </w:tc>
      </w:tr>
    </w:tbl>
    <w:p>
      <w:pPr>
        <w:spacing w:after="80"/>
        <w:rPr>
          <w:rFonts w:ascii="Times New Roman" w:eastAsia="Times New Roman" w:hAnsi="Times New Roman" w:cs="Times New Roman"/>
          <w:sz w:val="26"/>
          <w:szCs w:val="26"/>
        </w:rPr>
      </w:pPr>
    </w:p>
    <w:p>
      <w:pPr>
        <w:spacing w:after="160"/>
        <w:ind w:left="360"/>
        <w:jc w:val="both"/>
      </w:pPr>
      <w:r>
        <w:rPr>
          <w:rFonts w:ascii="Times New Roman" w:eastAsia="Times New Roman" w:hAnsi="Times New Roman" w:cs="Times New Roman"/>
          <w:i/>
          <w:iCs/>
          <w:sz w:val="22"/>
          <w:szCs w:val="22"/>
        </w:rPr>
        <w:t xml:space="preserve">Cá nhân chịu một nửa mức của tổ chức. Nguồn: Điều 8 Luật 91/2025 [1].</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Doanh nghiệp nhỏ và doanh </w:t>
      </w:r>
      <w:r>
        <w:rPr>
          <w:rFonts w:ascii="Times New Roman" w:eastAsia="Times New Roman" w:hAnsi="Times New Roman" w:cs="Times New Roman"/>
          <w:sz w:val="26"/>
          <w:szCs w:val="26"/>
        </w:rPr>
        <w:t xml:space="preserve">nghiệp khởi nghiệp được chọn không lập hồ sơ đánh giá tác động và không chỉ định nhân sự bảo vệ dữ liệu trong 5 năm (Điều 38). Miễn trừ không áp dụng khi doanh nghiệp kinh doanh dịch vụ xử lý dữ liệu, trực tiếp xử lý dữ liệu nhạy cảm, hoặc đạt từ 100 nghìn</w:t>
      </w:r>
      <w:r>
        <w:rPr>
          <w:rFonts w:ascii="Times New Roman" w:eastAsia="Times New Roman" w:hAnsi="Times New Roman" w:cs="Times New Roman"/>
          <w:sz w:val="26"/>
          <w:szCs w:val="26"/>
        </w:rPr>
        <w:t xml:space="preserve"> chủ thể dữ liệu (Điều 41 Nghị định 356) [2]. Bộ Công an là đầu mối quản lý nhà nước; cơ quan chuyên trách bảo vệ dữ liệu cá nhân thuộc Bộ Công an (Điều 33 và Điều 36).</w:t>
      </w:r>
    </w:p>
    <w:p>
      <w:pPr>
        <w:spacing w:after="0" w:line="312" w:lineRule="auto"/>
        <w:jc w:val="both"/>
        <w:outlineLvl w:val="1"/>
        <w:rPr>
          <w:rFonts w:ascii="Times New Roman" w:eastAsia="Times New Roman" w:hAnsi="Times New Roman" w:cs="Times New Roman"/>
          <w:b/>
          <w:bCs/>
          <w:sz w:val="28"/>
          <w:szCs w:val="28"/>
        </w:rPr>
      </w:pPr>
      <w:bookmarkStart w:id="121" w:name="_Toc900000121"/>
      <w:r>
        <w:rPr>
          <w:rFonts w:ascii="Times New Roman" w:eastAsia="Times New Roman" w:hAnsi="Times New Roman" w:cs="Times New Roman"/>
          <w:b/>
          <w:bCs/>
          <w:sz w:val="28"/>
          <w:szCs w:val="28"/>
        </w:rPr>
        <w:t xml:space="preserve">III.6. Quy định riêng cho AI</w:t>
      </w:r>
      <w:bookmarkEnd w:id="121"/>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30 của Luật và Điều 9, Điều 10 của Nghị định 356 nhắm t</w:t>
      </w:r>
      <w:r>
        <w:rPr>
          <w:rFonts w:ascii="Times New Roman" w:eastAsia="Times New Roman" w:hAnsi="Times New Roman" w:cs="Times New Roman"/>
          <w:sz w:val="26"/>
          <w:szCs w:val="26"/>
        </w:rPr>
        <w:t xml:space="preserve">hẳng vào AI và dữ liệu lớn [1][2]. Điểm cần giữ là các điều này cho phép dùng dữ liệu cá nhân để phát triển hệ thống AI khi vẫn tuân luật. Chúng không tạo thêm một căn cứ xử lý mới bên cạnh đồng ý và Điều 19.</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3.3. Quy định về AI và dữ liệu lớn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69"/>
        <w:gridCol w:w="3498"/>
        <w:gridCol w:w="3159"/>
      </w:tblGrid>
      <w:tr>
        <w:trPr>
          <w:cantSplit/>
          <w:tblHeader/>
        </w:trPr>
        <w:tc>
          <w:tcPr>
            <w:tcW w:w="2369"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Quy </w:t>
            </w:r>
            <w:r>
              <w:rPr>
                <w:rFonts w:asciiTheme="majorHAnsi" w:hAnsiTheme="majorHAnsi" w:cstheme="majorHAnsi"/>
                <w:b/>
                <w:bCs/>
                <w:sz w:val="20"/>
                <w:szCs w:val="20"/>
              </w:rPr>
              <w:t xml:space="preserve">định</w:t>
            </w:r>
          </w:p>
        </w:tc>
        <w:tc>
          <w:tcPr>
            <w:tcW w:w="349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Nội dung</w:t>
            </w:r>
          </w:p>
        </w:tc>
        <w:tc>
          <w:tcPr>
            <w:tcW w:w="3159"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Ý nghĩa với mô hình</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30 khoản 1</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Xử lý đúng mục đích, trong phạm vi cần thiết.</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Tối thiểu hóa dữ liệu huấn luyện.</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30 khoản 3</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Tích hợp bảo mật, xác thực, phân quyền.</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Bảo mật kho dữ liệu và môi trường huấn luyện.</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30 khoản 4</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Xử </w:t>
            </w:r>
            <w:r>
              <w:rPr>
                <w:rFonts w:asciiTheme="majorHAnsi" w:hAnsiTheme="majorHAnsi" w:cstheme="majorHAnsi"/>
                <w:sz w:val="20"/>
                <w:szCs w:val="20"/>
              </w:rPr>
              <w:t xml:space="preserve">lý bằng AI phải phân loại theo mức rủi ro.</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Biện pháp bảo vệ tương xứng với rủi ro.</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30 khoản 5</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Cấm hệ thống AI dùng dữ liệu cá nhân để gây tổn hại.</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Giới hạn mục đích sử dụng.</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10 khoản 1 Nghị định</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Được dùng dữ liệu cá nhân để phát triển AI nếu </w:t>
            </w:r>
            <w:r>
              <w:rPr>
                <w:rFonts w:asciiTheme="majorHAnsi" w:hAnsiTheme="majorHAnsi" w:cstheme="majorHAnsi"/>
                <w:sz w:val="20"/>
                <w:szCs w:val="20"/>
              </w:rPr>
              <w:t xml:space="preserve">vẫn tuân luật dữ liệu.</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Thừa nhận mục đích huấn luyện, không tạo căn cứ mới.</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10 khoản 2 Nghị định</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Kết quả suy luận giúp xác định một người phải được bảo vệ như dữ liệu cá nhân.</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Đầu ra của mô hình cũng thuộc phạm vi luật.</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10 khoản 3 Nghị định</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Thô</w:t>
            </w:r>
            <w:r>
              <w:rPr>
                <w:rFonts w:asciiTheme="majorHAnsi" w:hAnsiTheme="majorHAnsi" w:cstheme="majorHAnsi"/>
                <w:sz w:val="20"/>
                <w:szCs w:val="20"/>
              </w:rPr>
              <w:t xml:space="preserve">ng báo xử lý tự động, giải thích nguyên tắc, cho cách không tham gia.</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Minh bạch và cơ chế từ chối.</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10 khoản 5 Nghị định</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Tiêu chuẩn an ninh, giám sát, đánh giá tuân thủ mỗi năm.</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Kiểm toán định kỳ.</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10 khoản 6 Nghị định</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Chủ thể được sửa, ẩn </w:t>
            </w:r>
            <w:r>
              <w:rPr>
                <w:rFonts w:asciiTheme="majorHAnsi" w:hAnsiTheme="majorHAnsi" w:cstheme="majorHAnsi"/>
                <w:sz w:val="20"/>
                <w:szCs w:val="20"/>
              </w:rPr>
              <w:t xml:space="preserve">danh, xóa hồ sơ nhận dạng, kể cả khi nền tảng lưu lịch sử hành vi.</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Hồ sơ do mô hình tạo ra phải xóa được.</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9 Nghị định</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Với dữ liệu lớn: xác thực đa yếu tố, mã hóa và ẩn danh khi chuyển giao, giám sát truy cập.</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Yêu cầu kỹ thuật tối thiểu cho kho dữ liệ</w:t>
            </w:r>
            <w:r>
              <w:rPr>
                <w:rFonts w:asciiTheme="majorHAnsi" w:hAnsiTheme="majorHAnsi" w:cstheme="majorHAnsi"/>
                <w:sz w:val="20"/>
                <w:szCs w:val="20"/>
              </w:rPr>
              <w:t xml:space="preserve">u.</w:t>
            </w:r>
          </w:p>
        </w:tc>
      </w:tr>
      <w:tr>
        <w:trPr>
          <w:cantSplit/>
        </w:trPr>
        <w:tc>
          <w:tcPr>
            <w:tcW w:w="2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Điều 27 Luật</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Không dùng thông tin tín dụng để chấm điểm khi chưa có đồng ý. Điều này không dẫn ngoại lệ Điều 19.</w:t>
            </w:r>
          </w:p>
        </w:tc>
        <w:tc>
          <w:tcPr>
            <w:tcW w:w="31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Mô hình chấm điểm tín dụng cần đồng ý riêng.</w:t>
            </w:r>
          </w:p>
        </w:tc>
      </w:tr>
    </w:tbl>
    <w:p>
      <w:pPr>
        <w:spacing w:after="80"/>
        <w:rPr>
          <w:rFonts w:ascii="Times New Roman" w:eastAsia="Times New Roman" w:hAnsi="Times New Roman" w:cs="Times New Roman"/>
          <w:sz w:val="26"/>
          <w:szCs w:val="26"/>
        </w:rPr>
      </w:pP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26 về dữ liệu sức khỏe có dẫn một số ngoại lệ của Điều 19. Điều 27 về thông tin tín </w:t>
      </w:r>
      <w:r>
        <w:rPr>
          <w:rFonts w:ascii="Times New Roman" w:eastAsia="Times New Roman" w:hAnsi="Times New Roman" w:cs="Times New Roman"/>
          <w:sz w:val="26"/>
          <w:szCs w:val="26"/>
        </w:rPr>
        <w:t xml:space="preserve">dụng thì không. Sự khác nhau này quan trọng với ví dụ ở chương 7: mô hình chấm điểm không được viện Điều 19 để bỏ qua đồng ý.</w:t>
      </w:r>
    </w:p>
    <w:p>
      <w:pPr>
        <w:spacing w:after="0" w:line="312" w:lineRule="auto"/>
        <w:jc w:val="both"/>
        <w:outlineLvl w:val="1"/>
        <w:rPr>
          <w:rFonts w:ascii="Times New Roman" w:eastAsia="Times New Roman" w:hAnsi="Times New Roman" w:cs="Times New Roman"/>
          <w:b/>
          <w:bCs/>
          <w:sz w:val="28"/>
          <w:szCs w:val="28"/>
        </w:rPr>
      </w:pPr>
      <w:bookmarkStart w:id="122" w:name="_Toc900000122"/>
      <w:r>
        <w:rPr>
          <w:rFonts w:ascii="Times New Roman" w:eastAsia="Times New Roman" w:hAnsi="Times New Roman" w:cs="Times New Roman"/>
          <w:b/>
          <w:bCs/>
          <w:sz w:val="28"/>
          <w:szCs w:val="28"/>
        </w:rPr>
        <w:t xml:space="preserve">III.7. Luật Trí tuệ nhân tạo</w:t>
      </w:r>
      <w:bookmarkEnd w:id="122"/>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Bốn nội dung của Luật Trí tuệ nhân tạo chạm trực tiếp tới dữ liệu cá nhân [3].</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7 cấm thu thập, xử </w:t>
      </w:r>
      <w:r>
        <w:rPr>
          <w:rFonts w:ascii="Times New Roman" w:eastAsia="Times New Roman" w:hAnsi="Times New Roman" w:cs="Times New Roman"/>
          <w:sz w:val="26"/>
          <w:szCs w:val="26"/>
        </w:rPr>
        <w:t xml:space="preserve">lý, sử dụng dữ liệu để phát triển, huấn luyện, kiểm thử hoặc vận hành hệ thống AI trái với pháp luật về dữ liệu, bảo vệ dữ liệu cá nhân, sở hữu trí tuệ và an ninh mạng. Vi phạm luật dữ liệu khi huấn luyện đồng thời là vi phạm luật AI. Chủ trương ưu tiên mô</w:t>
      </w:r>
      <w:r>
        <w:rPr>
          <w:rFonts w:ascii="Times New Roman" w:eastAsia="Times New Roman" w:hAnsi="Times New Roman" w:cs="Times New Roman"/>
          <w:sz w:val="26"/>
          <w:szCs w:val="26"/>
        </w:rPr>
        <w:t xml:space="preserve"> hình tiếng Việt, nếu có trong luật, là chủ trương phát triển. Chủ trương đó không tạo căn cứ xử lý dữ liệu cá nhân.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AI được xếp vào mức cao, trung bình hoặc thấp. Nhà cung cấp tự phân loại trước khi đưa vào sử dụng (Điều 9). Với hệ thống rủi ro c</w:t>
      </w:r>
      <w:r>
        <w:rPr>
          <w:rFonts w:ascii="Times New Roman" w:eastAsia="Times New Roman" w:hAnsi="Times New Roman" w:cs="Times New Roman"/>
          <w:sz w:val="26"/>
          <w:szCs w:val="26"/>
        </w:rPr>
        <w:t xml:space="preserve">ao, nhà cung cấp phải quản lý rủi ro, quản trị dữ liệu huấn luyện, lưu hồ sơ kỹ thuật và nhật ký, và bảo đảm con người can thiệp được (Điều 13 và Điều 14). Người dùng phải nhận biết được mình đang tương tác với AI. Nội dung do AI tạo ra phải được gắn dấu h</w:t>
      </w:r>
      <w:r>
        <w:rPr>
          <w:rFonts w:ascii="Times New Roman" w:eastAsia="Times New Roman" w:hAnsi="Times New Roman" w:cs="Times New Roman"/>
          <w:sz w:val="26"/>
          <w:szCs w:val="26"/>
        </w:rPr>
        <w:t xml:space="preserve">iệu nhận biết (Điều 11).</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đã hoạt động trước ngày luật có hiệu lực có 12 tháng để tuân thủ. Riêng y tế, giáo dục và tài chính là 18 tháng [3]. Nghị định 142/2026 yêu cầu thông báo hệ thống rủi ro cao và trung bình cho Bộ Khoa học và Công nghệ, và b</w:t>
      </w:r>
      <w:r>
        <w:rPr>
          <w:rFonts w:ascii="Times New Roman" w:eastAsia="Times New Roman" w:hAnsi="Times New Roman" w:cs="Times New Roman"/>
          <w:sz w:val="26"/>
          <w:szCs w:val="26"/>
        </w:rPr>
        <w:t xml:space="preserve">áo cáo sự cố </w:t>
      </w:r>
      <w:r>
        <w:rPr>
          <w:rFonts w:ascii="Times New Roman" w:eastAsia="Times New Roman" w:hAnsi="Times New Roman" w:cs="Times New Roman"/>
          <w:sz w:val="26"/>
          <w:szCs w:val="26"/>
        </w:rPr>
        <w:t xml:space="preserve">nghiêm trọng trong 72 giờ [4]. Nội dung nghị định này được dẫn theo bản giới thiệu và bài phân tích đã nêu ở tài liệu tham khảo, thuộc nhóm nguồn thứ cấp.</w:t>
      </w:r>
    </w:p>
    <w:p>
      <w:pPr>
        <w:spacing w:after="0" w:line="312" w:lineRule="auto"/>
        <w:jc w:val="both"/>
        <w:outlineLvl w:val="1"/>
        <w:rPr>
          <w:rFonts w:ascii="Times New Roman" w:eastAsia="Times New Roman" w:hAnsi="Times New Roman" w:cs="Times New Roman"/>
          <w:b/>
          <w:bCs/>
          <w:sz w:val="28"/>
          <w:szCs w:val="28"/>
        </w:rPr>
      </w:pPr>
      <w:bookmarkStart w:id="123" w:name="_Toc900000123"/>
      <w:r>
        <w:rPr>
          <w:rFonts w:ascii="Times New Roman" w:eastAsia="Times New Roman" w:hAnsi="Times New Roman" w:cs="Times New Roman"/>
          <w:b/>
          <w:bCs/>
          <w:sz w:val="28"/>
          <w:szCs w:val="28"/>
        </w:rPr>
        <w:t xml:space="preserve">III.8. Nhận xét</w:t>
      </w:r>
      <w:bookmarkEnd w:id="123"/>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Việt Nam có điều khoản riêng cho AI ngay trong luật dữ liệu cá nhân, điều </w:t>
      </w:r>
      <w:r>
        <w:rPr>
          <w:rFonts w:ascii="Times New Roman" w:eastAsia="Times New Roman" w:hAnsi="Times New Roman" w:cs="Times New Roman"/>
          <w:sz w:val="26"/>
          <w:szCs w:val="26"/>
        </w:rPr>
        <w:t xml:space="preserve">mà GDPR không có. Thời hạn thực hiện quyền được lượng hóa. Chế tài tính theo doanh thu đủ sức răn đe với việc chuyển dữ liệu ra nước ngoài. Doanh nghiệp nhỏ có lộ trình 5 năm, với các ngoại lệ đã nêu.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Chỗ còn mở nằm ở cách áp khung đó. Cơ chế đồng ý khó dù</w:t>
      </w:r>
      <w:r>
        <w:rPr>
          <w:rFonts w:ascii="Times New Roman" w:eastAsia="Times New Roman" w:hAnsi="Times New Roman" w:cs="Times New Roman"/>
          <w:sz w:val="26"/>
          <w:szCs w:val="26"/>
        </w:rPr>
        <w:t xml:space="preserve">ng cho dữ liệu công khai thu ở quy mô web, và năm nhánh Điều 19 không lấp chỗ đó. Nghị định 356 không nêu tiêu chí phân loại rủi ro theo Điều 30 khoản 4, và chưa rõ quan hệ với ba mức rủi ro của Luật Trí tuệ nhân tạo. Hai đầu mối quản lý, Bộ Công an với dữ</w:t>
      </w:r>
      <w:r>
        <w:rPr>
          <w:rFonts w:ascii="Times New Roman" w:eastAsia="Times New Roman" w:hAnsi="Times New Roman" w:cs="Times New Roman"/>
          <w:sz w:val="26"/>
          <w:szCs w:val="26"/>
        </w:rPr>
        <w:t xml:space="preserve"> liệu cá nhân và Bộ Khoa học và Công nghệ với AI, làm tăng số hồ sơ doanh nghiệp phải nộp. Luật cũng chưa đưa ngưỡng số để biết một mô hình đã khử nhận dạng hay chưa. Việc chứng minh thuộc về bên giữ mô hình, qua hồ sơ Điều 21.</w:t>
      </w:r>
    </w:p>
    <w:p>
      <w:pPr>
        <w:pageBreakBefore/>
        <w:spacing w:after="0" w:line="312" w:lineRule="auto"/>
        <w:jc w:val="center"/>
        <w:outlineLvl w:val="0"/>
        <w:rPr>
          <w:rFonts w:ascii="Times New Roman" w:eastAsia="Times New Roman" w:hAnsi="Times New Roman" w:cs="Times New Roman"/>
          <w:b/>
          <w:bCs/>
          <w:sz w:val="32"/>
          <w:szCs w:val="32"/>
        </w:rPr>
      </w:pPr>
      <w:bookmarkStart w:id="124" w:name="_Toc900000124"/>
      <w:r>
        <w:rPr>
          <w:rFonts w:ascii="Times New Roman" w:eastAsia="Times New Roman" w:hAnsi="Times New Roman" w:cs="Times New Roman"/>
          <w:b/>
          <w:bCs/>
          <w:sz w:val="32"/>
          <w:szCs w:val="32"/>
        </w:rPr>
        <w:t xml:space="preserve">CHƯƠNG IV. PHÁP LUẬT THẾ GIỚI</w:t>
      </w:r>
      <w:bookmarkEnd w:id="124"/>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EU là nơi có khung được diễn giải sâu nhất cho mô hình AI, nên chương này tập trung vào ba tài liệu châu Âu. Hoa Kỳ, Trung Quốc và Hàn Quốc được nêu để đối chiếu, và phần đó dựa trên nguồn thứ cấp.</w:t>
      </w:r>
    </w:p>
    <w:p>
      <w:pPr>
        <w:spacing w:after="0" w:line="312" w:lineRule="auto"/>
        <w:jc w:val="both"/>
        <w:outlineLvl w:val="1"/>
        <w:rPr>
          <w:rFonts w:ascii="Times New Roman" w:eastAsia="Times New Roman" w:hAnsi="Times New Roman" w:cs="Times New Roman"/>
          <w:b/>
          <w:bCs/>
          <w:sz w:val="28"/>
          <w:szCs w:val="28"/>
        </w:rPr>
      </w:pPr>
      <w:bookmarkStart w:id="125" w:name="_Toc900000125"/>
      <w:r>
        <w:rPr>
          <w:rFonts w:ascii="Times New Roman" w:eastAsia="Times New Roman" w:hAnsi="Times New Roman" w:cs="Times New Roman"/>
          <w:b/>
          <w:bCs/>
          <w:sz w:val="28"/>
          <w:szCs w:val="28"/>
        </w:rPr>
        <w:t xml:space="preserve">IV.1. GDPR</w:t>
      </w:r>
      <w:bookmarkEnd w:id="125"/>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GDPR là Quy định (EU) 2016/679, áp dụng từ </w:t>
      </w:r>
      <w:r>
        <w:rPr>
          <w:rFonts w:ascii="Times New Roman" w:eastAsia="Times New Roman" w:hAnsi="Times New Roman" w:cs="Times New Roman"/>
          <w:sz w:val="26"/>
          <w:szCs w:val="26"/>
        </w:rPr>
        <w:t xml:space="preserve">ngày 25/5/2018, gồm 99 điều [5]. Quy định áp dụng cả với tổ chức ngoài EU khi cung cấp hàng hóa, dịch vụ cho người ở EU hoặc theo dõi hành vi của họ (Điều 3).</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trúc dựa trên bốn khối. Bảy nguyên tắc ở Điều 5: hợp pháp, công bằng và minh bạch; giới </w:t>
      </w:r>
      <w:r>
        <w:rPr>
          <w:rFonts w:ascii="Times New Roman" w:eastAsia="Times New Roman" w:hAnsi="Times New Roman" w:cs="Times New Roman"/>
          <w:sz w:val="26"/>
          <w:szCs w:val="26"/>
        </w:rPr>
        <w:t xml:space="preserve">hạn mục đích; tối thiểu hóa dữ liệu; chính xác; giới hạn lưu trữ; toàn vẹn và bảo mật; trách nhiệm giải trình. Sáu căn cứ xử lý ngang nhau ở Điều 6: đồng ý, hợp đồng, nghĩa vụ pháp lý, lợi ích sống còn, nhiệm vụ công, và lợi ích chính đáng. Dữ liệu thuộc l</w:t>
      </w:r>
      <w:r>
        <w:rPr>
          <w:rFonts w:ascii="Times New Roman" w:eastAsia="Times New Roman" w:hAnsi="Times New Roman" w:cs="Times New Roman"/>
          <w:sz w:val="26"/>
          <w:szCs w:val="26"/>
        </w:rPr>
        <w:t xml:space="preserve">oại đặc biệt, như sức khỏe, sinh trắc học, quan điểm chính trị, cần thêm một ngoại lệ tại Điều 9. Quyền của chủ thể gồm truy cập (Điều 15), chỉnh sửa (Điều 16), xóa (Điều 17), phản đối (Điều 21), và không bị áp dụng quyết định hoàn toàn tự động có ảnh hưởn</w:t>
      </w:r>
      <w:r>
        <w:rPr>
          <w:rFonts w:ascii="Times New Roman" w:eastAsia="Times New Roman" w:hAnsi="Times New Roman" w:cs="Times New Roman"/>
          <w:sz w:val="26"/>
          <w:szCs w:val="26"/>
        </w:rPr>
        <w:t xml:space="preserve">g đáng kể (Điều 22). Nghĩa vụ tổ chức gồm bảo vệ dữ liệu ngay từ thiết kế (Điều 25), đánh giá tác động (Điều 35), và mức phạt tới 20 triệu euro hoặc 4% doanh thu toàn cầu, lấy mức cao hơn (Điều 83).</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GDPR không có điều nào viết riêng cho AI. Mọi yêu cầu với</w:t>
      </w:r>
      <w:r>
        <w:rPr>
          <w:rFonts w:ascii="Times New Roman" w:eastAsia="Times New Roman" w:hAnsi="Times New Roman" w:cs="Times New Roman"/>
          <w:sz w:val="26"/>
          <w:szCs w:val="26"/>
        </w:rPr>
        <w:t xml:space="preserve"> mô hình đều suy ra từ nguyên tắc chung. Ở từng nguyên tắc lại có một chỗ vướng với cách học máy đang chạy.</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4.1. Nguyên tắc GDPR và chỗ vướng với học máy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38"/>
        <w:gridCol w:w="6488"/>
      </w:tblGrid>
      <w:tr>
        <w:trPr>
          <w:cantSplit/>
          <w:tblHeader/>
        </w:trPr>
        <w:tc>
          <w:tcPr>
            <w:tcW w:w="253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Quy định</w:t>
            </w:r>
          </w:p>
        </w:tc>
        <w:tc>
          <w:tcPr>
            <w:tcW w:w="648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Chỗ vướng khi áp vào mô hình</w:t>
            </w:r>
          </w:p>
        </w:tc>
      </w:tr>
      <w:tr>
        <w:trPr>
          <w:cantSplit/>
        </w:trPr>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Giới hạn mục đích</w:t>
            </w:r>
          </w:p>
        </w:tc>
        <w:tc>
          <w:tcPr>
            <w:tcW w:w="6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Dữ liệu thu cho một dịch vụ bị dùng lại </w:t>
            </w:r>
            <w:r>
              <w:rPr>
                <w:rFonts w:asciiTheme="majorHAnsi" w:hAnsiTheme="majorHAnsi" w:cstheme="majorHAnsi"/>
                <w:sz w:val="22"/>
                <w:szCs w:val="22"/>
              </w:rPr>
              <w:t xml:space="preserve">để huấn luyện.</w:t>
            </w:r>
          </w:p>
        </w:tc>
      </w:tr>
      <w:tr>
        <w:trPr>
          <w:cantSplit/>
        </w:trPr>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Tối thiểu hóa dữ liệu</w:t>
            </w:r>
          </w:p>
        </w:tc>
        <w:tc>
          <w:tcPr>
            <w:tcW w:w="6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Mô hình lớn thường càng nhiều dữ liệu càng tốt.</w:t>
            </w:r>
          </w:p>
        </w:tc>
      </w:tr>
      <w:tr>
        <w:trPr>
          <w:cantSplit/>
        </w:trPr>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Chính xác</w:t>
            </w:r>
          </w:p>
        </w:tc>
        <w:tc>
          <w:tcPr>
            <w:tcW w:w="6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Mô hình tạo sinh có thể đưa ra thông tin sai về một người thật.</w:t>
            </w:r>
          </w:p>
        </w:tc>
      </w:tr>
      <w:tr>
        <w:trPr>
          <w:cantSplit/>
        </w:trPr>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Minh bạch</w:t>
            </w:r>
          </w:p>
        </w:tc>
        <w:tc>
          <w:tcPr>
            <w:tcW w:w="6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Không thông báo được cho từng người có dữ liệu bị thu từ web.</w:t>
            </w:r>
          </w:p>
        </w:tc>
      </w:tr>
      <w:tr>
        <w:trPr>
          <w:cantSplit/>
        </w:trPr>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Quyền xóa</w:t>
            </w:r>
          </w:p>
        </w:tc>
        <w:tc>
          <w:tcPr>
            <w:tcW w:w="6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Không gỡ </w:t>
            </w:r>
            <w:r>
              <w:rPr>
                <w:rFonts w:asciiTheme="majorHAnsi" w:hAnsiTheme="majorHAnsi" w:cstheme="majorHAnsi"/>
                <w:sz w:val="22"/>
                <w:szCs w:val="22"/>
              </w:rPr>
              <w:t xml:space="preserve">một bản ghi khỏi trọng số như xóa một dòng trong cơ sở dữ liệu.</w:t>
            </w:r>
          </w:p>
        </w:tc>
      </w:tr>
      <w:tr>
        <w:trPr>
          <w:cantSplit/>
        </w:trPr>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Quyết định tự động</w:t>
            </w:r>
          </w:p>
        </w:tc>
        <w:tc>
          <w:tcPr>
            <w:tcW w:w="64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Chấm điểm bằng mô hình có thể là quyết định tự động ngay cả khi bên khác ra quyết định cuối, như Tòa Công lý EU đã xét trong vụ SCHUFA (C-634/21, năm 2023).</w:t>
            </w:r>
          </w:p>
        </w:tc>
      </w:tr>
    </w:tbl>
    <w:p>
      <w:pPr>
        <w:spacing w:after="80"/>
        <w:rPr>
          <w:rFonts w:ascii="Times New Roman" w:eastAsia="Times New Roman" w:hAnsi="Times New Roman" w:cs="Times New Roman"/>
          <w:sz w:val="26"/>
          <w:szCs w:val="26"/>
        </w:rPr>
      </w:pPr>
    </w:p>
    <w:p>
      <w:pPr>
        <w:spacing w:after="0" w:line="312" w:lineRule="auto"/>
        <w:jc w:val="both"/>
        <w:outlineLvl w:val="1"/>
        <w:rPr>
          <w:rFonts w:ascii="Times New Roman" w:eastAsia="Times New Roman" w:hAnsi="Times New Roman" w:cs="Times New Roman"/>
          <w:b/>
          <w:bCs/>
          <w:sz w:val="28"/>
          <w:szCs w:val="28"/>
        </w:rPr>
      </w:pPr>
      <w:bookmarkStart w:id="126" w:name="_Toc900000126"/>
      <w:r>
        <w:rPr>
          <w:rFonts w:ascii="Times New Roman" w:eastAsia="Times New Roman" w:hAnsi="Times New Roman" w:cs="Times New Roman"/>
          <w:b/>
          <w:bCs/>
          <w:sz w:val="28"/>
          <w:szCs w:val="28"/>
        </w:rPr>
        <w:t xml:space="preserve">IV.2. Ý kiến 28/2024 của EDPB</w:t>
      </w:r>
      <w:bookmarkEnd w:id="126"/>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EDPB thông qua Ý kiến 28/2024 ngày 17/12/2024 theo yêu cầu của cơ quan bảo vệ dữ liệu Ireland [6]. Đây là văn bản đầu tiên của một cơ quan quản lý cấp khu vực trả lời trực tiếp ba câu hỏi về mô hình AI. Ý kiến định hướng các cơ quan g</w:t>
      </w:r>
      <w:r>
        <w:rPr>
          <w:rFonts w:ascii="Times New Roman" w:eastAsia="Times New Roman" w:hAnsi="Times New Roman" w:cs="Times New Roman"/>
          <w:sz w:val="26"/>
          <w:szCs w:val="26"/>
        </w:rPr>
        <w:t xml:space="preserve">iám sát. Nó không phải một điều luật mới.</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ẩn danh, mô hình huấn luyện trên dữ liệu cá nhân không mặc nhiên ẩn danh. Phải xét từng trường hợp. Mô hình chỉ ẩn danh khi cả hai khả năng đều không đáng kể: trích xuất trực tiếp dữ liệu của người có trong tập </w:t>
      </w:r>
      <w:r>
        <w:rPr>
          <w:rFonts w:ascii="Times New Roman" w:eastAsia="Times New Roman" w:hAnsi="Times New Roman" w:cs="Times New Roman"/>
          <w:sz w:val="26"/>
          <w:szCs w:val="26"/>
        </w:rPr>
        <w:t xml:space="preserve">huấn luyện, và thu được dữ liệu đó qua truy vấn. Một lời khẳng định là không đủ. Phải có tài liệu chứng minh. Ý kiến không đưa ngưỡng số cho cụm “không đáng kể”.</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lợi ích chính đáng, căn cứ này dùng được, và không phải mặc định. Bên kiểm soát phải qua ph</w:t>
      </w:r>
      <w:r>
        <w:rPr>
          <w:rFonts w:ascii="Times New Roman" w:eastAsia="Times New Roman" w:hAnsi="Times New Roman" w:cs="Times New Roman"/>
          <w:sz w:val="26"/>
          <w:szCs w:val="26"/>
        </w:rPr>
        <w:t xml:space="preserve">ép thử ba bước. Lợi ích phải hợp pháp, được nêu rõ và có thật. Việc xử lý phải cần thiết, theo nghĩa không còn cách nào ít xâm phạm hơn mà vẫn đạt mục đích. Lợi ích đó không được lấn át quyền của chủ thể, có xét tới kỳ vọng hợp lý của họ.</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dữ liệu huấn </w:t>
      </w:r>
      <w:r>
        <w:rPr>
          <w:rFonts w:ascii="Times New Roman" w:eastAsia="Times New Roman" w:hAnsi="Times New Roman" w:cs="Times New Roman"/>
          <w:sz w:val="26"/>
          <w:szCs w:val="26"/>
        </w:rPr>
        <w:t xml:space="preserve">luyện bị xử lý trái phép, cơ quan giám sát có thể phạt, hạn chế xử lý, buộc xóa dữ liệu, và có thể buộc xóa cả mô hình. Bên triển khai mô hình của bên thứ ba phải thẩm định nguồn gốc mô hình. Nếu mô hình đã được ẩn danh thật sự, GDPR không áp dụng cho việc</w:t>
      </w:r>
      <w:r>
        <w:rPr>
          <w:rFonts w:ascii="Times New Roman" w:eastAsia="Times New Roman" w:hAnsi="Times New Roman" w:cs="Times New Roman"/>
          <w:sz w:val="26"/>
          <w:szCs w:val="26"/>
        </w:rPr>
        <w:t xml:space="preserve"> vận hành sau đó.</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Ý kiến có ba giới hạn: không bàn dữ liệu thuộc loại đặc biệt, không bàn quyết định tự động, và không có ngưỡng định lượng. Đầu tháng 7/2026, EDPB ban hành dự thảo Hướng dẫn 03/2026 về thu thập dữ liệu web cho AI tạo sinh, lấy ý kiến đến c</w:t>
      </w:r>
      <w:r>
        <w:rPr>
          <w:rFonts w:ascii="Times New Roman" w:eastAsia="Times New Roman" w:hAnsi="Times New Roman" w:cs="Times New Roman"/>
          <w:sz w:val="26"/>
          <w:szCs w:val="26"/>
        </w:rPr>
        <w:t xml:space="preserve">uối tháng 10/2026. Theo bài phân tích của Reed Smith, dự thảo cho rằng đồng ý nói chung không khả thi ở quy mô lớn, lợi ích chính đáng là con đường chính, và phải lọc dữ liệu cá nhân trước khi thu thập [9]. Đây là nguồn thứ cấp về một dự thảo, chưa phải vă</w:t>
      </w:r>
      <w:r>
        <w:rPr>
          <w:rFonts w:ascii="Times New Roman" w:eastAsia="Times New Roman" w:hAnsi="Times New Roman" w:cs="Times New Roman"/>
          <w:sz w:val="26"/>
          <w:szCs w:val="26"/>
        </w:rPr>
        <w:t xml:space="preserve">n bản đã thông qua.</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Luật Việt Nam chưa chép chuẩn “không đáng kể” này. Ý kiến của EDPB là chỗ đối chiếu. Định nghĩa để nhóm phát triển ở Việt Nam phải dùng vẫn là Điều 2, như chương 5 trình bày.</w:t>
      </w:r>
    </w:p>
    <w:p>
      <w:pPr>
        <w:spacing w:after="0" w:line="312" w:lineRule="auto"/>
        <w:jc w:val="both"/>
        <w:outlineLvl w:val="1"/>
        <w:rPr>
          <w:rFonts w:ascii="Times New Roman" w:eastAsia="Times New Roman" w:hAnsi="Times New Roman" w:cs="Times New Roman"/>
          <w:b/>
          <w:bCs/>
          <w:sz w:val="28"/>
          <w:szCs w:val="28"/>
        </w:rPr>
      </w:pPr>
      <w:bookmarkStart w:id="127" w:name="_Toc900000127"/>
      <w:r>
        <w:rPr>
          <w:rFonts w:ascii="Times New Roman" w:eastAsia="Times New Roman" w:hAnsi="Times New Roman" w:cs="Times New Roman"/>
          <w:b/>
          <w:bCs/>
          <w:sz w:val="28"/>
          <w:szCs w:val="28"/>
        </w:rPr>
        <w:t xml:space="preserve">IV.3. Đạo luật AI của EU</w:t>
      </w:r>
      <w:bookmarkEnd w:id="127"/>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Đạo luật AI là Quy định (EU) </w:t>
      </w:r>
      <w:r>
        <w:rPr>
          <w:rFonts w:ascii="Times New Roman" w:eastAsia="Times New Roman" w:hAnsi="Times New Roman" w:cs="Times New Roman"/>
          <w:sz w:val="26"/>
          <w:szCs w:val="26"/>
        </w:rPr>
        <w:t xml:space="preserve">2024/1689, có hiệu lực từ ngày 01/8/2024 và áp dụng theo giai đoạn [7]. Đạo luật xếp hệ thống vào bốn tầng rủi ro: không chấp nhận được, cao, hạn chế và tối thiểu.</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4.2. Mốc áp dụng Đạo luật AI của EU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7221"/>
      </w:tblGrid>
      <w:tr>
        <w:trPr>
          <w:cantSplit/>
          <w:tblHeader/>
        </w:trPr>
        <w:tc>
          <w:tcPr>
            <w:tcW w:w="180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Mốc</w:t>
            </w:r>
          </w:p>
        </w:tc>
        <w:tc>
          <w:tcPr>
            <w:tcW w:w="7221"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2"/>
                <w:szCs w:val="22"/>
              </w:rPr>
              <w:t xml:space="preserve">Nội dung</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02/02/2025</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Cấm các thực hành không ch</w:t>
            </w:r>
            <w:r>
              <w:rPr>
                <w:rFonts w:asciiTheme="majorHAnsi" w:hAnsiTheme="majorHAnsi" w:cstheme="majorHAnsi"/>
                <w:sz w:val="22"/>
                <w:szCs w:val="22"/>
              </w:rPr>
              <w:t xml:space="preserve">ấp nhận được, trong đó có thu thập hàng loạt hình ảnh khuôn mặt để lập cơ sở dữ liệu nhận dạng.</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02/8/2025</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Nghĩa vụ của nhà cung cấp mô hình AI đa dụng: tài liệu kỹ thuật, bản tóm tắt công khai về dữ liệu huấn luyện.</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02/8/2026</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Nghĩa vụ minh bạch tại </w:t>
            </w:r>
            <w:r>
              <w:rPr>
                <w:rFonts w:asciiTheme="majorHAnsi" w:hAnsiTheme="majorHAnsi" w:cstheme="majorHAnsi"/>
                <w:sz w:val="22"/>
                <w:szCs w:val="22"/>
              </w:rPr>
              <w:t xml:space="preserve">Điều 50.</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02/12/2027</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Hệ thống rủi ro cao độc lập. Mốc này được lùi từ 02/8/2026 theo gói sửa đổi Digital Omnibus, Hội đồng EU thông qua ngày 29/6/2026 [8].</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02/8/2028</w:t>
            </w:r>
          </w:p>
        </w:tc>
        <w:tc>
          <w:tcPr>
            <w:tcW w:w="72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2"/>
                <w:szCs w:val="22"/>
              </w:rPr>
              <w:t xml:space="preserve">Hệ thống rủi ro cao gắn trong sản phẩm. Mốc này được lùi từ 02/8/2027 [8].</w:t>
            </w:r>
          </w:p>
        </w:tc>
      </w:tr>
    </w:tbl>
    <w:p>
      <w:pPr>
        <w:spacing w:after="80"/>
        <w:rPr>
          <w:rFonts w:ascii="Times New Roman" w:eastAsia="Times New Roman" w:hAnsi="Times New Roman" w:cs="Times New Roman"/>
          <w:sz w:val="26"/>
          <w:szCs w:val="26"/>
        </w:rPr>
      </w:pP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quy </w:t>
      </w:r>
      <w:r>
        <w:rPr>
          <w:rFonts w:ascii="Times New Roman" w:eastAsia="Times New Roman" w:hAnsi="Times New Roman" w:cs="Times New Roman"/>
          <w:sz w:val="26"/>
          <w:szCs w:val="26"/>
        </w:rPr>
        <w:t xml:space="preserve">định chạm trực tiếp tới dữ liệu cá nhân. Điều 2 khoản 7: Đạo luật không làm thay đổi GDPR. Hai văn bản áp dụng song song. Tuân thủ văn bản này không thay cho văn bản kia. Điều 10: dữ liệu huấn luyện, kiểm định và kiểm thử của hệ thống rủi ro cao phải phù h</w:t>
      </w:r>
      <w:r>
        <w:rPr>
          <w:rFonts w:ascii="Times New Roman" w:eastAsia="Times New Roman" w:hAnsi="Times New Roman" w:cs="Times New Roman"/>
          <w:sz w:val="26"/>
          <w:szCs w:val="26"/>
        </w:rPr>
        <w:t xml:space="preserve">ợp, đủ đại diện và được kiểm tra thiên lệch. Khoản 5 cho phép xử lý dữ liệu thuộc loại đặc biệt để phát hiện và sửa thiên lệch, với điều kiện chặt. Điều 53: nhà cung cấp mô hình đa dụng phải công bố bản tóm tắt đủ chi tiết về nội dung dùng để huấn luyện. M</w:t>
      </w:r>
      <w:r>
        <w:rPr>
          <w:rFonts w:ascii="Times New Roman" w:eastAsia="Times New Roman" w:hAnsi="Times New Roman" w:cs="Times New Roman"/>
          <w:sz w:val="26"/>
          <w:szCs w:val="26"/>
        </w:rPr>
        <w:t xml:space="preserve">ức phạt cao nhất cho thực hành bị cấm là 35 triệu euro hoặc 7% doanh thu toàn cầu, lấy mức cao hơn.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GDPR cũng đang được xem xét sửa. Ngày 19/11/2025, Ủy ban châu Âu đề xuất bổ sung Điều 88c, ghi nhận lợi ích chính đáng là căn cứ cho việc phát triển và vận </w:t>
      </w:r>
      <w:r>
        <w:rPr>
          <w:rFonts w:ascii="Times New Roman" w:eastAsia="Times New Roman" w:hAnsi="Times New Roman" w:cs="Times New Roman"/>
          <w:sz w:val="26"/>
          <w:szCs w:val="26"/>
        </w:rPr>
        <w:t xml:space="preserve">hành AI. EDPB và EDPS, trong ý kiến chung 2/2026, cho rằng điều khoản này làm giảm sự chắc chắn pháp lý [10]. Đến tháng 9/2026, Hội đồng và Nghị viện chưa thống nhất lập trường về phần này [23]. Diễn biến này cho thấy ngay tại EU, căn cứ huấn luyện vẫn đan</w:t>
      </w:r>
      <w:r>
        <w:rPr>
          <w:rFonts w:ascii="Times New Roman" w:eastAsia="Times New Roman" w:hAnsi="Times New Roman" w:cs="Times New Roman"/>
          <w:sz w:val="26"/>
          <w:szCs w:val="26"/>
        </w:rPr>
        <w:t xml:space="preserve">g được viết lại, chứ không phải đã khóa.</w:t>
      </w:r>
    </w:p>
    <w:p>
      <w:pPr>
        <w:spacing w:after="0" w:line="312" w:lineRule="auto"/>
        <w:jc w:val="both"/>
        <w:outlineLvl w:val="1"/>
        <w:rPr>
          <w:rFonts w:ascii="Times New Roman" w:eastAsia="Times New Roman" w:hAnsi="Times New Roman" w:cs="Times New Roman"/>
          <w:b/>
          <w:bCs/>
          <w:sz w:val="28"/>
          <w:szCs w:val="28"/>
        </w:rPr>
      </w:pPr>
      <w:bookmarkStart w:id="128" w:name="_Toc900000128"/>
      <w:r>
        <w:rPr>
          <w:rFonts w:ascii="Times New Roman" w:eastAsia="Times New Roman" w:hAnsi="Times New Roman" w:cs="Times New Roman"/>
          <w:b/>
          <w:bCs/>
          <w:sz w:val="28"/>
          <w:szCs w:val="28"/>
        </w:rPr>
        <w:t xml:space="preserve">IV.4. Hoa Kỳ, Trung Quốc và Hàn Quốc</w:t>
      </w:r>
      <w:bookmarkEnd w:id="128"/>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này ở mức khái quát và dựa trên nguồn thứ cấp. Khi dùng cho tuân thủ thì phải đối chiếu văn bản gốc.</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Hoa Kỳ không có luật liên bang toàn diện về dữ liệu cá nhân. Quy định nằm</w:t>
      </w:r>
      <w:r>
        <w:rPr>
          <w:rFonts w:ascii="Times New Roman" w:eastAsia="Times New Roman" w:hAnsi="Times New Roman" w:cs="Times New Roman"/>
          <w:sz w:val="26"/>
          <w:szCs w:val="26"/>
        </w:rPr>
        <w:t xml:space="preserve"> ở cấp bang và theo ngành. Từ ngày 01/01/2026, California áp dụng các quy định mới về công nghệ ra quyết định tự động và đánh giá rủi ro. Một số bang sửa luật để yêu cầu công khai việc dùng dữ liệu cá nhân huấn luyện mô hình ngôn ngữ lớn [19]. Ở cấp liên b</w:t>
      </w:r>
      <w:r>
        <w:rPr>
          <w:rFonts w:ascii="Times New Roman" w:eastAsia="Times New Roman" w:hAnsi="Times New Roman" w:cs="Times New Roman"/>
          <w:sz w:val="26"/>
          <w:szCs w:val="26"/>
        </w:rPr>
        <w:t xml:space="preserve">ang, FTC xử lý bằng luật chống hành vi lừa dối. Trong vụ Everalbum năm 2021, FTC buộc công ty xóa cả dữ liệu lẫn các mô hình nhận dạng khuôn mặt huấn luyện từ ảnh người dùng [25].</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Trung Quốc có PIPL, hiệu lực từ ngày 01/11/2021, và Biện pháp tạm thời quản </w:t>
      </w:r>
      <w:r>
        <w:rPr>
          <w:rFonts w:ascii="Times New Roman" w:eastAsia="Times New Roman" w:hAnsi="Times New Roman" w:cs="Times New Roman"/>
          <w:sz w:val="26"/>
          <w:szCs w:val="26"/>
        </w:rPr>
        <w:t xml:space="preserve">lý dịch vụ AI tạo sinh, hiệu lực từ ngày 15/8/2023. Nhà cung cấp phải dùng dữ liệu huấn luyện có nguồn gốc hợp pháp và tôn trọng thông tin cá nhân. Từ ngày 01/9/2025, nội dung do AI tạo ra phải được gắn nhãn [20]. PIPL lấy đồng ý làm trung tâm và không có </w:t>
      </w:r>
      <w:r>
        <w:rPr>
          <w:rFonts w:ascii="Times New Roman" w:eastAsia="Times New Roman" w:hAnsi="Times New Roman" w:cs="Times New Roman"/>
          <w:sz w:val="26"/>
          <w:szCs w:val="26"/>
        </w:rPr>
        <w:t xml:space="preserve">lợi ích chính đáng theo kiểu Điều 6 GDPR.</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Hàn Quốc có Luật khung về AI, hiệu lực từ ngày 22/01/2026, với nghĩa vụ minh bạch và quản lý AI tác động cao [21]. Cơ quan bảo vệ thông tin cá nhân nước này hướng dẫn từ năm 2024 rằng dữ liệu công khai có thể được </w:t>
      </w:r>
      <w:r>
        <w:rPr>
          <w:rFonts w:ascii="Times New Roman" w:eastAsia="Times New Roman" w:hAnsi="Times New Roman" w:cs="Times New Roman"/>
          <w:sz w:val="26"/>
          <w:szCs w:val="26"/>
        </w:rPr>
        <w:t xml:space="preserve">dùng để huấn luyện trên lợi ích chính đáng, nếu qua phép thử ba phần tương tự EU [22]. Hướng dẫn này được dẫn qua bài tổng hợp, nên báo cáo chỉ dùng nó như một điểm đối chiếu, không như một điều luật đã được kiểm lại từng câu.</w:t>
      </w:r>
    </w:p>
    <w:p>
      <w:pPr>
        <w:spacing w:after="0" w:line="312" w:lineRule="auto"/>
        <w:jc w:val="both"/>
        <w:outlineLvl w:val="1"/>
        <w:rPr>
          <w:rFonts w:ascii="Times New Roman" w:eastAsia="Times New Roman" w:hAnsi="Times New Roman" w:cs="Times New Roman"/>
          <w:b/>
          <w:bCs/>
          <w:sz w:val="28"/>
          <w:szCs w:val="28"/>
        </w:rPr>
      </w:pPr>
      <w:bookmarkStart w:id="129" w:name="_Toc900000129"/>
      <w:r>
        <w:rPr>
          <w:rFonts w:ascii="Times New Roman" w:eastAsia="Times New Roman" w:hAnsi="Times New Roman" w:cs="Times New Roman"/>
          <w:b/>
          <w:bCs/>
          <w:sz w:val="28"/>
          <w:szCs w:val="28"/>
        </w:rPr>
        <w:t xml:space="preserve">IV.5. Thực tiễn thực thi</w:t>
      </w:r>
      <w:bookmarkEnd w:id="129"/>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w:t>
      </w:r>
      <w:r>
        <w:rPr>
          <w:rFonts w:ascii="Times New Roman" w:eastAsia="Times New Roman" w:hAnsi="Times New Roman" w:cs="Times New Roman"/>
          <w:sz w:val="26"/>
          <w:szCs w:val="26"/>
        </w:rPr>
        <w:t xml:space="preserve">thực thi đối với mô hình AI còn phân mảnh. Câu hỏi cốt lõi về tính hợp pháp của dữ liệu huấn luyện chưa được một tòa án trả lời dứt khoát cho mọi kiến trúc. Bốn vụ dưới đây vẫn có ích vì mỗi vụ chốt một mảnh.</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4.3. Một số vụ việc thực thi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3723"/>
        <w:gridCol w:w="3498"/>
      </w:tblGrid>
      <w:tr>
        <w:trPr>
          <w:cantSplit/>
          <w:tblHeader/>
        </w:trPr>
        <w:tc>
          <w:tcPr>
            <w:tcW w:w="180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Vụ việc</w:t>
            </w:r>
          </w:p>
        </w:tc>
        <w:tc>
          <w:tcPr>
            <w:tcW w:w="372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Diễn </w:t>
            </w:r>
            <w:r>
              <w:rPr>
                <w:rFonts w:asciiTheme="majorHAnsi" w:hAnsiTheme="majorHAnsi" w:cstheme="majorHAnsi"/>
                <w:b/>
                <w:bCs/>
                <w:sz w:val="20"/>
                <w:szCs w:val="20"/>
              </w:rPr>
              <w:t xml:space="preserve">biến</w:t>
            </w:r>
          </w:p>
        </w:tc>
        <w:tc>
          <w:tcPr>
            <w:tcW w:w="349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0"/>
                <w:szCs w:val="20"/>
              </w:rPr>
              <w:t xml:space="preserve">Điều rút ra</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OpenAI tại Italy</w:t>
            </w:r>
          </w:p>
        </w:tc>
        <w:tc>
          <w:tcPr>
            <w:tcW w:w="37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Cơ quan bảo vệ dữ liệu phạt 15 triệu euro cuối năm 2024. Tòa Rome hủy quyết định ngày 18/3/2026 [18].</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Quyết định bị hủy vì lý do thẩm quyền. Tính hợp pháp của việc huấn luyện chưa được xét.</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Meta tại Đức</w:t>
            </w:r>
          </w:p>
        </w:tc>
        <w:tc>
          <w:tcPr>
            <w:tcW w:w="37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Tòa cấp cao </w:t>
            </w:r>
            <w:r>
              <w:rPr>
                <w:rFonts w:asciiTheme="majorHAnsi" w:hAnsiTheme="majorHAnsi" w:cstheme="majorHAnsi"/>
                <w:sz w:val="20"/>
                <w:szCs w:val="20"/>
              </w:rPr>
              <w:t xml:space="preserve">Cologne bác yêu cầu cấm Meta dùng dữ liệu công khai của người dùng để huấn luyện, tháng 5/2025 [24].</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Lợi ích chính đáng có thể được chấp nhận khi có thông báo trước và cơ chế từ chối.</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Clearview AI</w:t>
            </w:r>
          </w:p>
        </w:tc>
        <w:tc>
          <w:tcPr>
            <w:tcW w:w="37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Nhiều cơ quan châu Âu phạt việc thu ảnh khuôn mặt từ web. </w:t>
            </w:r>
            <w:r>
              <w:rPr>
                <w:rFonts w:asciiTheme="majorHAnsi" w:hAnsiTheme="majorHAnsi" w:cstheme="majorHAnsi"/>
                <w:sz w:val="20"/>
                <w:szCs w:val="20"/>
              </w:rPr>
              <w:t xml:space="preserve">Italy phạt 20 triệu euro năm 2022 [26].</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Dữ liệu công khai trên mạng vẫn là dữ liệu cá nhân.</w:t>
            </w:r>
          </w:p>
        </w:tc>
      </w:tr>
      <w:tr>
        <w:trPr>
          <w:cantSplit/>
        </w:trPr>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Everalbum, Hoa Kỳ</w:t>
            </w:r>
          </w:p>
        </w:tc>
        <w:tc>
          <w:tcPr>
            <w:tcW w:w="37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FTC buộc xóa mô hình nhận dạng khuôn mặt huấn luyện từ dữ liệu thu sai cách, năm </w:t>
            </w:r>
            <w:r>
              <w:rPr>
                <w:rFonts w:asciiTheme="majorHAnsi" w:hAnsiTheme="majorHAnsi" w:cstheme="majorHAnsi"/>
                <w:sz w:val="20"/>
                <w:szCs w:val="20"/>
              </w:rPr>
              <w:t xml:space="preserve">2021 [25].</w:t>
            </w:r>
          </w:p>
        </w:tc>
        <w:tc>
          <w:tcPr>
            <w:tcW w:w="34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0"/>
                <w:szCs w:val="20"/>
              </w:rPr>
              <w:t xml:space="preserve">Chế tài có thể nhắm vào chính mô hình, không chỉ </w:t>
            </w:r>
            <w:r>
              <w:rPr>
                <w:rFonts w:asciiTheme="majorHAnsi" w:hAnsiTheme="majorHAnsi" w:cstheme="majorHAnsi"/>
                <w:sz w:val="20"/>
                <w:szCs w:val="20"/>
              </w:rPr>
              <w:t xml:space="preserve">vào kho dữ liệu.</w:t>
            </w:r>
          </w:p>
        </w:tc>
      </w:tr>
    </w:tbl>
    <w:p>
      <w:pPr>
        <w:spacing w:after="80"/>
        <w:rPr>
          <w:rFonts w:ascii="Times New Roman" w:eastAsia="Times New Roman" w:hAnsi="Times New Roman" w:cs="Times New Roman"/>
          <w:sz w:val="26"/>
          <w:szCs w:val="26"/>
        </w:rPr>
      </w:pPr>
    </w:p>
    <w:p>
      <w:pPr>
        <w:pageBreakBefore/>
        <w:spacing w:after="0" w:line="312" w:lineRule="auto"/>
        <w:jc w:val="center"/>
        <w:outlineLvl w:val="0"/>
        <w:rPr>
          <w:rFonts w:ascii="Times New Roman" w:eastAsia="Times New Roman" w:hAnsi="Times New Roman" w:cs="Times New Roman"/>
          <w:b/>
          <w:bCs/>
          <w:sz w:val="32"/>
          <w:szCs w:val="32"/>
        </w:rPr>
      </w:pPr>
      <w:bookmarkStart w:id="130" w:name="_Toc900000130"/>
      <w:r>
        <w:rPr>
          <w:rFonts w:ascii="Times New Roman" w:eastAsia="Times New Roman" w:hAnsi="Times New Roman" w:cs="Times New Roman"/>
          <w:b/>
          <w:bCs/>
          <w:sz w:val="32"/>
          <w:szCs w:val="32"/>
        </w:rPr>
        <w:t xml:space="preserve">CHƯƠNG V. CÁC NGHIÊN CỨU TIÊU BIỂU VÀ CÂU HỎI VỀ MÔ HÌNH</w:t>
      </w:r>
      <w:bookmarkEnd w:id="130"/>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Bốn công trình dưới đây là cơ sở khoa học cho các quy định ở chương 3 và chương 4. Một công trình đặt câu hỏi pháp lý. Một công trình đo rủi ro. Hai công trình đề xuất giải pháp.</w:t>
      </w:r>
      <w:r>
        <w:rPr>
          <w:rFonts w:ascii="Times New Roman" w:eastAsia="Times New Roman" w:hAnsi="Times New Roman" w:cs="Times New Roman"/>
          <w:sz w:val="26"/>
          <w:szCs w:val="26"/>
        </w:rPr>
        <w:t xml:space="preserve"> Phần cuối chương áp kết quả đo rủi ro vào Điều 2 của luật Việt Nam.</w:t>
      </w:r>
    </w:p>
    <w:p>
      <w:pPr>
        <w:spacing w:after="0" w:line="312" w:lineRule="auto"/>
        <w:jc w:val="both"/>
        <w:outlineLvl w:val="1"/>
        <w:rPr>
          <w:rFonts w:ascii="Times New Roman" w:eastAsia="Times New Roman" w:hAnsi="Times New Roman" w:cs="Times New Roman"/>
          <w:b/>
          <w:bCs/>
          <w:sz w:val="28"/>
          <w:szCs w:val="28"/>
        </w:rPr>
      </w:pPr>
      <w:bookmarkStart w:id="131" w:name="_Toc900000131"/>
      <w:r>
        <w:rPr>
          <w:rFonts w:ascii="Times New Roman" w:eastAsia="Times New Roman" w:hAnsi="Times New Roman" w:cs="Times New Roman"/>
          <w:b/>
          <w:bCs/>
          <w:sz w:val="28"/>
          <w:szCs w:val="28"/>
        </w:rPr>
        <w:t xml:space="preserve">V.1. Veale, Binns và Edwards (2018)</w:t>
      </w:r>
      <w:bookmarkEnd w:id="131"/>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Bài “Algorithms that remember” xét xem một mô hình học máy có thể bị coi là dữ liệu cá nhân theo GDPR hay không [11]. Trước đó, mô hình thường chỉ được</w:t>
      </w:r>
      <w:r>
        <w:rPr>
          <w:rFonts w:ascii="Times New Roman" w:eastAsia="Times New Roman" w:hAnsi="Times New Roman" w:cs="Times New Roman"/>
          <w:sz w:val="26"/>
          <w:szCs w:val="26"/>
        </w:rPr>
        <w:t xml:space="preserve"> nhìn như tài sản trí tuệ. Đây là phân tích pháp lý, không có thực nghiệm riêng. Các tác giả dựa vào kết quả của ngành an toàn thông tin về đảo ngược mô hình và suy luận thành viên [15].</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luận chính là quá trình biến dữ liệu thành mô hình không phải một</w:t>
      </w:r>
      <w:r>
        <w:rPr>
          <w:rFonts w:ascii="Times New Roman" w:eastAsia="Times New Roman" w:hAnsi="Times New Roman" w:cs="Times New Roman"/>
          <w:sz w:val="26"/>
          <w:szCs w:val="26"/>
        </w:rPr>
        <w:t xml:space="preserve"> chiều. Nếu từ mô hình có thể suy ra thông tin về người trong tập huấn luyện, mô hình đó có thể được xếp là dữ liệu cá nhân. Hệ quả được nêu: người giữ mô hình có thể phải đáp ứng quyền truy cập, quyền xóa và quyền phản đối ngay trên mô hình. Nghĩa vụ bảo </w:t>
      </w:r>
      <w:r>
        <w:rPr>
          <w:rFonts w:ascii="Times New Roman" w:eastAsia="Times New Roman" w:hAnsi="Times New Roman" w:cs="Times New Roman"/>
          <w:sz w:val="26"/>
          <w:szCs w:val="26"/>
        </w:rPr>
        <w:t xml:space="preserve">mật và bảo vệ dữ liệu từ thiết kế cũng áp dụng. Việc chuyển giao hay bán mô hình trở thành chuyển giao dữ liệu cá nhân.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trình đi trước thực tiễn sáu năm. Ý kiến 28/2024 tiếp nhận đúng hướng lập luận này [6]. Hạn chế là bài báo ra đời trước thời mô hìn</w:t>
      </w:r>
      <w:r>
        <w:rPr>
          <w:rFonts w:ascii="Times New Roman" w:eastAsia="Times New Roman" w:hAnsi="Times New Roman" w:cs="Times New Roman"/>
          <w:sz w:val="26"/>
          <w:szCs w:val="26"/>
        </w:rPr>
        <w:t xml:space="preserve">h ngôn ngữ lớn và không nêu tiêu chí định lượng để biết khi nào một mô hình đủ dễ bị tấn công. Báo cáo dùng bài này như câu hỏi, rồi trả lời câu hỏi đó bằng Điều 2 và bằng số liệu của Carlini, không mượn kết luận của EDPB làm kết luận cho luật Việt Nam.</w:t>
      </w:r>
    </w:p>
    <w:p>
      <w:pPr>
        <w:spacing w:after="0" w:line="312" w:lineRule="auto"/>
        <w:jc w:val="both"/>
        <w:outlineLvl w:val="1"/>
        <w:rPr>
          <w:rFonts w:ascii="Times New Roman" w:eastAsia="Times New Roman" w:hAnsi="Times New Roman" w:cs="Times New Roman"/>
          <w:b/>
          <w:bCs/>
          <w:sz w:val="28"/>
          <w:szCs w:val="28"/>
        </w:rPr>
      </w:pPr>
      <w:bookmarkStart w:id="132" w:name="_Toc900000132"/>
      <w:r>
        <w:rPr>
          <w:rFonts w:ascii="Times New Roman" w:eastAsia="Times New Roman" w:hAnsi="Times New Roman" w:cs="Times New Roman"/>
          <w:b/>
          <w:bCs/>
          <w:sz w:val="28"/>
          <w:szCs w:val="28"/>
        </w:rPr>
        <w:t xml:space="preserve">V.2. Carlini và cộng sự (2021)</w:t>
      </w:r>
      <w:bookmarkEnd w:id="132"/>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trình công bố tại USENIX Security chứng minh rằng kẻ tấn công có thể lấy lại nguyên văn các mẫu huấn luyện chỉ bằng cách truy vấn mô hình ngôn ngữ [12]. Tấn công gồm hai bước. Bước một, cho mô hình sinh văn bản: 200.000 mẫ</w:t>
      </w:r>
      <w:r>
        <w:rPr>
          <w:rFonts w:ascii="Times New Roman" w:eastAsia="Times New Roman" w:hAnsi="Times New Roman" w:cs="Times New Roman"/>
          <w:sz w:val="26"/>
          <w:szCs w:val="26"/>
        </w:rPr>
        <w:t xml:space="preserve">u theo mỗi chiến lược trong ba chiến lược sinh. Bước hai, xếp hạng các mẫu bằng sáu thước đo suy luận thành viên để tìm mẫu có khả năng bị ghi nhớ. Nhóm kiểm tra thủ công 100 mẫu đứng đầu của mỗi cấu hình, tổng cộng 1.800 mẫu.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hình bị tấn công là GPT-2,</w:t>
      </w:r>
      <w:r>
        <w:rPr>
          <w:rFonts w:ascii="Times New Roman" w:eastAsia="Times New Roman" w:hAnsi="Times New Roman" w:cs="Times New Roman"/>
          <w:sz w:val="26"/>
          <w:szCs w:val="26"/>
        </w:rPr>
        <w:t xml:space="preserve"> huấn luyện trên dữ liệu thu từ Internet công khai. Ba kích cỡ được so sánh, từ 117 triệu đến 1,5 tỷ tham số. Kết quả: 604 trong 1.800 mẫu ứng viên là mẫu huấn luyện bị nhớ nguyên văn, tức 33,5%. Trong đó có 46 mẫu chứa tên cá nhân không thuộc tin tức, và </w:t>
      </w:r>
      <w:r>
        <w:rPr>
          <w:rFonts w:ascii="Times New Roman" w:eastAsia="Times New Roman" w:hAnsi="Times New Roman" w:cs="Times New Roman"/>
          <w:sz w:val="26"/>
          <w:szCs w:val="26"/>
        </w:rPr>
        <w:t xml:space="preserve">32 mẫu chứa thông tin liên lạc như địa chỉ, thư điện tử, số điện thoại. Có mẫu bị ghi nhớ dù chỉ xuất hiện trong một tài liệu huấn luyện duy nhất. Mô hình càng lớn càng ghi nhớ nhiều.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trình biến một lo ngại lý thuyết thành bằng chứng đo được, và đưa r</w:t>
      </w:r>
      <w:r>
        <w:rPr>
          <w:rFonts w:ascii="Times New Roman" w:eastAsia="Times New Roman" w:hAnsi="Times New Roman" w:cs="Times New Roman"/>
          <w:sz w:val="26"/>
          <w:szCs w:val="26"/>
        </w:rPr>
        <w:t xml:space="preserve">a khái niệm ghi nhớ k-eidetic để đo mức nghiêm trọng. Hạn chế cần giữ khi dùng con số này: GPT-2 nhỏ so với mô hình đang triển khai, số mẫu trích được rất nhỏ so với toàn bộ tập huấn luyện, và khâu xác minh còn thủ công. Nasr và cộng sự năm 2023 cho thấy t</w:t>
      </w:r>
      <w:r>
        <w:rPr>
          <w:rFonts w:ascii="Times New Roman" w:eastAsia="Times New Roman" w:hAnsi="Times New Roman" w:cs="Times New Roman"/>
          <w:sz w:val="26"/>
          <w:szCs w:val="26"/>
        </w:rPr>
        <w:t xml:space="preserve">ấn công cùng kiểu còn chạy được trên mô hình thương mại đang phục vụ [17]. Con số 33,5% vì vậy là một sàn thực nghiệm. Nó đủ để bác câu “học xong thì hết là dữ liệu cá nhân”. Nó không đủ để kết luận mọi kiến trúc đều ghi nhớ như GPT-2.</w:t>
      </w:r>
    </w:p>
    <w:p>
      <w:pPr>
        <w:spacing w:after="0" w:line="312" w:lineRule="auto"/>
        <w:jc w:val="both"/>
        <w:outlineLvl w:val="1"/>
        <w:rPr>
          <w:rFonts w:ascii="Times New Roman" w:eastAsia="Times New Roman" w:hAnsi="Times New Roman" w:cs="Times New Roman"/>
          <w:b/>
          <w:bCs/>
          <w:sz w:val="28"/>
          <w:szCs w:val="28"/>
        </w:rPr>
      </w:pPr>
      <w:bookmarkStart w:id="133" w:name="_Toc900000133"/>
      <w:r>
        <w:rPr>
          <w:rFonts w:ascii="Times New Roman" w:eastAsia="Times New Roman" w:hAnsi="Times New Roman" w:cs="Times New Roman"/>
          <w:b/>
          <w:bCs/>
          <w:sz w:val="28"/>
          <w:szCs w:val="28"/>
        </w:rPr>
        <w:t xml:space="preserve">V.3. Abadi và cộng sự (2016)</w:t>
      </w:r>
      <w:bookmarkEnd w:id="133"/>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Bài tại ACM CCS đưa ra cách huấn luyện mạng nơ-ron sâu với bảo đảm riêng tư vi phân ở mức chi phí riêng tư vừa phải [13]. Thuật toán DP-SGD thay đổi bước cập nhật của gradient descent ngẫu nhiên: cắt chuẩn gradient của từng mẫu rồi cộng nhiễu Gaus</w:t>
      </w:r>
      <w:r>
        <w:rPr>
          <w:rFonts w:ascii="Times New Roman" w:eastAsia="Times New Roman" w:hAnsi="Times New Roman" w:cs="Times New Roman"/>
          <w:sz w:val="26"/>
          <w:szCs w:val="26"/>
        </w:rPr>
        <w:t xml:space="preserve">s. Đóng góp thứ hai là moments accountant, cách tính tổng chi phí riêng tư qua nhiều bước huấn luyện chặt hơn các định lý hợp thành trước đó.</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Thí nghiệm chạy trên MNIST và CIFAR-10, cài đặt bằng TensorFlow. Độ chính xác giảm khi bảo đảm chặt hơn, tức khi ε</w:t>
      </w:r>
      <w:r>
        <w:rPr>
          <w:rFonts w:ascii="Times New Roman" w:eastAsia="Times New Roman" w:hAnsi="Times New Roman" w:cs="Times New Roman"/>
          <w:sz w:val="26"/>
          <w:szCs w:val="26"/>
        </w:rPr>
        <w:t xml:space="preserve"> nhỏ hơn, với δ bằng 10 mũ −5.</w:t>
      </w:r>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5.1. Độ chính xác của DP-SGD trên MNIST và CIFAR-10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57"/>
        <w:gridCol w:w="1693"/>
        <w:gridCol w:w="2538"/>
        <w:gridCol w:w="2538"/>
      </w:tblGrid>
      <w:tr>
        <w:trPr>
          <w:cantSplit/>
          <w:tblHeader/>
        </w:trPr>
        <w:tc>
          <w:tcPr>
            <w:tcW w:w="2257"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Bộ dữ liệu</w:t>
            </w:r>
          </w:p>
        </w:tc>
        <w:tc>
          <w:tcPr>
            <w:tcW w:w="1693"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ε</w:t>
            </w:r>
          </w:p>
        </w:tc>
        <w:tc>
          <w:tcPr>
            <w:tcW w:w="253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Có DP-SGD</w:t>
            </w:r>
          </w:p>
        </w:tc>
        <w:tc>
          <w:tcPr>
            <w:tcW w:w="253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24"/>
                <w:szCs w:val="24"/>
              </w:rPr>
              <w:t xml:space="preserve">Không áp dụng</w:t>
            </w:r>
          </w:p>
        </w:tc>
      </w:tr>
      <w:tr>
        <w:trPr>
          <w:cantSplit/>
        </w:trPr>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MNIST</w:t>
            </w:r>
          </w:p>
        </w:tc>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0,5</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90%</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98,3%</w:t>
            </w:r>
          </w:p>
        </w:tc>
      </w:tr>
      <w:tr>
        <w:trPr>
          <w:cantSplit/>
        </w:trPr>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MNIST</w:t>
            </w:r>
          </w:p>
        </w:tc>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2</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95%</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98,3%</w:t>
            </w:r>
          </w:p>
        </w:tc>
      </w:tr>
      <w:tr>
        <w:trPr>
          <w:cantSplit/>
        </w:trPr>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MNIST</w:t>
            </w:r>
          </w:p>
        </w:tc>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8</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97%</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98,3%</w:t>
            </w:r>
          </w:p>
        </w:tc>
      </w:tr>
      <w:tr>
        <w:trPr>
          <w:cantSplit/>
        </w:trPr>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CIFAR-10</w:t>
            </w:r>
          </w:p>
        </w:tc>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2</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67%</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khoảng 80%</w:t>
            </w:r>
          </w:p>
        </w:tc>
      </w:tr>
      <w:tr>
        <w:trPr>
          <w:cantSplit/>
        </w:trPr>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CIFAR-10</w:t>
            </w:r>
          </w:p>
        </w:tc>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4</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70%</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khoảng 80%</w:t>
            </w:r>
          </w:p>
        </w:tc>
      </w:tr>
      <w:tr>
        <w:trPr>
          <w:cantSplit/>
        </w:trPr>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CIFAR-10</w:t>
            </w:r>
          </w:p>
        </w:tc>
        <w:tc>
          <w:tcPr>
            <w:tcW w:w="1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8</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73%</w:t>
            </w:r>
          </w:p>
        </w:tc>
        <w:tc>
          <w:tcPr>
            <w:tcW w:w="2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24"/>
                <w:szCs w:val="24"/>
              </w:rPr>
              <w:t xml:space="preserve">khoảng 80%</w:t>
            </w:r>
          </w:p>
        </w:tc>
      </w:tr>
    </w:tbl>
    <w:p>
      <w:pPr>
        <w:spacing w:after="80"/>
        <w:rPr>
          <w:rFonts w:ascii="Times New Roman" w:eastAsia="Times New Roman" w:hAnsi="Times New Roman" w:cs="Times New Roman"/>
          <w:sz w:val="26"/>
          <w:szCs w:val="26"/>
        </w:rPr>
      </w:pPr>
    </w:p>
    <w:p>
      <w:pPr>
        <w:spacing w:after="160"/>
        <w:ind w:left="360"/>
        <w:jc w:val="both"/>
      </w:pPr>
      <w:r>
        <w:rPr>
          <w:rFonts w:ascii="Times New Roman" w:eastAsia="Times New Roman" w:hAnsi="Times New Roman" w:cs="Times New Roman"/>
          <w:i/>
          <w:iCs/>
          <w:sz w:val="22"/>
          <w:szCs w:val="22"/>
        </w:rPr>
        <w:t xml:space="preserve">Nguồn: Abadi và cộng sự, 2016 [13]. δ = 10⁻⁵.</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Đây là nền tảng của nhiều thư viện huấn luyện riêng tư hiện nay, và là biện pháp tiêu biểu đem lại bảo đảm toán học trước tấn công kiểu T6. Hạn chế: bài toán thử nghiệm nhỏ; khoảng cách độ chính xá</w:t>
      </w:r>
      <w:r>
        <w:rPr>
          <w:rFonts w:ascii="Times New Roman" w:eastAsia="Times New Roman" w:hAnsi="Times New Roman" w:cs="Times New Roman"/>
          <w:sz w:val="26"/>
          <w:szCs w:val="26"/>
        </w:rPr>
        <w:t xml:space="preserve">c tăng theo độ khó, từ khoảng 1,3 điểm phần trăm trên MNIST ở ε bằng 8 lên khoảng 7 điểm trên CIFAR-10; kết quả CIFAR-10 dựa vào các lớp tích chập đã huấn luyện trước trên dữ liệu công khai; tính gradient từng mẫu làm tăng chi phí. DP-SGD phải bật từ lúc h</w:t>
      </w:r>
      <w:r>
        <w:rPr>
          <w:rFonts w:ascii="Times New Roman" w:eastAsia="Times New Roman" w:hAnsi="Times New Roman" w:cs="Times New Roman"/>
          <w:sz w:val="26"/>
          <w:szCs w:val="26"/>
        </w:rPr>
        <w:t xml:space="preserve">uấn luyện. Gắn sau thì không còn tác dụng. Không văn bản nào trong khảo sát quy một giá trị ε về câu “không đáng kể” của EDPB.</w:t>
      </w:r>
    </w:p>
    <w:p>
      <w:pPr>
        <w:spacing w:after="0" w:line="312" w:lineRule="auto"/>
        <w:jc w:val="both"/>
        <w:outlineLvl w:val="1"/>
        <w:rPr>
          <w:rFonts w:ascii="Times New Roman" w:eastAsia="Times New Roman" w:hAnsi="Times New Roman" w:cs="Times New Roman"/>
          <w:b/>
          <w:bCs/>
          <w:sz w:val="28"/>
          <w:szCs w:val="28"/>
        </w:rPr>
      </w:pPr>
      <w:bookmarkStart w:id="134" w:name="_Toc900000134"/>
      <w:r>
        <w:rPr>
          <w:rFonts w:ascii="Times New Roman" w:eastAsia="Times New Roman" w:hAnsi="Times New Roman" w:cs="Times New Roman"/>
          <w:b/>
          <w:bCs/>
          <w:sz w:val="28"/>
          <w:szCs w:val="28"/>
        </w:rPr>
        <w:t xml:space="preserve">V.4. Bourtoule và cộng sự (2021)</w:t>
      </w:r>
      <w:bookmarkEnd w:id="134"/>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Bài tại IEEE Symposium on Security and Privacy nhằm đáp ứng yêu cầu xóa dữ liệu mà không phải hu</w:t>
      </w:r>
      <w:r>
        <w:rPr>
          <w:rFonts w:ascii="Times New Roman" w:eastAsia="Times New Roman" w:hAnsi="Times New Roman" w:cs="Times New Roman"/>
          <w:sz w:val="26"/>
          <w:szCs w:val="26"/>
        </w:rPr>
        <w:t xml:space="preserve">ấn luyện lại toàn bộ mô hình [14]. Động cơ pháp lý được nêu thẳng: quyền được xóa. Khung SISA gồm bốn ý. Chia tập dữ liệu thành các mảnh. Huấn luyện một mô hình con độc lập trên mỗi mảnh. Chia mỗi mảnh thành các lát và lưu trạng thái sau mỗi lát. Tổng hợp </w:t>
      </w:r>
      <w:r>
        <w:rPr>
          <w:rFonts w:ascii="Times New Roman" w:eastAsia="Times New Roman" w:hAnsi="Times New Roman" w:cs="Times New Roman"/>
          <w:sz w:val="26"/>
          <w:szCs w:val="26"/>
        </w:rPr>
        <w:t xml:space="preserve">dự đoán của các mô hình con. Khi cần xóa một điểm, chỉ mô hình con chứa điểm đó được học lại, bắt đầu từ trạng thái ngay trước lát chứa nó.</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Trên Purchase, SVHN và ImageNet, SISA xóa nhanh hơn huấn luyện lại từ đầu lần lượt 4,63 lần, 2,45 lần và 1,36 lần. V</w:t>
      </w:r>
      <w:r>
        <w:rPr>
          <w:rFonts w:ascii="Times New Roman" w:eastAsia="Times New Roman" w:hAnsi="Times New Roman" w:cs="Times New Roman"/>
          <w:sz w:val="26"/>
          <w:szCs w:val="26"/>
        </w:rPr>
        <w:t xml:space="preserve">ới ImageNet, độ chính xác giảm và phải nhờ học chuyển giao để bù. SISA là quên chính xác: mô hình sau khi xóa tương đương mô hình chưa từng thấy điểm dữ liệu đó, nên dễ chứng minh với cơ quan quản lý hơn một thuật toán xấp xỉ. Hạn chế quyết định chỗ dùng đ</w:t>
      </w:r>
      <w:r>
        <w:rPr>
          <w:rFonts w:ascii="Times New Roman" w:eastAsia="Times New Roman" w:hAnsi="Times New Roman" w:cs="Times New Roman"/>
          <w:sz w:val="26"/>
          <w:szCs w:val="26"/>
        </w:rPr>
        <w:t xml:space="preserve">ược: phải thiết kế từ đầu, không gắn vào mô hình đã huấn luyện nguyên khối; lợi ích giảm mạnh khi bài toán khó; mỗi mô hình con của một mô hình nền rất lớn thường cần toàn bộ dữ liệu để đạt chất lượng, nên khung này chưa phải quy trình mặc định cho mô hình</w:t>
      </w:r>
      <w:r>
        <w:rPr>
          <w:rFonts w:ascii="Times New Roman" w:eastAsia="Times New Roman" w:hAnsi="Times New Roman" w:cs="Times New Roman"/>
          <w:sz w:val="26"/>
          <w:szCs w:val="26"/>
        </w:rPr>
        <w:t xml:space="preserve"> ngôn ngữ đang triển khai.</w:t>
      </w:r>
    </w:p>
    <w:p>
      <w:pPr>
        <w:spacing w:after="0" w:line="312" w:lineRule="auto"/>
        <w:jc w:val="both"/>
        <w:outlineLvl w:val="1"/>
        <w:rPr>
          <w:rFonts w:ascii="Times New Roman" w:eastAsia="Times New Roman" w:hAnsi="Times New Roman" w:cs="Times New Roman"/>
          <w:b/>
          <w:bCs/>
          <w:sz w:val="28"/>
          <w:szCs w:val="28"/>
        </w:rPr>
      </w:pPr>
      <w:bookmarkStart w:id="135" w:name="_Toc900000135"/>
      <w:r>
        <w:rPr>
          <w:rFonts w:ascii="Times New Roman" w:eastAsia="Times New Roman" w:hAnsi="Times New Roman" w:cs="Times New Roman"/>
          <w:b/>
          <w:bCs/>
          <w:sz w:val="28"/>
          <w:szCs w:val="28"/>
        </w:rPr>
        <w:t xml:space="preserve">V.5. Mô hình đã huấn luyện theo Điều 2</w:t>
      </w:r>
      <w:bookmarkEnd w:id="135"/>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Câu “mô hình đã học xong còn là dữ liệu cá nhân hay không” được gom về một chỗ và trả lời bằng luật Việt Nam.</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2 khoản 1 định nghĩa dữ liệu cá nhân là dữ liệu xác định hoặc giúp xác </w:t>
      </w:r>
      <w:r>
        <w:rPr>
          <w:rFonts w:ascii="Times New Roman" w:eastAsia="Times New Roman" w:hAnsi="Times New Roman" w:cs="Times New Roman"/>
          <w:sz w:val="26"/>
          <w:szCs w:val="26"/>
        </w:rPr>
        <w:t xml:space="preserve">định một người cụ thể. Câu cuối của khoản này: dữ liệu sau khi khử nhận dạng không còn là dữ liệu cá nhân. Khoản 11 định nghĩa khử nhận dạng là tạo ra dữ liệu mới không thể xác định hoặc không thể giúp xác định một người. Điều 12 khoản 1 giữ dữ liệu đã mã </w:t>
      </w:r>
      <w:r>
        <w:rPr>
          <w:rFonts w:ascii="Times New Roman" w:eastAsia="Times New Roman" w:hAnsi="Times New Roman" w:cs="Times New Roman"/>
          <w:sz w:val="26"/>
          <w:szCs w:val="26"/>
        </w:rPr>
        <w:t xml:space="preserve">hóa trong định nghĩa. Trọng số không đứng ngoài định nghĩa chỉ vì nó không còn là một dòng trong bảng.</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Đặt kết quả của Carlini vào định nghĩa đó. Nếu từ mô hình, bằng truy vấn, lấy lại được tên và thông tin liên lạc của một người cụ thể, thì mô hình đang g</w:t>
      </w:r>
      <w:r>
        <w:rPr>
          <w:rFonts w:ascii="Times New Roman" w:eastAsia="Times New Roman" w:hAnsi="Times New Roman" w:cs="Times New Roman"/>
          <w:sz w:val="26"/>
          <w:szCs w:val="26"/>
        </w:rPr>
        <w:t xml:space="preserve">iúp xác định người đó. Một mô hình còn bị trích xuất được thì chưa qua ngưỡng khử nhận dạng của khoản 11. Mã hóa file trọng số cũng không đẩy mô hình ra khỏi định nghĩa.</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quả đi theo khoản 6, không cần mượn GDPR. Lưu trọng số, nếu mô hình còn giúp xác đị</w:t>
      </w:r>
      <w:r>
        <w:rPr>
          <w:rFonts w:ascii="Times New Roman" w:eastAsia="Times New Roman" w:hAnsi="Times New Roman" w:cs="Times New Roman"/>
          <w:sz w:val="26"/>
          <w:szCs w:val="26"/>
        </w:rPr>
        <w:t xml:space="preserve">nh người, là lưu dữ liệu cá nhân. Chuyển file cho bên khác là chuyển giao. Đặt mô hình trên nền tảng ngoài lãnh thổ để xử lý dữ liệu thu tại Việt Nam rơi vào Điều 20 khoản 1 điểm c. Truy vấn và nhận về tên, thư điện tử, số điện thoại là một hoạt động tác đ</w:t>
      </w:r>
      <w:r>
        <w:rPr>
          <w:rFonts w:ascii="Times New Roman" w:eastAsia="Times New Roman" w:hAnsi="Times New Roman" w:cs="Times New Roman"/>
          <w:sz w:val="26"/>
          <w:szCs w:val="26"/>
        </w:rPr>
        <w:t xml:space="preserve">ộng đến dữ liệu. Nghị định 356 còn nói thẳng hơn ở đầu ra: kết quả suy luận giúp xác định một người phải được bảo vệ như dữ liệu cá nhân [2].</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EDPB đi cùng hướng, với chuẩn riêng của EU là cả hai khả năng trích xuất đều không đáng kể và phải có hồ sơ [6]. L</w:t>
      </w:r>
      <w:r>
        <w:rPr>
          <w:rFonts w:ascii="Times New Roman" w:eastAsia="Times New Roman" w:hAnsi="Times New Roman" w:cs="Times New Roman"/>
          <w:sz w:val="26"/>
          <w:szCs w:val="26"/>
        </w:rPr>
        <w:t xml:space="preserve">uật Việt Nam chưa chép chuẩn đó. Điều 2 vẫn đủ để không được mặc định rằng đã huấn luyện xong thì hết là dữ liệu cá nhân.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Giới hạn của lập luận cần nói rõ. Carlini đo trên GPT-2, không đo trên mọi kiến trúc. Một mô hình phân loại đã qua riêng tư vi </w:t>
      </w:r>
      <w:r>
        <w:rPr>
          <w:rFonts w:ascii="Times New Roman" w:eastAsia="Times New Roman" w:hAnsi="Times New Roman" w:cs="Times New Roman"/>
          <w:sz w:val="26"/>
          <w:szCs w:val="26"/>
        </w:rPr>
        <w:t xml:space="preserve">phân, hoặc một mô hình chỉ xuất nhãn lớp và đã được thử trích xuất mà không ra dữ liệu định danh, có thể rơi về phía đã khử nhận dạng. Luật chưa đưa ngưỡng số. Việc chứng minh thuộc về bên giữ mô hình, cùng kiểu hồ sơ đánh giá tác động ở Điều 21.</w:t>
      </w:r>
    </w:p>
    <w:p>
      <w:pPr>
        <w:pageBreakBefore/>
        <w:spacing w:after="0" w:line="312" w:lineRule="auto"/>
        <w:jc w:val="center"/>
        <w:outlineLvl w:val="0"/>
        <w:rPr>
          <w:rFonts w:ascii="Times New Roman" w:eastAsia="Times New Roman" w:hAnsi="Times New Roman" w:cs="Times New Roman"/>
          <w:b/>
          <w:bCs/>
          <w:sz w:val="32"/>
          <w:szCs w:val="32"/>
        </w:rPr>
      </w:pPr>
      <w:bookmarkStart w:id="136" w:name="_Toc900000136"/>
      <w:r>
        <w:rPr>
          <w:rFonts w:ascii="Times New Roman" w:eastAsia="Times New Roman" w:hAnsi="Times New Roman" w:cs="Times New Roman"/>
          <w:b/>
          <w:bCs/>
          <w:sz w:val="32"/>
          <w:szCs w:val="32"/>
        </w:rPr>
        <w:t xml:space="preserve">CHƯƠNG VI. SO SÁNH VÀ ĐÁNH GIÁ</w:t>
      </w:r>
      <w:bookmarkEnd w:id="136"/>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khung thống nhất về nguyên tắc quản lý theo rủi ro và về yêu cầu minh bạch. Chúng khác nhau ở căn cứ xử lý mặc định. Các nghiên cứu kỹ thuật mới đáp ứng được một phần yêu cầu của luật, và chỉ khi được chọn từ đầu.</w:t>
      </w:r>
    </w:p>
    <w:p>
      <w:pPr>
        <w:spacing w:after="0" w:line="312" w:lineRule="auto"/>
        <w:jc w:val="both"/>
        <w:outlineLvl w:val="1"/>
        <w:rPr>
          <w:rFonts w:ascii="Times New Roman" w:eastAsia="Times New Roman" w:hAnsi="Times New Roman" w:cs="Times New Roman"/>
          <w:b/>
          <w:bCs/>
          <w:sz w:val="28"/>
          <w:szCs w:val="28"/>
        </w:rPr>
      </w:pPr>
      <w:bookmarkStart w:id="137" w:name="_Toc900000137"/>
      <w:r>
        <w:rPr>
          <w:rFonts w:ascii="Times New Roman" w:eastAsia="Times New Roman" w:hAnsi="Times New Roman" w:cs="Times New Roman"/>
          <w:b/>
          <w:bCs/>
          <w:sz w:val="28"/>
          <w:szCs w:val="28"/>
        </w:rPr>
        <w:t xml:space="preserve">VI.1. So sánh các khung pháp luật</w:t>
      </w:r>
      <w:bookmarkEnd w:id="137"/>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6.1. So sánh khung pháp luật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67"/>
        <w:gridCol w:w="1974"/>
        <w:gridCol w:w="1974"/>
        <w:gridCol w:w="1805"/>
        <w:gridCol w:w="1806"/>
      </w:tblGrid>
      <w:tr>
        <w:trPr>
          <w:cantSplit/>
          <w:tblHeader/>
        </w:trPr>
        <w:tc>
          <w:tcPr>
            <w:tcW w:w="1467"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Tiêu chí</w:t>
            </w:r>
          </w:p>
        </w:tc>
        <w:tc>
          <w:tcPr>
            <w:tcW w:w="197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Việt Nam</w:t>
            </w:r>
          </w:p>
        </w:tc>
        <w:tc>
          <w:tcPr>
            <w:tcW w:w="197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EU</w:t>
            </w:r>
          </w:p>
        </w:tc>
        <w:tc>
          <w:tcPr>
            <w:tcW w:w="180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Hoa Kỳ</w:t>
            </w:r>
          </w:p>
        </w:tc>
        <w:tc>
          <w:tcPr>
            <w:tcW w:w="1806"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Trung Quốc</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Văn bản chính</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Luật 91/2025, Nghị định 356/2025, Luật AI 134/2025.</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GDPR và Đạo luật AI.</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Luật bang; FTC thực thi luật chống lừa dối.</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PIPL và biện pháp tạm thời về </w:t>
            </w:r>
            <w:r>
              <w:rPr>
                <w:rFonts w:asciiTheme="majorHAnsi" w:hAnsiTheme="majorHAnsi" w:cstheme="majorHAnsi"/>
                <w:sz w:val="18"/>
                <w:szCs w:val="18"/>
              </w:rPr>
              <w:t xml:space="preserve">AI tạo sinh.</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Căn cứ mặc định</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Đồng ý. Ngoại lệ hẹp tại Điều 19, có kèm chứng minh ở nhánh lợi ích chính đáng.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Sáu căn cứ ngang nhau, trong đó có lợi ích chính đáng.</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Thông báo và quyền từ chối.</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Đồng ý là trung tâm. Không có lợi ích chính đáng kiểu GDPR.</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w:t>
            </w:r>
            <w:r>
              <w:rPr>
                <w:rFonts w:asciiTheme="majorHAnsi" w:hAnsiTheme="majorHAnsi" w:cstheme="majorHAnsi"/>
                <w:sz w:val="18"/>
                <w:szCs w:val="18"/>
              </w:rPr>
              <w:t xml:space="preserve">ều riêng cho AI trong luật dữ liệu</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Có: Điều 30 và Điều 10 Nghị định 356.</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Diễn giải qua EDPB.</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Quy định về quyết định tự động ở một số bang.</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Văn bản riêng về AI tạo sinh.</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Dữ liệu công khai trên mạng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Chưa có hướng dẫn riêng cho huấn luyện. Năm </w:t>
            </w:r>
            <w:r>
              <w:rPr>
                <w:rFonts w:asciiTheme="majorHAnsi" w:hAnsiTheme="majorHAnsi" w:cstheme="majorHAnsi"/>
                <w:sz w:val="18"/>
                <w:szCs w:val="18"/>
              </w:rPr>
              <w:t xml:space="preserve">nhánh Điều 19 không mở cửa thu web quy mô lớn.</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Vẫn là dữ liệu cá nhân. Xét theo phép thử ba bước.</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Luật bang thường loại thông tin công khai khỏi phạm vi.</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Được xử lý trong phạm vi hợp lý, theo nguồn thứ cấp [20].</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Quyền trước quyết định tự động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Được </w:t>
            </w:r>
            <w:r>
              <w:rPr>
                <w:rFonts w:asciiTheme="majorHAnsi" w:hAnsiTheme="majorHAnsi" w:cstheme="majorHAnsi"/>
                <w:sz w:val="18"/>
                <w:szCs w:val="18"/>
              </w:rPr>
              <w:t xml:space="preserve">thông báo, giải thích, chọn không tham gia.</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bị quyết định hoàn toàn tự động có ảnh hưởng đáng kể (Điều 22).</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California: thông báo trước và quyền từ chối.</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Yêu cầu giải thích và từ chối quyết định chỉ dựa trên xử lý tự động.</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Đánh giá tác động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Bắt buộc</w:t>
            </w:r>
            <w:r>
              <w:rPr>
                <w:rFonts w:asciiTheme="majorHAnsi" w:hAnsiTheme="majorHAnsi" w:cstheme="majorHAnsi"/>
                <w:sz w:val="18"/>
                <w:szCs w:val="18"/>
              </w:rPr>
              <w:t xml:space="preserve">. Gửi cơ quan trong 60 ngày.</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Bắt buộc khi rủi ro cao. Không nộp thường xuyên.</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California: đánh giá rủi ro với xử lý đáng kể.</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Bắt buộc với dữ liệu nhạy cảm và quyết định tự động.</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Chuyển ra nước ngoài</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Hồ sơ đánh giá tác động. Gồm cả dùng nền tảng ngoài </w:t>
            </w:r>
            <w:r>
              <w:rPr>
                <w:rFonts w:asciiTheme="majorHAnsi" w:hAnsiTheme="majorHAnsi" w:cstheme="majorHAnsi"/>
                <w:sz w:val="18"/>
                <w:szCs w:val="18"/>
              </w:rPr>
              <w:t xml:space="preserve">lãnh thổ.</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Quyết định thỏa đáng hoặc điều khoản hợp đồng mẫu.</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có cơ chế chung.</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Đánh giá an ninh, hợp đồng mẫu hoặc chứng nhận.</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Mức phạt cao</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5% doanh thu năm trước; 10 lần khoản thu từ mua bán dữ liệu.</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4% doanh thu toàn cầu (GDPR); 7% (Đạo luật </w:t>
            </w:r>
            <w:r>
              <w:rPr>
                <w:rFonts w:asciiTheme="majorHAnsi" w:hAnsiTheme="majorHAnsi" w:cstheme="majorHAnsi"/>
                <w:sz w:val="18"/>
                <w:szCs w:val="18"/>
              </w:rPr>
              <w:t xml:space="preserve">AI).</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Theo từng bang và từng vi phạm.</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5% doanh thu năm trước hoặc 50 triệu nhân dân tệ.</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Cơ quan thực thi</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Bộ Công an. Bộ Khoa học và Công nghệ với AI.</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Cơ quan bảo vệ dữ liệu từng nước. EDPB điều phối.</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FTC và tổng chưởng lý các bang.</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Cơ quan quản lý không gi</w:t>
            </w:r>
            <w:r>
              <w:rPr>
                <w:rFonts w:asciiTheme="majorHAnsi" w:hAnsiTheme="majorHAnsi" w:cstheme="majorHAnsi"/>
                <w:sz w:val="18"/>
                <w:szCs w:val="18"/>
              </w:rPr>
              <w:t xml:space="preserve">an mạng.</w:t>
            </w:r>
          </w:p>
        </w:tc>
      </w:tr>
    </w:tbl>
    <w:p>
      <w:pPr>
        <w:spacing w:after="80"/>
        <w:rPr>
          <w:rFonts w:ascii="Times New Roman" w:eastAsia="Times New Roman" w:hAnsi="Times New Roman" w:cs="Times New Roman"/>
          <w:sz w:val="26"/>
          <w:szCs w:val="26"/>
        </w:rPr>
      </w:pPr>
    </w:p>
    <w:p>
      <w:pPr>
        <w:spacing w:after="160"/>
        <w:ind w:left="360"/>
        <w:jc w:val="both"/>
      </w:pPr>
      <w:r>
        <w:rPr>
          <w:rFonts w:ascii="Times New Roman" w:eastAsia="Times New Roman" w:hAnsi="Times New Roman" w:cs="Times New Roman"/>
          <w:i/>
          <w:iCs/>
          <w:sz w:val="22"/>
          <w:szCs w:val="22"/>
        </w:rPr>
        <w:t xml:space="preserve">Nguồn: [1][2][3][5][6][7][19][20]. Cột Hoa Kỳ và Trung Quốc ở mức khái quát, qua nguồn thứ cấp.</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điểm giống nhau có ảnh hưởng trực tiếp tới người làm mô hình: quản lý theo mức rủi ro, yêu cầu minh bạch với xử lý tự động, và mức phạt gắn với </w:t>
      </w:r>
      <w:r>
        <w:rPr>
          <w:rFonts w:ascii="Times New Roman" w:eastAsia="Times New Roman" w:hAnsi="Times New Roman" w:cs="Times New Roman"/>
          <w:sz w:val="26"/>
          <w:szCs w:val="26"/>
        </w:rPr>
        <w:t xml:space="preserve">doanh thu ở Việt Nam, EU và Trung Quốc. Ba điểm khác nhau lớn hơn.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căn cứ xử lý, EU và hướng dẫn của Hàn Quốc mở đường cho lợi ích chính đáng kèm phép thử. Việt Nam và Trung Quốc dựa vào đồng ý. Hoa Kỳ dựa vào thông báo và quyền từ chối. Khác biệt này q</w:t>
      </w:r>
      <w:r>
        <w:rPr>
          <w:rFonts w:ascii="Times New Roman" w:eastAsia="Times New Roman" w:hAnsi="Times New Roman" w:cs="Times New Roman"/>
          <w:sz w:val="26"/>
          <w:szCs w:val="26"/>
        </w:rPr>
        <w:t xml:space="preserve">uyết định loại dữ liệu được đưa vào tập học.</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mức độ diễn giải, chỉ EU có văn bản chính thức nói khi nào một mô hình là ẩn danh. Pháp luật Việt Nam chưa chép chuẩn đó, nhưng Điều 2 vẫn đủ để xét từng mô hình, như chương 5 đã làm.</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cách giám sát, Việt N</w:t>
      </w:r>
      <w:r>
        <w:rPr>
          <w:rFonts w:ascii="Times New Roman" w:eastAsia="Times New Roman" w:hAnsi="Times New Roman" w:cs="Times New Roman"/>
          <w:sz w:val="26"/>
          <w:szCs w:val="26"/>
        </w:rPr>
        <w:t xml:space="preserve">am yêu cầu nộp hồ sơ đánh giá tác động cho cơ quan nhà nước. EU để doanh nghiệp tự lưu hồ sơ và xuất trình khi bị kiểm tra. Cùng một nghĩa vụ đánh giá tác động, chi phí tuân thủ và rủi ro chậm hồ sơ vì vậy khác nhau.</w:t>
      </w:r>
    </w:p>
    <w:p>
      <w:pPr>
        <w:spacing w:after="0" w:line="312" w:lineRule="auto"/>
        <w:jc w:val="both"/>
        <w:outlineLvl w:val="1"/>
        <w:rPr>
          <w:rFonts w:ascii="Times New Roman" w:eastAsia="Times New Roman" w:hAnsi="Times New Roman" w:cs="Times New Roman"/>
          <w:b/>
          <w:bCs/>
          <w:sz w:val="28"/>
          <w:szCs w:val="28"/>
        </w:rPr>
      </w:pPr>
      <w:bookmarkStart w:id="138" w:name="_Toc900000138"/>
      <w:r>
        <w:rPr>
          <w:rFonts w:ascii="Times New Roman" w:eastAsia="Times New Roman" w:hAnsi="Times New Roman" w:cs="Times New Roman"/>
          <w:b/>
          <w:bCs/>
          <w:sz w:val="28"/>
          <w:szCs w:val="28"/>
        </w:rPr>
        <w:t xml:space="preserve">VI.2. So sánh bốn văn bản và hướng dẫn</w:t>
      </w:r>
      <w:bookmarkEnd w:id="138"/>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6.2. So sánh bốn văn bản và hướng dẫn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79"/>
        <w:gridCol w:w="1974"/>
        <w:gridCol w:w="1862"/>
        <w:gridCol w:w="1805"/>
        <w:gridCol w:w="1806"/>
      </w:tblGrid>
      <w:tr>
        <w:trPr>
          <w:cantSplit/>
          <w:tblHeader/>
        </w:trPr>
        <w:tc>
          <w:tcPr>
            <w:tcW w:w="1579"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Tiêu chí</w:t>
            </w:r>
          </w:p>
        </w:tc>
        <w:tc>
          <w:tcPr>
            <w:tcW w:w="197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T1. Luật 91 và Nghị định 356</w:t>
            </w:r>
          </w:p>
        </w:tc>
        <w:tc>
          <w:tcPr>
            <w:tcW w:w="1862"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T2. GDPR</w:t>
            </w:r>
          </w:p>
        </w:tc>
        <w:tc>
          <w:tcPr>
            <w:tcW w:w="180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T3. Đạo luật AI</w:t>
            </w:r>
          </w:p>
        </w:tc>
        <w:tc>
          <w:tcPr>
            <w:tcW w:w="1806"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T4. Ý kiến 28/2024</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Cách tiếp cận</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Quyền của chủ thể, lấy đồng ý làm trung tâm.</w:t>
            </w:r>
          </w:p>
        </w:tc>
        <w:tc>
          <w:tcPr>
            <w:tcW w:w="18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Nguyên tắc chung, trung lập về công nghệ.</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An toàn sản phẩm theo </w:t>
            </w:r>
            <w:r>
              <w:rPr>
                <w:rFonts w:asciiTheme="majorHAnsi" w:hAnsiTheme="majorHAnsi" w:cstheme="majorHAnsi"/>
                <w:sz w:val="18"/>
                <w:szCs w:val="18"/>
              </w:rPr>
              <w:t xml:space="preserve">mức rủi ro.</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Diễn giải luật cho một công nghệ cụ thể.</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Đối tượng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Hoạt động xử lý dữ liệu cá nhân.</w:t>
            </w:r>
          </w:p>
        </w:tc>
        <w:tc>
          <w:tcPr>
            <w:tcW w:w="18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Hoạt động xử lý dữ liệu cá nhân.</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Hệ thống và mô hình AI.</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Mô hình AI huấn luyện từ dữ liệu cá nhân.</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Giá trị ràng buộc</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Bắt buộc.</w:t>
            </w:r>
          </w:p>
        </w:tc>
        <w:tc>
          <w:tcPr>
            <w:tcW w:w="18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Bắt buộc.</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Bắt buộc, áp dụng </w:t>
            </w:r>
            <w:r>
              <w:rPr>
                <w:rFonts w:asciiTheme="majorHAnsi" w:hAnsiTheme="majorHAnsi" w:cstheme="majorHAnsi"/>
                <w:sz w:val="18"/>
                <w:szCs w:val="18"/>
              </w:rPr>
              <w:t xml:space="preserve">theo giai đoạn.</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ràng buộc, nhưng định hướng cơ quan giám sát.</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Ưu điểm</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Có điều riêng cho AI. Thời hạn cụ thể.</w:t>
            </w:r>
          </w:p>
        </w:tc>
        <w:tc>
          <w:tcPr>
            <w:tcW w:w="18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Linh hoạt. Nhiều căn cứ. Án lệ phong phú.</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Nghĩa vụ rõ về chất lượng dữ liệu và hồ sơ.</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Trả lời thẳng ba câu hỏi của ngành.</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Hạn chế</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Phụ </w:t>
            </w:r>
            <w:r>
              <w:rPr>
                <w:rFonts w:asciiTheme="majorHAnsi" w:hAnsiTheme="majorHAnsi" w:cstheme="majorHAnsi"/>
                <w:sz w:val="18"/>
                <w:szCs w:val="18"/>
              </w:rPr>
              <w:t xml:space="preserve">thuộc đồng ý. Chưa có tiêu chí phân loại rủi ro cho Điều 30.</w:t>
            </w:r>
          </w:p>
        </w:tc>
        <w:tc>
          <w:tcPr>
            <w:tcW w:w="18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viết cho học máy. Thực thi phân mảnh.</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trả lời căn cứ xử lý dữ liệu. Lịch áp dụng bị lùi.</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có ngưỡng định lượng. Bỏ ngỏ dữ liệu nhạy cảm.</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Phạm vi</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Dữ liệu của công dân Việt </w:t>
            </w:r>
            <w:r>
              <w:rPr>
                <w:rFonts w:asciiTheme="majorHAnsi" w:hAnsiTheme="majorHAnsi" w:cstheme="majorHAnsi"/>
                <w:sz w:val="18"/>
                <w:szCs w:val="18"/>
              </w:rPr>
              <w:t xml:space="preserve">Nam, kể cả bên xử lý ở nước ngoài.</w:t>
            </w:r>
          </w:p>
        </w:tc>
        <w:tc>
          <w:tcPr>
            <w:tcW w:w="18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Người ở EU, kể cả bên xử lý ngoài EU.</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Hệ thống đưa ra thị trường EU.</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Các trường hợp thuộc GDPR.</w:t>
            </w:r>
          </w:p>
        </w:tc>
      </w:tr>
    </w:tbl>
    <w:p>
      <w:pPr>
        <w:spacing w:after="80"/>
        <w:rPr>
          <w:rFonts w:ascii="Times New Roman" w:eastAsia="Times New Roman" w:hAnsi="Times New Roman" w:cs="Times New Roman"/>
          <w:sz w:val="26"/>
          <w:szCs w:val="26"/>
        </w:rPr>
      </w:pPr>
    </w:p>
    <w:p>
      <w:pPr>
        <w:spacing w:after="0" w:line="312" w:lineRule="auto"/>
        <w:jc w:val="both"/>
        <w:outlineLvl w:val="1"/>
        <w:rPr>
          <w:rFonts w:ascii="Times New Roman" w:eastAsia="Times New Roman" w:hAnsi="Times New Roman" w:cs="Times New Roman"/>
          <w:b/>
          <w:bCs/>
          <w:sz w:val="28"/>
          <w:szCs w:val="28"/>
        </w:rPr>
      </w:pPr>
      <w:bookmarkStart w:id="139" w:name="_Toc900000139"/>
      <w:r>
        <w:rPr>
          <w:rFonts w:ascii="Times New Roman" w:eastAsia="Times New Roman" w:hAnsi="Times New Roman" w:cs="Times New Roman"/>
          <w:b/>
          <w:bCs/>
          <w:sz w:val="28"/>
          <w:szCs w:val="28"/>
        </w:rPr>
        <w:t xml:space="preserve">VI.3. So sánh bốn công trình</w:t>
      </w:r>
      <w:bookmarkEnd w:id="139"/>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6.3. So sánh bốn công trình nghiên cứu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67"/>
        <w:gridCol w:w="1974"/>
        <w:gridCol w:w="1974"/>
        <w:gridCol w:w="1805"/>
        <w:gridCol w:w="1806"/>
      </w:tblGrid>
      <w:tr>
        <w:trPr>
          <w:cantSplit/>
          <w:tblHeader/>
        </w:trPr>
        <w:tc>
          <w:tcPr>
            <w:tcW w:w="1467"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Tiêu chí</w:t>
            </w:r>
          </w:p>
        </w:tc>
        <w:tc>
          <w:tcPr>
            <w:tcW w:w="197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T5. Veale và cộng sự</w:t>
            </w:r>
          </w:p>
        </w:tc>
        <w:tc>
          <w:tcPr>
            <w:tcW w:w="1974"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T6. Carlini và </w:t>
            </w:r>
            <w:r>
              <w:rPr>
                <w:rFonts w:asciiTheme="majorHAnsi" w:hAnsiTheme="majorHAnsi" w:cstheme="majorHAnsi"/>
                <w:b/>
                <w:bCs/>
                <w:sz w:val="18"/>
                <w:szCs w:val="18"/>
              </w:rPr>
              <w:t xml:space="preserve">cộng sự</w:t>
            </w:r>
          </w:p>
        </w:tc>
        <w:tc>
          <w:tcPr>
            <w:tcW w:w="1805"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T7. Abadi và cộng sự</w:t>
            </w:r>
          </w:p>
        </w:tc>
        <w:tc>
          <w:tcPr>
            <w:tcW w:w="1806"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T8. Bourtoule và cộng sự</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Câu hỏi</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Mô hình có là dữ liệu cá nhân?</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Mô hình lộ dữ liệu đến đâu?</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Huấn luyện riêng tư thế nào?</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Xóa dữ liệu khỏi mô hình thế nào?</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Phương pháp</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Phân tích pháp lý dựa trên kết quả an toàn thông tin.</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Sinh mẫu rồi xếp hạng bằng suy luận thành viên.</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DP-SGD và phép tính chi phí riêng tư.</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SISA: chia mảnh, chia lát, học lại đúng mảnh.</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Dữ liệu</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có thực nghiệm </w:t>
            </w:r>
            <w:r>
              <w:rPr>
                <w:rFonts w:asciiTheme="majorHAnsi" w:hAnsiTheme="majorHAnsi" w:cstheme="majorHAnsi"/>
                <w:sz w:val="18"/>
                <w:szCs w:val="18"/>
              </w:rPr>
              <w:t xml:space="preserve">riêng.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GPT-2. Khoảng </w:t>
            </w:r>
            <w:r>
              <w:rPr>
                <w:rFonts w:asciiTheme="majorHAnsi" w:hAnsiTheme="majorHAnsi" w:cstheme="majorHAnsi"/>
                <w:sz w:val="18"/>
                <w:szCs w:val="18"/>
              </w:rPr>
              <w:t xml:space="preserve">600.000 mẫu sinh, 1.800 mẫu kiểm tra.</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MNIST, CIFAR-10.</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Purchase, </w:t>
            </w:r>
            <w:r>
              <w:rPr>
                <w:rFonts w:asciiTheme="majorHAnsi" w:hAnsiTheme="majorHAnsi" w:cstheme="majorHAnsi"/>
                <w:sz w:val="18"/>
                <w:szCs w:val="18"/>
              </w:rPr>
              <w:t xml:space="preserve">SVHN, </w:t>
            </w:r>
            <w:r>
              <w:rPr>
                <w:rFonts w:asciiTheme="majorHAnsi" w:hAnsiTheme="majorHAnsi" w:cstheme="majorHAnsi"/>
                <w:sz w:val="18"/>
                <w:szCs w:val="18"/>
              </w:rPr>
              <w:t xml:space="preserve">ImageNet.</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Kết quả chính</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Mô hình dễ bị tấn công có thể là dữ liệu cá nhân.</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604/1.800 mẫu bị nhớ nguyên văn, có thông tin cá nhân.</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MNIST 97% và CIFAR-10 khoảng 73% ở ε = 8.</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Xóa nhanh hơn 1,36 đến 4,63 lần so với học lại toàn bộ.</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Liên hệ pháp lý</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Khái niệm dữ liệu cá nhân.</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Tiêu chí ẩn danh của EDPB và Điều 2 Luật 91/2025.</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Bảo vệ dữ liệu từ thiết kế.</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Quyền yêu cầu xóa.</w:t>
            </w:r>
          </w:p>
        </w:tc>
      </w:tr>
      <w:tr>
        <w:trPr>
          <w:cantSplit/>
        </w:trPr>
        <w:tc>
          <w:tcPr>
            <w:tcW w:w="146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Hạn chế</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Không có tiêu chí định lượng.</w:t>
            </w:r>
          </w:p>
        </w:tc>
        <w:tc>
          <w:tcPr>
            <w:tcW w:w="19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Mô hình cũ hơn mô hình đang dùng. Xác minh thủ công.</w:t>
            </w:r>
          </w:p>
        </w:tc>
        <w:tc>
          <w:tcPr>
            <w:tcW w:w="18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Giảm độ chính xác. Tốn tính toán. </w:t>
            </w:r>
            <w:r>
              <w:rPr>
                <w:rFonts w:asciiTheme="majorHAnsi" w:hAnsiTheme="majorHAnsi" w:cstheme="majorHAnsi"/>
                <w:sz w:val="18"/>
                <w:szCs w:val="18"/>
              </w:rPr>
              <w:t xml:space="preserve">Phải bật từ đầu.</w:t>
            </w:r>
          </w:p>
        </w:tc>
        <w:tc>
          <w:tcPr>
            <w:tcW w:w="18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Phải thiết kế từ đầu. Kém với bài toán lớn.</w:t>
            </w:r>
          </w:p>
        </w:tc>
      </w:tr>
    </w:tbl>
    <w:p>
      <w:pPr>
        <w:spacing w:after="80"/>
        <w:rPr>
          <w:rFonts w:ascii="Times New Roman" w:eastAsia="Times New Roman" w:hAnsi="Times New Roman" w:cs="Times New Roman"/>
          <w:sz w:val="26"/>
          <w:szCs w:val="26"/>
        </w:rPr>
      </w:pPr>
    </w:p>
    <w:p>
      <w:pPr>
        <w:spacing w:after="0" w:line="312" w:lineRule="auto"/>
        <w:jc w:val="both"/>
        <w:outlineLvl w:val="1"/>
        <w:rPr>
          <w:rFonts w:ascii="Times New Roman" w:eastAsia="Times New Roman" w:hAnsi="Times New Roman" w:cs="Times New Roman"/>
          <w:b/>
          <w:bCs/>
          <w:sz w:val="28"/>
          <w:szCs w:val="28"/>
        </w:rPr>
      </w:pPr>
      <w:bookmarkStart w:id="140" w:name="_Toc900000140"/>
      <w:r>
        <w:rPr>
          <w:rFonts w:ascii="Times New Roman" w:eastAsia="Times New Roman" w:hAnsi="Times New Roman" w:cs="Times New Roman"/>
          <w:b/>
          <w:bCs/>
          <w:sz w:val="28"/>
          <w:szCs w:val="28"/>
        </w:rPr>
        <w:t xml:space="preserve">VI.4. Đánh giá chung</w:t>
      </w:r>
      <w:bookmarkEnd w:id="140"/>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 nhận định rút ra khi đặt hai nhóm tài liệu cạnh nhau.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Thứ nhất, luật và kỹ thuật dùng hai thước đo khác nhau. Luật hỏi dữ liệu có giúp xác định một người hay không. Kỹ </w:t>
      </w:r>
      <w:r>
        <w:rPr>
          <w:rFonts w:ascii="Times New Roman" w:eastAsia="Times New Roman" w:hAnsi="Times New Roman" w:cs="Times New Roman"/>
          <w:sz w:val="26"/>
          <w:szCs w:val="26"/>
        </w:rPr>
        <w:t xml:space="preserve">thuật trả lời bằng xác suất: tỷ lệ trích xuất thành công, giá trị ε. Chưa văn bản nào trong khảo sát nói ε bằng bao nhiêu thì đủ để coi mô hình đã ẩn danh.</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Thứ hai, giải pháp kỹ thuật chỉ có tác dụng khi được chọn từ đầu. DP-SGD phải áp dụng lúc huấn luyện</w:t>
      </w:r>
      <w:r>
        <w:rPr>
          <w:rFonts w:ascii="Times New Roman" w:eastAsia="Times New Roman" w:hAnsi="Times New Roman" w:cs="Times New Roman"/>
          <w:sz w:val="26"/>
          <w:szCs w:val="26"/>
        </w:rPr>
        <w:t xml:space="preserve">. SISA phải được thiết kế trước khi huấn luyện. Điều này trùng với nguyên tắc bảo vệ dữ liệu từ thiết kế của GDPR và với yêu cầu tuân thủ ngay từ thời điểm bắt đầu xử lý tại Điều 9 Nghị định 356 [2][5].</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Thứ ba, các công trình kỹ thuật thử nghiệm trên bài t</w:t>
      </w:r>
      <w:r>
        <w:rPr>
          <w:rFonts w:ascii="Times New Roman" w:eastAsia="Times New Roman" w:hAnsi="Times New Roman" w:cs="Times New Roman"/>
          <w:sz w:val="26"/>
          <w:szCs w:val="26"/>
        </w:rPr>
        <w:t xml:space="preserve">oán nhỏ hơn nhiều so với mô hình nền đang được triển khai. Khoảng cách giữa kết quả phòng thí nghiệm và nghĩa vụ pháp lý với mô hình ngôn ngữ lớn vì vậy còn rộng. Việc kỹ thuật đang khớp nghĩa vụ, với mô hình lớn, là kiểm soát nguồn trước khi học, thử tríc</w:t>
      </w:r>
      <w:r>
        <w:rPr>
          <w:rFonts w:ascii="Times New Roman" w:eastAsia="Times New Roman" w:hAnsi="Times New Roman" w:cs="Times New Roman"/>
          <w:sz w:val="26"/>
          <w:szCs w:val="26"/>
        </w:rPr>
        <w:t xml:space="preserve">h xuất trước khi phát hành, và có lịch học lại khi có yêu cầu xóa.</w:t>
      </w:r>
    </w:p>
    <w:p>
      <w:pPr>
        <w:pageBreakBefore/>
        <w:spacing w:after="0" w:line="312" w:lineRule="auto"/>
        <w:jc w:val="center"/>
        <w:outlineLvl w:val="0"/>
        <w:rPr>
          <w:rFonts w:ascii="Times New Roman" w:eastAsia="Times New Roman" w:hAnsi="Times New Roman" w:cs="Times New Roman"/>
          <w:b/>
          <w:bCs/>
          <w:sz w:val="32"/>
          <w:szCs w:val="32"/>
        </w:rPr>
      </w:pPr>
      <w:bookmarkStart w:id="141" w:name="_Toc900000141"/>
      <w:r>
        <w:rPr>
          <w:rFonts w:ascii="Times New Roman" w:eastAsia="Times New Roman" w:hAnsi="Times New Roman" w:cs="Times New Roman"/>
          <w:b/>
          <w:bCs/>
          <w:sz w:val="32"/>
          <w:szCs w:val="32"/>
        </w:rPr>
        <w:t xml:space="preserve">CHƯƠNG VII. Ý NGHĨA ĐỐI VỚI PHÁT TRIỂN MÔ HÌNH</w:t>
      </w:r>
      <w:bookmarkEnd w:id="141"/>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Nghĩa vụ pháp lý phát sinh ở mọi giai đoạn của vòng đời, và phần lớn phải được giải quyết trước khi bắt đầu huấn luyện. Chương này chuyển các </w:t>
      </w:r>
      <w:r>
        <w:rPr>
          <w:rFonts w:ascii="Times New Roman" w:eastAsia="Times New Roman" w:hAnsi="Times New Roman" w:cs="Times New Roman"/>
          <w:sz w:val="26"/>
          <w:szCs w:val="26"/>
        </w:rPr>
        <w:t xml:space="preserve">điều đã đọc thành câu hỏi ở từng giai đoạn, rồi đi hết hai ví dụ để câu hỏi đó không chỉ là nhận xét chung.</w:t>
      </w:r>
    </w:p>
    <w:p>
      <w:pPr>
        <w:spacing w:after="0" w:line="312" w:lineRule="auto"/>
        <w:jc w:val="both"/>
        <w:outlineLvl w:val="1"/>
        <w:rPr>
          <w:rFonts w:ascii="Times New Roman" w:eastAsia="Times New Roman" w:hAnsi="Times New Roman" w:cs="Times New Roman"/>
          <w:b/>
          <w:bCs/>
          <w:sz w:val="28"/>
          <w:szCs w:val="28"/>
        </w:rPr>
      </w:pPr>
      <w:bookmarkStart w:id="142" w:name="_Toc900000142"/>
      <w:r>
        <w:rPr>
          <w:rFonts w:ascii="Times New Roman" w:eastAsia="Times New Roman" w:hAnsi="Times New Roman" w:cs="Times New Roman"/>
          <w:b/>
          <w:bCs/>
          <w:sz w:val="28"/>
          <w:szCs w:val="28"/>
        </w:rPr>
        <w:t xml:space="preserve">VII.1. Bảy giai đoạn</w:t>
      </w:r>
      <w:bookmarkEnd w:id="142"/>
    </w:p>
    <w:p>
      <w:pPr>
        <w:keepNext/>
        <w:spacing w:before="200" w:after="80" w:line="276" w:lineRule="auto"/>
        <w:jc w:val="center"/>
        <w:rPr>
          <w:rFonts w:ascii="Times New Roman" w:eastAsia="Times New Roman" w:hAnsi="Times New Roman" w:cs="Times New Roman"/>
          <w:b/>
          <w:i/>
          <w:sz w:val="24"/>
        </w:rPr>
      </w:pPr>
      <w:r>
        <w:rPr>
          <w:rFonts w:ascii="Times New Roman" w:eastAsia="Times New Roman" w:hAnsi="Times New Roman" w:cs="Times New Roman"/>
          <w:b/>
          <w:bCs/>
          <w:i/>
          <w:iCs/>
          <w:sz w:val="24"/>
          <w:szCs w:val="24"/>
        </w:rPr>
        <w:t xml:space="preserve">Bảng 7.1. Nghĩa vụ theo bảy giai đoạn vòng đời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79"/>
        <w:gridCol w:w="2031"/>
        <w:gridCol w:w="2708"/>
        <w:gridCol w:w="2708"/>
      </w:tblGrid>
      <w:tr>
        <w:trPr>
          <w:cantSplit/>
          <w:tblHeader/>
        </w:trPr>
        <w:tc>
          <w:tcPr>
            <w:tcW w:w="1579"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Giai đoạn</w:t>
            </w:r>
          </w:p>
        </w:tc>
        <w:tc>
          <w:tcPr>
            <w:tcW w:w="2031"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Câu hỏi</w:t>
            </w:r>
          </w:p>
        </w:tc>
        <w:tc>
          <w:tcPr>
            <w:tcW w:w="270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Quy định</w:t>
            </w:r>
          </w:p>
        </w:tc>
        <w:tc>
          <w:tcPr>
            <w:tcW w:w="2708" w:type="dxa"/>
            <w:tcBorders>
              <w:top w:val="single" w:sz="4" w:space="0" w:color="BFBFBF"/>
              <w:left w:val="single" w:sz="4" w:space="0" w:color="BFBFBF"/>
              <w:bottom w:val="single" w:sz="4" w:space="0" w:color="BFBFBF"/>
              <w:right w:val="single" w:sz="4" w:space="0" w:color="BFBFBF"/>
            </w:tcBorders>
            <w:shd w:val="clear" w:color="auto" w:fill="1E3A5F"/>
            <w:tcMar>
              <w:top w:w="80" w:type="dxa"/>
              <w:left w:w="120" w:type="dxa"/>
              <w:bottom w:w="80" w:type="dxa"/>
              <w:right w:w="120" w:type="dxa"/>
            </w:tcMar>
          </w:tcPr>
          <w:p>
            <w:pPr>
              <w:rPr>
                <w:rFonts w:asciiTheme="majorHAnsi" w:hAnsiTheme="majorHAnsi" w:cstheme="majorHAnsi"/>
                <w:b/>
                <w:bCs/>
                <w:sz w:val="20"/>
                <w:szCs w:val="20"/>
              </w:rPr>
            </w:pPr>
            <w:r>
              <w:rPr>
                <w:rFonts w:asciiTheme="majorHAnsi" w:hAnsiTheme="majorHAnsi" w:cstheme="majorHAnsi"/>
                <w:b/>
                <w:bCs/>
                <w:sz w:val="18"/>
                <w:szCs w:val="18"/>
              </w:rPr>
              <w:t xml:space="preserve">Việc cần làm</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1. Mục đích và thiết kế</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Mục </w:t>
            </w:r>
            <w:r>
              <w:rPr>
                <w:rFonts w:asciiTheme="majorHAnsi" w:hAnsiTheme="majorHAnsi" w:cstheme="majorHAnsi"/>
                <w:sz w:val="18"/>
                <w:szCs w:val="18"/>
              </w:rPr>
              <w:t xml:space="preserve">đích có cụ thể không? Hệ thống thuộc mức rủi ro nào?</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Điều 3, Điều 30 Luật 91/2025; Điều 9 Luật AI; Điều 5 và Điều 25 GDPR.</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Ghi rõ mục đích. Phân loại rủi ro. Chọn kiến trúc còn xóa được về sau.</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2. Thu thập</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Căn cứ xử lý là gì? Nguồn có được phép xử lý khôn</w:t>
            </w:r>
            <w:r>
              <w:rPr>
                <w:rFonts w:asciiTheme="majorHAnsi" w:hAnsiTheme="majorHAnsi" w:cstheme="majorHAnsi"/>
                <w:sz w:val="18"/>
                <w:szCs w:val="18"/>
              </w:rPr>
              <w:t xml:space="preserve">g?</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Điều 7, 9, 11, 19 Luật 91/2025; Điều 7 Luật AI; Điều 6 GDPR.</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Sổ nguồn. Đối chiếu phạm vi đồng ý với mục đích huấn luyện. Không mua dữ liệu cá nhân.</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3. Tiền xử lý</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Đã tối thiểu hóa chưa? Có dữ liệu nhạy cảm không?</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Điều 30 khoản 1; Điều 4 và Điều 9 </w:t>
            </w:r>
            <w:r>
              <w:rPr>
                <w:rFonts w:asciiTheme="majorHAnsi" w:hAnsiTheme="majorHAnsi" w:cstheme="majorHAnsi"/>
                <w:sz w:val="18"/>
                <w:szCs w:val="18"/>
              </w:rPr>
              <w:t xml:space="preserve">Nghị định 356; Điều 5 và Điều 9 GDPR.</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Lọc và che thông tin định danh. Khử nhận dạng có kiểm soát. Tách dữ liệu nhạy cảm. Loại bản ghi trùng.</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4. Huấn luyện</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Mô hình có ghi nhớ dữ liệu không?</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Điều 30 khoản 3; Điều 25 và Điều 32 GDPR; Điều 10 Đạo luật AI.</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Cân nhắc DP-SGD khi dữ liệu nhạy cảm và ghi ε. Phân quyền môi trường huấn luyện.</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5. Đánh giá</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Đã thử trích xuất chưa? Hồ sơ gửi đúng hạn chưa?</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Ý kiến 28/2024; Điều 21 Luật 91/2025.</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Thử trích xuất và suy luận thành viên. Lưu kết quả vào hồ sơ. Gửi </w:t>
            </w:r>
            <w:r>
              <w:rPr>
                <w:rFonts w:asciiTheme="majorHAnsi" w:hAnsiTheme="majorHAnsi" w:cstheme="majorHAnsi"/>
                <w:sz w:val="18"/>
                <w:szCs w:val="18"/>
              </w:rPr>
              <w:t xml:space="preserve">trong 60 ngày.</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6. Triển khai</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Người dùng được báo và được từ chối chưa? Dữ liệu có ra nước ngoài không?</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Điều 10 khoản 3 Nghị định 356; Điều 20 Luật 91/2025; Điều 11 Luật AI; Điều 22 GDPR.</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Thông báo xử lý tự động. Lọc đầu ra. Gắn nhãn nội dung do AI tạo. Hồ</w:t>
            </w:r>
            <w:r>
              <w:rPr>
                <w:rFonts w:asciiTheme="majorHAnsi" w:hAnsiTheme="majorHAnsi" w:cstheme="majorHAnsi"/>
                <w:sz w:val="18"/>
                <w:szCs w:val="18"/>
              </w:rPr>
              <w:t xml:space="preserve"> sơ chuyển xuyên biên giới nếu có.</w:t>
            </w:r>
          </w:p>
        </w:tc>
      </w:tr>
      <w:tr>
        <w:trPr>
          <w:cantSplit/>
        </w:trPr>
        <w:tc>
          <w:tcPr>
            <w:tcW w:w="157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7. Vận hành</w:t>
            </w:r>
          </w:p>
        </w:tc>
        <w:tc>
          <w:tcPr>
            <w:tcW w:w="203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Yêu cầu xóa và rút đồng ý được trả lời thế nào? Sự cố báo trong bao lâu?</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Điều 4, 10, 14, 23 Luật 91/2025; Điều 5 Nghị định 356; Điều 17 GDPR.</w:t>
            </w:r>
          </w:p>
        </w:tc>
        <w:tc>
          <w:tcPr>
            <w:tcW w:w="27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rPr>
                <w:rFonts w:asciiTheme="majorHAnsi" w:hAnsiTheme="majorHAnsi" w:cstheme="majorHAnsi"/>
                <w:sz w:val="20"/>
                <w:szCs w:val="20"/>
              </w:rPr>
            </w:pPr>
            <w:r>
              <w:rPr>
                <w:rFonts w:asciiTheme="majorHAnsi" w:hAnsiTheme="majorHAnsi" w:cstheme="majorHAnsi"/>
                <w:sz w:val="18"/>
                <w:szCs w:val="18"/>
              </w:rPr>
              <w:t xml:space="preserve">Trả lời trong thời hạn. Học lại hoặc SISA nếu đã thiết kế. Báo sự </w:t>
            </w:r>
            <w:r>
              <w:rPr>
                <w:rFonts w:asciiTheme="majorHAnsi" w:hAnsiTheme="majorHAnsi" w:cstheme="majorHAnsi"/>
                <w:sz w:val="18"/>
                <w:szCs w:val="18"/>
              </w:rPr>
              <w:t xml:space="preserve">cố trong 72 giờ. Đánh giá tuân thủ hằng năm.</w:t>
            </w:r>
          </w:p>
        </w:tc>
      </w:tr>
    </w:tbl>
    <w:p>
      <w:pPr>
        <w:spacing w:after="80"/>
        <w:rPr>
          <w:rFonts w:ascii="Times New Roman" w:eastAsia="Times New Roman" w:hAnsi="Times New Roman" w:cs="Times New Roman"/>
          <w:sz w:val="26"/>
          <w:szCs w:val="26"/>
        </w:rPr>
      </w:pPr>
    </w:p>
    <w:p>
      <w:pPr>
        <w:spacing w:after="0" w:line="312" w:lineRule="auto"/>
        <w:jc w:val="both"/>
        <w:outlineLvl w:val="1"/>
        <w:rPr>
          <w:rFonts w:ascii="Times New Roman" w:eastAsia="Times New Roman" w:hAnsi="Times New Roman" w:cs="Times New Roman"/>
          <w:b/>
          <w:bCs/>
          <w:sz w:val="28"/>
          <w:szCs w:val="28"/>
        </w:rPr>
      </w:pPr>
      <w:bookmarkStart w:id="143" w:name="_Toc900000143"/>
      <w:r>
        <w:rPr>
          <w:rFonts w:ascii="Times New Roman" w:eastAsia="Times New Roman" w:hAnsi="Times New Roman" w:cs="Times New Roman"/>
          <w:b/>
          <w:bCs/>
          <w:sz w:val="28"/>
          <w:szCs w:val="28"/>
        </w:rPr>
        <w:t xml:space="preserve">VII.2. Năm hệ quả cần giữ khi thiết kế</w:t>
      </w:r>
      <w:bookmarkEnd w:id="143"/>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Căn cứ xử lý quyết định nguồn dữ liệu. Ở Việt Nam, dữ liệu khách hàng nội bộ chỉ dùng được để huấn luyện khi đồng ý nêu rõ mục đích này, vì đồng ý phải theo từng mục </w:t>
      </w:r>
      <w:r>
        <w:rPr>
          <w:rFonts w:ascii="Times New Roman" w:eastAsia="Times New Roman" w:hAnsi="Times New Roman" w:cs="Times New Roman"/>
          <w:sz w:val="26"/>
          <w:szCs w:val="26"/>
        </w:rPr>
        <w:t xml:space="preserve">đích (Điều 9) [1]. Đồng ý có từ trước năm 2026 tiếp tục có giá trị trong phạm vi mục đích đã nêu (Điều 39). Dữ liệu thu tự động từ web không có căn cứ sẵn trong năm nhánh Điều 19. Lối an toàn là dữ liệu có đồng ý đúng mục đích, dữ liệu đã khử nhận dạng, ho</w:t>
      </w:r>
      <w:r>
        <w:rPr>
          <w:rFonts w:ascii="Times New Roman" w:eastAsia="Times New Roman" w:hAnsi="Times New Roman" w:cs="Times New Roman"/>
          <w:sz w:val="26"/>
          <w:szCs w:val="26"/>
        </w:rPr>
        <w:t xml:space="preserve">ặc dữ liệu không còn giúp xác định một người.</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hình trở thành đối tượng tuân thủ khi còn giúp xác định người. Khi đó, lưu mô hình, chuyển mô hình, đặt mô hình trên hạ tầng nước ngoài và truy vấn ra thông tin </w:t>
      </w:r>
      <w:r>
        <w:rPr>
          <w:rFonts w:ascii="Times New Roman" w:eastAsia="Times New Roman" w:hAnsi="Times New Roman" w:cs="Times New Roman"/>
          <w:sz w:val="26"/>
          <w:szCs w:val="26"/>
        </w:rPr>
        <w:t xml:space="preserve">định danh đều là xử lý. Pháp luật Việt Nam chư</w:t>
      </w:r>
      <w:r>
        <w:rPr>
          <w:rFonts w:ascii="Times New Roman" w:eastAsia="Times New Roman" w:hAnsi="Times New Roman" w:cs="Times New Roman"/>
          <w:sz w:val="26"/>
          <w:szCs w:val="26"/>
        </w:rPr>
        <w:t xml:space="preserve">a chép chuẩn ẩn danh của EDPB, nhưng đã coi kết quả suy luận là dữ liệu cần bảo vệ nếu kết quả đó xác định được một người [2].</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Quyền xóa phải được tính trước. Rút đồng ý không xóa quá khứ đã xử lý. Nó cũng không cho tiếp tục các việc mới sau thời điểm rút.</w:t>
      </w:r>
      <w:r>
        <w:rPr>
          <w:rFonts w:ascii="Times New Roman" w:eastAsia="Times New Roman" w:hAnsi="Times New Roman" w:cs="Times New Roman"/>
          <w:sz w:val="26"/>
          <w:szCs w:val="26"/>
        </w:rPr>
        <w:t xml:space="preserve"> Nếu chưa xóa được trong trọng số thì phải báo lý do theo Điều 14 khoản 5, và phải có cách đưa bản ghi ra khỏi lần học sau.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dịch vụ mô hình hoặc GPU ở nước ngoài, với dữ liệu thu tại Việt Nam, là chuyển dữ liệu xuyên biên giới theo Điều 20. Hồ sơ gửi </w:t>
      </w:r>
      <w:r>
        <w:rPr>
          <w:rFonts w:ascii="Times New Roman" w:eastAsia="Times New Roman" w:hAnsi="Times New Roman" w:cs="Times New Roman"/>
          <w:sz w:val="26"/>
          <w:szCs w:val="26"/>
        </w:rPr>
        <w:t xml:space="preserve">trong 60 ngày. Mức phạt tối đa là 5% doanh thu năm trước. Hai cách thu hẹp phạm vi là che định danh trước khi gửi, hoặc chạy mô hình trên hạ tầng trong nước.</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Lĩnh vực nhạy cảm chịu thêm nghĩa vụ. Mô hình chấm điểm tín dụng cần đồng ý nêu rõ mục đích chấm đ</w:t>
      </w:r>
      <w:r>
        <w:rPr>
          <w:rFonts w:ascii="Times New Roman" w:eastAsia="Times New Roman" w:hAnsi="Times New Roman" w:cs="Times New Roman"/>
          <w:sz w:val="26"/>
          <w:szCs w:val="26"/>
        </w:rPr>
        <w:t xml:space="preserve">iểm. Tổ chức phải ghi nhật ký xử lý và đánh giá tuân thủ mỗi năm (Điều 27 Luật; các yêu cầu ngành mà Nghị định 356 đã cụ thể hóa) [1][2]. Hệ thống AI đang hoạt động trong y tế, giáo dục và tài chính có 18 tháng chuyển tiếp theo Luật Trí tuệ nhân tạo [3].</w:t>
      </w:r>
    </w:p>
    <w:p>
      <w:pPr>
        <w:spacing w:after="0" w:line="312" w:lineRule="auto"/>
        <w:jc w:val="both"/>
        <w:outlineLvl w:val="1"/>
        <w:rPr>
          <w:rFonts w:ascii="Times New Roman" w:eastAsia="Times New Roman" w:hAnsi="Times New Roman" w:cs="Times New Roman"/>
          <w:b/>
          <w:bCs/>
          <w:sz w:val="28"/>
          <w:szCs w:val="28"/>
        </w:rPr>
      </w:pPr>
      <w:bookmarkStart w:id="144" w:name="_Toc900000144"/>
      <w:r>
        <w:rPr>
          <w:rFonts w:ascii="Times New Roman" w:eastAsia="Times New Roman" w:hAnsi="Times New Roman" w:cs="Times New Roman"/>
          <w:b/>
          <w:bCs/>
          <w:sz w:val="28"/>
          <w:szCs w:val="28"/>
        </w:rPr>
        <w:t xml:space="preserve">VII.3. Ví dụ chấm điểm tín dụng</w:t>
      </w:r>
      <w:bookmarkEnd w:id="144"/>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Ngân hàng muốn một mô hình xếp hạng tín dụng từ lịch sử dư nợ, thu nhập và hành vi trả nợ của khách hàng hiện hữu. Mục đích này phải tách khỏi mục đích cung cấp dịch vụ ngân hàng. Điều 27 khoản 1 điểm b cấm dùng thông tin tín d</w:t>
      </w:r>
      <w:r>
        <w:rPr>
          <w:rFonts w:ascii="Times New Roman" w:eastAsia="Times New Roman" w:hAnsi="Times New Roman" w:cs="Times New Roman"/>
          <w:sz w:val="26"/>
          <w:szCs w:val="26"/>
        </w:rPr>
        <w:t xml:space="preserve">ụng để chấm điểm, xếp hạng, đánh giá mức độ tín nhiệm khi chưa có đồng ý của chủ thể. Khác với dữ liệu sức khỏe ở Điều 26, Điều 27 không dẫn ngoại lệ Điều 19. Đồng ý theo Điều 9 phải nêu đúng mục đích chấm điểm, nêu bên kiểm soát và nêu quyền của chủ thể. </w:t>
      </w:r>
      <w:r>
        <w:rPr>
          <w:rFonts w:ascii="Times New Roman" w:eastAsia="Times New Roman" w:hAnsi="Times New Roman" w:cs="Times New Roman"/>
          <w:sz w:val="26"/>
          <w:szCs w:val="26"/>
        </w:rPr>
        <w:t xml:space="preserve">Im lặng khi mở tài khoản không phải đồng ý.</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 thập chỉ lấy dữ liệu cần cho mục đích đó. Thông tin tín dụng là dữ liệu nhạy cảm theo cách Nghị định 356 liệt kê ở Điều 4 [2]. Không mua thêm tệp dữ liệu cá nhân từ bên ngoài, vì Điều 7 cấm mua bán trừ khi lu</w:t>
      </w:r>
      <w:r>
        <w:rPr>
          <w:rFonts w:ascii="Times New Roman" w:eastAsia="Times New Roman" w:hAnsi="Times New Roman" w:cs="Times New Roman"/>
          <w:sz w:val="26"/>
          <w:szCs w:val="26"/>
        </w:rPr>
        <w:t xml:space="preserve">ật khác cho phép. Ở khâu tiền xử lý, tách những trường định danh không cần cho bài toán, ghi sổ nguồn và phạm vi đồng ý. Mã hóa kho không làm dữ liệu hết là dữ liệu cá nhân.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Huấn luyện phải phân loại rủi ro theo Điều 30 khoản 4 và theo Luật Trí tuệ nhân tạ</w:t>
      </w:r>
      <w:r>
        <w:rPr>
          <w:rFonts w:ascii="Times New Roman" w:eastAsia="Times New Roman" w:hAnsi="Times New Roman" w:cs="Times New Roman"/>
          <w:sz w:val="26"/>
          <w:szCs w:val="26"/>
        </w:rPr>
        <w:t xml:space="preserve">o, vì đầu ra ảnh hưởng đến quyết định cấp tín dụng. Hệ thống rủi ro cao phải quản trị dữ liệu huấn luyện, lưu nhật ký và bảo đảm con người can thiệp được. Lĩnh vực tài chính có 18 tháng chuyển tiếp. Riêng tư vi phân là biện pháp cân nhắc lúc huấn luyện, kè</w:t>
      </w:r>
      <w:r>
        <w:rPr>
          <w:rFonts w:ascii="Times New Roman" w:eastAsia="Times New Roman" w:hAnsi="Times New Roman" w:cs="Times New Roman"/>
          <w:sz w:val="26"/>
          <w:szCs w:val="26"/>
        </w:rPr>
        <w:t xml:space="preserve">m ghi giá trị ε vào hồ sơ. Chưa có điều luật nào nói ε nào là đủ.</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Trước khi phát hành, thử trích xuất và suy luận thành viên. Hồ sơ đánh giá tác động gửi trong 60 ngày kể từ ngày đầu xử lý. Nói rõ với khách rằng có xử lý tự động, giải thích nguyên tắc và c</w:t>
      </w:r>
      <w:r>
        <w:rPr>
          <w:rFonts w:ascii="Times New Roman" w:eastAsia="Times New Roman" w:hAnsi="Times New Roman" w:cs="Times New Roman"/>
          <w:sz w:val="26"/>
          <w:szCs w:val="26"/>
        </w:rPr>
        <w:t xml:space="preserve">ho cách không tham gia. Gọi một API chấm điểm đặt ngoài lãnh thổ, với dữ liệu thu tại Việt Nam, là chuyển xuyên biên giới. Hai lối giảm phạm vi là che định danh trước khi gửi, hoặc chạy mô hình trên hạ tầng trong nước.</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khách rút đồng ý chấm điểm, các l</w:t>
      </w:r>
      <w:r>
        <w:rPr>
          <w:rFonts w:ascii="Times New Roman" w:eastAsia="Times New Roman" w:hAnsi="Times New Roman" w:cs="Times New Roman"/>
          <w:sz w:val="26"/>
          <w:szCs w:val="26"/>
        </w:rPr>
        <w:t xml:space="preserve">ần đã chấm được giữ theo Điều 10 khoản 4, và các lần mới phải dừng. Yêu cầu xóa được xử lý theo Điều 14. Nếu chưa gỡ được ảnh hưởng trong trọng số thì thông báo lý do và đưa bản ghi ra khỏi lần huấn luyện kế tiếp.</w:t>
      </w:r>
    </w:p>
    <w:p>
      <w:pPr>
        <w:spacing w:after="0" w:line="312" w:lineRule="auto"/>
        <w:jc w:val="both"/>
        <w:outlineLvl w:val="1"/>
        <w:rPr>
          <w:rFonts w:ascii="Times New Roman" w:eastAsia="Times New Roman" w:hAnsi="Times New Roman" w:cs="Times New Roman"/>
          <w:b/>
          <w:bCs/>
          <w:sz w:val="28"/>
          <w:szCs w:val="28"/>
        </w:rPr>
      </w:pPr>
      <w:bookmarkStart w:id="145" w:name="_Toc900000145"/>
      <w:r>
        <w:rPr>
          <w:rFonts w:ascii="Times New Roman" w:eastAsia="Times New Roman" w:hAnsi="Times New Roman" w:cs="Times New Roman"/>
          <w:b/>
          <w:bCs/>
          <w:sz w:val="28"/>
          <w:szCs w:val="28"/>
        </w:rPr>
        <w:t xml:space="preserve">VII.4. Ví dụ mô hình tiếng Việt thu từ web</w:t>
      </w:r>
      <w:bookmarkEnd w:id="145"/>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w:t>
      </w:r>
      <w:r>
        <w:rPr>
          <w:rFonts w:ascii="Times New Roman" w:eastAsia="Times New Roman" w:hAnsi="Times New Roman" w:cs="Times New Roman"/>
          <w:sz w:val="26"/>
          <w:szCs w:val="26"/>
        </w:rPr>
        <w:t xml:space="preserve">hóm nghiên cứu muốn một mô hình tiếng Việt từ diễn đàn, báo và mạng xã hội thu tự động. Luật Trí tuệ nhân tạo có chủ trương ưu tiên mô hình tiếng Việt. Chủ trương đó không tạo căn cứ xử lý dữ liệu cá nhân. Điều 7 của luật này cấm huấn luyện trái luật dữ li</w:t>
      </w:r>
      <w:r>
        <w:rPr>
          <w:rFonts w:ascii="Times New Roman" w:eastAsia="Times New Roman" w:hAnsi="Times New Roman" w:cs="Times New Roman"/>
          <w:sz w:val="26"/>
          <w:szCs w:val="26"/>
        </w:rPr>
        <w:t xml:space="preserve">ệu. Vi phạm luật dữ liệu khi huấn luyện đồng thời là vi phạm luật AI.</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đích “huấn luyện mô hình tiếng Việt” có thể viết cho rõ. Việc thiếu là căn cứ đối với từng người có tên, số điện thoại hoặc địa chỉ nằm trong trang bị thu. Đối chiếu bảng 3.4, không </w:t>
      </w:r>
      <w:r>
        <w:rPr>
          <w:rFonts w:ascii="Times New Roman" w:eastAsia="Times New Roman" w:hAnsi="Times New Roman" w:cs="Times New Roman"/>
          <w:sz w:val="26"/>
          <w:szCs w:val="26"/>
        </w:rPr>
        <w:t xml:space="preserve">nhánh nào của Điều 19 đỡ việc thu web quy mô lớn. Điều 11 không cho phân tích từ một nguồn mình không được phép xử lý.</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Lối đi còn lại là một trong ba. Xin đồng ý đúng mục đích với những nguồn ký được thỏa thuận. Huấn luyện trên phần đã khử nhận dạng và chị</w:t>
      </w:r>
      <w:r>
        <w:rPr>
          <w:rFonts w:ascii="Times New Roman" w:eastAsia="Times New Roman" w:hAnsi="Times New Roman" w:cs="Times New Roman"/>
          <w:sz w:val="26"/>
          <w:szCs w:val="26"/>
        </w:rPr>
        <w:t xml:space="preserve">u lệnh cấm tái nhận dạng. Dùng dữ liệu không còn giúp xác định một người. Bộ lọc tên và số điện thoại ở khâu tiền xử lý là việc nên làm. Nó chưa chứng minh mô hình đã khử nhận dạng, vì Carlini cho thấy mô hình có thể nhớ cả mẫu chỉ xuất hiện một lần.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v</w:t>
      </w:r>
      <w:r>
        <w:rPr>
          <w:rFonts w:ascii="Times New Roman" w:eastAsia="Times New Roman" w:hAnsi="Times New Roman" w:cs="Times New Roman"/>
          <w:sz w:val="26"/>
          <w:szCs w:val="26"/>
        </w:rPr>
        <w:t xml:space="preserve">ẫn huấn luyện trên kho còn dữ liệu cá nhân, mô hình sau đó chịu phân tích ở mục 5.5. Chuyển trọng số, gọi GPU thuê ở nước ngoài, và cả đầu ra có thông tin </w:t>
      </w:r>
      <w:r>
        <w:rPr>
          <w:rFonts w:ascii="Times New Roman" w:eastAsia="Times New Roman" w:hAnsi="Times New Roman" w:cs="Times New Roman"/>
          <w:sz w:val="26"/>
          <w:szCs w:val="26"/>
        </w:rPr>
        <w:t xml:space="preserve">định danh đều có thể là xử lý tiếp. Hồ sơ đánh giá tác động vẫn phát sinh. Khi dùng nền tảng ngoài nư</w:t>
      </w:r>
      <w:r>
        <w:rPr>
          <w:rFonts w:ascii="Times New Roman" w:eastAsia="Times New Roman" w:hAnsi="Times New Roman" w:cs="Times New Roman"/>
          <w:sz w:val="26"/>
          <w:szCs w:val="26"/>
        </w:rPr>
        <w:t xml:space="preserve">ớc, hồ sơ chuyển xuyên biên giới cũng phát sinh. Quyền xóa trên mô hình ngôn ngữ lớn không giải được bằng SISA. Phương án chịu được là lịch huấn luyện lại không còn các nguồn đã bị phản đối, cộng bộ lọc đầu ra, và văn bản trả lời chủ thể theo Điều 14 khoản</w:t>
      </w:r>
      <w:r>
        <w:rPr>
          <w:rFonts w:ascii="Times New Roman" w:eastAsia="Times New Roman" w:hAnsi="Times New Roman" w:cs="Times New Roman"/>
          <w:sz w:val="26"/>
          <w:szCs w:val="26"/>
        </w:rPr>
        <w:t xml:space="preserve"> 5 nếu chưa xóa được ngay trong trọng số.</w:t>
      </w:r>
    </w:p>
    <w:p>
      <w:pPr>
        <w:spacing w:after="0" w:line="312" w:lineRule="auto"/>
        <w:jc w:val="both"/>
        <w:outlineLvl w:val="1"/>
        <w:rPr>
          <w:rFonts w:ascii="Times New Roman" w:eastAsia="Times New Roman" w:hAnsi="Times New Roman" w:cs="Times New Roman"/>
          <w:b/>
          <w:bCs/>
          <w:sz w:val="28"/>
          <w:szCs w:val="28"/>
        </w:rPr>
      </w:pPr>
      <w:bookmarkStart w:id="146" w:name="_Toc900000146"/>
      <w:r>
        <w:rPr>
          <w:rFonts w:ascii="Times New Roman" w:eastAsia="Times New Roman" w:hAnsi="Times New Roman" w:cs="Times New Roman"/>
          <w:b/>
          <w:bCs/>
          <w:sz w:val="28"/>
          <w:szCs w:val="28"/>
        </w:rPr>
        <w:t xml:space="preserve">VII.5. Danh mục việc trước khi mở một đợt học</w:t>
      </w:r>
      <w:bookmarkEnd w:id="146"/>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dưới đây chỉ gồm việc đã có chỗ đứng trong các điều luật và trong ba công trình kỹ thuật đã phân tích. Học liên kết và dữ liệu tổng hợp không nằm trong tám </w:t>
      </w:r>
      <w:r>
        <w:rPr>
          <w:rFonts w:ascii="Times New Roman" w:eastAsia="Times New Roman" w:hAnsi="Times New Roman" w:cs="Times New Roman"/>
          <w:sz w:val="26"/>
          <w:szCs w:val="26"/>
        </w:rPr>
        <w:t xml:space="preserve">tài liệu chính. Học liên kết vẫn là xử lý dữ liệu cá nhân tại thiết bị, trừ khi bản cập nhật gửi về đã được chứng minh là không còn giúp xác định người [16]. Dữ liệu tổng hợp do một mô hình đã nhớ dữ liệu sinh ra thì có thể vẫn giúp xác định người. Hai hướ</w:t>
      </w:r>
      <w:r>
        <w:rPr>
          <w:rFonts w:ascii="Times New Roman" w:eastAsia="Times New Roman" w:hAnsi="Times New Roman" w:cs="Times New Roman"/>
          <w:sz w:val="26"/>
          <w:szCs w:val="26"/>
        </w:rPr>
        <w:t xml:space="preserve">ng này cần được đánh giá thêm. Chúng không đứng cùng DP-SGD và SISA trong danh mục việc bắt buộc của báo cáo này.</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sổ nguồn cho mọi tập dữ liệu: nguồn, căn cứ xử lý, mục đích đã được đồng ý. Không có căn cứ thì không đưa vào tập học.</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loại dữ </w:t>
      </w:r>
      <w:r>
        <w:rPr>
          <w:rFonts w:ascii="Times New Roman" w:eastAsia="Times New Roman" w:hAnsi="Times New Roman" w:cs="Times New Roman"/>
          <w:sz w:val="26"/>
          <w:szCs w:val="26"/>
        </w:rPr>
        <w:t xml:space="preserve">liệu cơ bản và dữ liệu nhạy cảm theo Nghị định 356 trước khi đưa vào huấn luyện.</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Khử nhận dạng có kiểm soát quá trình khử, và ghi rõ mã hóa không thay cho khử nhận dạng.</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loại mức rủi ro theo Luật Trí tuệ nhân tạo và thông báo khi thuộc mức </w:t>
      </w:r>
      <w:r>
        <w:rPr>
          <w:rFonts w:ascii="Times New Roman" w:eastAsia="Times New Roman" w:hAnsi="Times New Roman" w:cs="Times New Roman"/>
          <w:sz w:val="26"/>
          <w:szCs w:val="26"/>
        </w:rPr>
        <w:t xml:space="preserve">cao hoặc trung bình.</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Cân nhắc DP-SGD khi dữ liệu nhạy cảm, ghi giá trị ε, và chỉ bật từ lúc huấn luyện.</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Thử tấn công trích xuất và suy luận thành viên trước khi phát hành. Lưu kết quả vào hồ sơ. Việc này đo rủi ro. Nó chưa tự biến mô hình thành dữ li</w:t>
      </w:r>
      <w:r>
        <w:rPr>
          <w:rFonts w:ascii="Times New Roman" w:eastAsia="Times New Roman" w:hAnsi="Times New Roman" w:cs="Times New Roman"/>
          <w:sz w:val="26"/>
          <w:szCs w:val="26"/>
        </w:rPr>
        <w:t xml:space="preserve">ệu đã khử nhận dạng.</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hồ sơ đánh giá tác động trong 60 ngày. Lập thêm hồ sơ chuyển dữ liệu nếu dùng hạ tầng nước ngoài.</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Chuẩn bị quy trình rút đồng ý và yêu cầu xóa. Nếu dùng lọc đầu ra, ghi trong hồ sơ rằng lọc đầu ra không thay Điều 14. SISA chỉ</w:t>
      </w:r>
      <w:r>
        <w:rPr>
          <w:rFonts w:ascii="Times New Roman" w:eastAsia="Times New Roman" w:hAnsi="Times New Roman" w:cs="Times New Roman"/>
          <w:sz w:val="26"/>
          <w:szCs w:val="26"/>
        </w:rPr>
        <w:t xml:space="preserve"> khi bài toán chia mảnh được từ đầu.</w:t>
      </w:r>
    </w:p>
    <w:p>
      <w:pPr>
        <w:pageBreakBefore/>
        <w:spacing w:after="0" w:line="312" w:lineRule="auto"/>
        <w:jc w:val="center"/>
        <w:outlineLvl w:val="0"/>
        <w:rPr>
          <w:rFonts w:ascii="Times New Roman" w:eastAsia="Times New Roman" w:hAnsi="Times New Roman" w:cs="Times New Roman"/>
          <w:b/>
          <w:bCs/>
          <w:sz w:val="32"/>
          <w:szCs w:val="32"/>
        </w:rPr>
      </w:pPr>
      <w:bookmarkStart w:id="147" w:name="_Toc900000147"/>
      <w:r>
        <w:rPr>
          <w:rFonts w:ascii="Times New Roman" w:eastAsia="Times New Roman" w:hAnsi="Times New Roman" w:cs="Times New Roman"/>
          <w:b/>
          <w:bCs/>
          <w:sz w:val="32"/>
          <w:szCs w:val="32"/>
        </w:rPr>
        <w:t xml:space="preserve">CHƯƠNG VIII. XU HƯỚNG, KHOẢNG TRỐNG VÀ KẾT LUẬN</w:t>
      </w:r>
      <w:bookmarkEnd w:id="147"/>
    </w:p>
    <w:p>
      <w:pPr>
        <w:spacing w:after="0" w:line="312" w:lineRule="auto"/>
        <w:jc w:val="both"/>
        <w:outlineLvl w:val="1"/>
        <w:rPr>
          <w:rFonts w:ascii="Times New Roman" w:eastAsia="Times New Roman" w:hAnsi="Times New Roman" w:cs="Times New Roman"/>
          <w:b/>
          <w:bCs/>
          <w:sz w:val="28"/>
          <w:szCs w:val="28"/>
        </w:rPr>
      </w:pPr>
      <w:bookmarkStart w:id="148" w:name="_Toc900000148"/>
      <w:r>
        <w:rPr>
          <w:rFonts w:ascii="Times New Roman" w:eastAsia="Times New Roman" w:hAnsi="Times New Roman" w:cs="Times New Roman"/>
          <w:b/>
          <w:bCs/>
          <w:sz w:val="28"/>
          <w:szCs w:val="28"/>
        </w:rPr>
        <w:t xml:space="preserve">VIII.1. Xu hướng</w:t>
      </w:r>
      <w:bookmarkEnd w:id="148"/>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Luật riêng cho AI xuất hiện ở nhiều nơi trong khoảng ba năm. Trung Quốc ban hành quy định về AI tạo sinh năm 2023. EU có Đạo luật AI năm 2024. Việt Nam thông </w:t>
      </w:r>
      <w:r>
        <w:rPr>
          <w:rFonts w:ascii="Times New Roman" w:eastAsia="Times New Roman" w:hAnsi="Times New Roman" w:cs="Times New Roman"/>
          <w:sz w:val="26"/>
          <w:szCs w:val="26"/>
        </w:rPr>
        <w:t xml:space="preserve">qua hai đạo luật năm 2025. Luật khung của Hàn Quốc có hiệu lực năm 2026 [3][7][20][21].</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nước hội tụ về phương pháp và phân kỳ về căn cứ. Họ đều quản lý theo mức rủi ro và yêu cầu minh bạch. Họ khác nhau ở chỗ dữ liệu huấn luyện được phép dùng trên căn </w:t>
      </w:r>
      <w:r>
        <w:rPr>
          <w:rFonts w:ascii="Times New Roman" w:eastAsia="Times New Roman" w:hAnsi="Times New Roman" w:cs="Times New Roman"/>
          <w:sz w:val="26"/>
          <w:szCs w:val="26"/>
        </w:rPr>
        <w:t xml:space="preserve">cứ nào. EU đang nới có điều kiện: lùi hạn áp dụng với hệ thống rủi ro cao sang năm 2027 và 2028, và đang bàn việc ghi nhận lợi ích chính đáng cho phát triển AI [8][10]. Cùng lúc, hướng dẫn trở nên chi tiết hơn, như dự thảo về thu thập dữ liệu web [9].</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Chế </w:t>
      </w:r>
      <w:r>
        <w:rPr>
          <w:rFonts w:ascii="Times New Roman" w:eastAsia="Times New Roman" w:hAnsi="Times New Roman" w:cs="Times New Roman"/>
          <w:sz w:val="26"/>
          <w:szCs w:val="26"/>
        </w:rPr>
        <w:t xml:space="preserve">tài bắt đầu hướng vào chính mô hình. FTC đã buộc xóa mô hình nhận dạng khuôn mặt. EDPB nêu khả năng tương tự khi dữ liệu huấn luyện bị xử lý trái phép [6][25]. Rủi ro pháp lý vì vậy không dừng ở tiền phạt. Nó có thể là mất toàn bộ chi phí huấn luyện.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Kỹ th</w:t>
      </w:r>
      <w:r>
        <w:rPr>
          <w:rFonts w:ascii="Times New Roman" w:eastAsia="Times New Roman" w:hAnsi="Times New Roman" w:cs="Times New Roman"/>
          <w:sz w:val="26"/>
          <w:szCs w:val="26"/>
        </w:rPr>
        <w:t xml:space="preserve">uật chuyển từ chỗ chứng minh rủi ro sang chỗ làm bằng chứng cho hồ sơ. Sau công trình của Carlini, các phép thử trích xuất được mở rộng sang mô hình thương mại [17]. EDPB coi khả năng chống trích xuất là tài liệu cho tuyên bố ẩn danh [6].</w:t>
      </w:r>
    </w:p>
    <w:p>
      <w:pPr>
        <w:spacing w:after="0" w:line="312" w:lineRule="auto"/>
        <w:jc w:val="both"/>
        <w:outlineLvl w:val="1"/>
        <w:rPr>
          <w:rFonts w:ascii="Times New Roman" w:eastAsia="Times New Roman" w:hAnsi="Times New Roman" w:cs="Times New Roman"/>
          <w:b/>
          <w:bCs/>
          <w:sz w:val="28"/>
          <w:szCs w:val="28"/>
        </w:rPr>
      </w:pPr>
      <w:bookmarkStart w:id="149" w:name="_Toc900000149"/>
      <w:r>
        <w:rPr>
          <w:rFonts w:ascii="Times New Roman" w:eastAsia="Times New Roman" w:hAnsi="Times New Roman" w:cs="Times New Roman"/>
          <w:b/>
          <w:bCs/>
          <w:sz w:val="28"/>
          <w:szCs w:val="28"/>
        </w:rPr>
        <w:t xml:space="preserve">VIII.2. Khoảng trống</w:t>
      </w:r>
      <w:bookmarkEnd w:id="149"/>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Sáu khoảng trống còn lại sau khi đọc xong các văn bản và bốn công trình.</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Chưa có cầu nối giữa đại lượng kỹ thuật, như ε hay tỷ lệ trích xuất, với tiêu chuẩn pháp lý “không đáng kể”. Luật Việt Nam cũng chưa đưa ngưỡng số cho việc khử nhận dạng một mô hì</w:t>
      </w:r>
      <w:r>
        <w:rPr>
          <w:rFonts w:ascii="Times New Roman" w:eastAsia="Times New Roman" w:hAnsi="Times New Roman" w:cs="Times New Roman"/>
          <w:sz w:val="26"/>
          <w:szCs w:val="26"/>
        </w:rPr>
        <w:t xml:space="preserve">nh.</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Quên chính xác kiểu SISA không phù hợp với mô hình nền rất lớn. Các phương pháp xấp xỉ thì khó chứng minh là đã quên thật trước cơ quan quản lý.</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Với các nước lấy đồng ý làm căn cứ mặc định, trong đó có Việt Nam, chưa có hướng dẫn nào trong các vă</w:t>
      </w:r>
      <w:r>
        <w:rPr>
          <w:rFonts w:ascii="Times New Roman" w:eastAsia="Times New Roman" w:hAnsi="Times New Roman" w:cs="Times New Roman"/>
          <w:sz w:val="26"/>
          <w:szCs w:val="26"/>
        </w:rPr>
        <w:t xml:space="preserve">n bản đã khảo sát tương đương Ý kiến 28/2024 cho dữ liệu công khai. Đọc Điều 19 thì cửa thu web quy mô lớn không xuất hiện. </w:t>
      </w:r>
      <w:r>
        <w:rPr>
          <w:rFonts w:ascii="Times New Roman" w:eastAsia="Times New Roman" w:hAnsi="Times New Roman" w:cs="Times New Roman"/>
          <w:sz w:val="26"/>
          <w:szCs w:val="26"/>
        </w:rPr>
        <w:t xml:space="preserve">Đó là kết luận từ câu chữ hiện có, không phải một hướng dẫn áp dụng đã được cơ quan ban hành.</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Cả ba công trình kỹ thuật được khảo</w:t>
      </w:r>
      <w:r>
        <w:rPr>
          <w:rFonts w:ascii="Times New Roman" w:eastAsia="Times New Roman" w:hAnsi="Times New Roman" w:cs="Times New Roman"/>
          <w:sz w:val="26"/>
          <w:szCs w:val="26"/>
        </w:rPr>
        <w:t xml:space="preserve"> sát đều không có thực nghiệm trên tiếng Việt. Mức độ ghi nhớ của mô hình tiếng Việt, và công cụ nhận diện thông tin định danh tiếng Việt, là hướng còn mở.</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Cần làm rõ quan hệ giữa phân loại rủi ro theo Điều 30 Luật 91/2025 và ba mức rủi ro của Luật Trí </w:t>
      </w:r>
      <w:r>
        <w:rPr>
          <w:rFonts w:ascii="Times New Roman" w:eastAsia="Times New Roman" w:hAnsi="Times New Roman" w:cs="Times New Roman"/>
          <w:sz w:val="26"/>
          <w:szCs w:val="26"/>
        </w:rPr>
        <w:t xml:space="preserve">tuệ nhân tạo. Hiện hai hệ đang đứng cạnh nhau.</w:t>
      </w:r>
    </w:p>
    <w:p>
      <w:pPr>
        <w:pStyle w:val="ListParagraph"/>
        <w:numPr>
          <w:ilvl w:val="0"/>
          <w:numId w:val="1"/>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Chưa có số liệu về chi phí mà doanh nghiệp nhỏ phải chịu khi hết thời gian miễn trừ 5 năm.</w:t>
      </w:r>
    </w:p>
    <w:p>
      <w:pPr>
        <w:spacing w:after="0" w:line="312" w:lineRule="auto"/>
        <w:jc w:val="both"/>
        <w:outlineLvl w:val="1"/>
        <w:rPr>
          <w:rFonts w:ascii="Times New Roman" w:eastAsia="Times New Roman" w:hAnsi="Times New Roman" w:cs="Times New Roman"/>
          <w:b/>
          <w:bCs/>
          <w:sz w:val="28"/>
          <w:szCs w:val="28"/>
        </w:rPr>
      </w:pPr>
      <w:bookmarkStart w:id="150" w:name="_Toc900000150"/>
      <w:r>
        <w:rPr>
          <w:rFonts w:ascii="Times New Roman" w:eastAsia="Times New Roman" w:hAnsi="Times New Roman" w:cs="Times New Roman"/>
          <w:b/>
          <w:bCs/>
          <w:sz w:val="28"/>
          <w:szCs w:val="28"/>
        </w:rPr>
        <w:t xml:space="preserve">VIII.3. Triển vọng áp dụng</w:t>
      </w:r>
      <w:bookmarkEnd w:id="150"/>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nghệ tăng cường quyền riêng tư, trước hết là riêng tư vi phân trên những bài toán vừa </w:t>
      </w:r>
      <w:r>
        <w:rPr>
          <w:rFonts w:ascii="Times New Roman" w:eastAsia="Times New Roman" w:hAnsi="Times New Roman" w:cs="Times New Roman"/>
          <w:sz w:val="26"/>
          <w:szCs w:val="26"/>
        </w:rPr>
        <w:t xml:space="preserve">sức các công trình đã khảo sát, cho phép khai thác dữ liệu nhạy cảm trong ngân hàng và y tế với một bảo đảm ghi được vào hồ sơ [13]. Học liên kết là hướng cần đánh giá thêm, không phải một biện pháp đã được chứng minh là đưa dữ liệu ra khỏi định nghĩa [16]</w:t>
      </w:r>
      <w:r>
        <w:rPr>
          <w:rFonts w:ascii="Times New Roman" w:eastAsia="Times New Roman" w:hAnsi="Times New Roman" w:cs="Times New Roman"/>
          <w:sz w:val="26"/>
          <w:szCs w:val="26"/>
        </w:rPr>
        <w:t xml:space="preserve">.</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Luật Trí tuệ nhân tạo lập cơ chế thử nghiệm có kiểm soát, cho phép miễn hoặc giảm một số nghĩa vụ [3]. Đây là nơi phù hợp để thử các kỹ thuật trên với dữ liệu thật, trước khi đưa vào hệ thống rủi ro cao.</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Nghị định 356 giao Bộ Công an phối hợp Bộ Khoa </w:t>
      </w:r>
      <w:r>
        <w:rPr>
          <w:rFonts w:ascii="Times New Roman" w:eastAsia="Times New Roman" w:hAnsi="Times New Roman" w:cs="Times New Roman"/>
          <w:sz w:val="26"/>
          <w:szCs w:val="26"/>
        </w:rPr>
        <w:t xml:space="preserve">học và Công nghệ xây dựng quy chuẩn về khử nhận dạng và ẩn danh (Điều 34) [2]. Quy chuẩn này có thể là nơi đưa tiêu chí định lượng vào luật, tức là lấp khoảng trống thứ nhất.</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về nhân sự bảo vệ dữ liệu và đánh giá định kỳ tạo nhu cầu về kiểm toán mô</w:t>
      </w:r>
      <w:r>
        <w:rPr>
          <w:rFonts w:ascii="Times New Roman" w:eastAsia="Times New Roman" w:hAnsi="Times New Roman" w:cs="Times New Roman"/>
          <w:sz w:val="26"/>
          <w:szCs w:val="26"/>
        </w:rPr>
        <w:t xml:space="preserve"> hình và công cụ quản trị dữ liệu huấn luyện. Với mô hình tiếng Việt, ưu tiên phát triển trong Luật Trí tuệ nhân tạo chỉ đứng được nếu bộ dữ liệu có căn cứ xử lý. Đó chính là khoảng trống thứ ba ở trên.</w:t>
      </w:r>
    </w:p>
    <w:p>
      <w:pPr>
        <w:spacing w:after="0" w:line="312" w:lineRule="auto"/>
        <w:jc w:val="both"/>
        <w:outlineLvl w:val="1"/>
        <w:rPr>
          <w:rFonts w:ascii="Times New Roman" w:eastAsia="Times New Roman" w:hAnsi="Times New Roman" w:cs="Times New Roman"/>
          <w:b/>
          <w:bCs/>
          <w:sz w:val="28"/>
          <w:szCs w:val="28"/>
        </w:rPr>
      </w:pPr>
      <w:bookmarkStart w:id="151" w:name="_Toc900000151"/>
      <w:r>
        <w:rPr>
          <w:rFonts w:ascii="Times New Roman" w:eastAsia="Times New Roman" w:hAnsi="Times New Roman" w:cs="Times New Roman"/>
          <w:b/>
          <w:bCs/>
          <w:sz w:val="28"/>
          <w:szCs w:val="28"/>
        </w:rPr>
        <w:t xml:space="preserve">VIII.4. Kết luận</w:t>
      </w:r>
      <w:bookmarkEnd w:id="151"/>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trả lời ba câu hỏi của chương 1</w:t>
      </w:r>
      <w:r>
        <w:rPr>
          <w:rFonts w:ascii="Times New Roman" w:eastAsia="Times New Roman" w:hAnsi="Times New Roman" w:cs="Times New Roman"/>
          <w:sz w:val="26"/>
          <w:szCs w:val="26"/>
        </w:rPr>
        <w:t xml:space="preserve"> như sau.</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quy định, từ năm 2026 Việt Nam có khung bắt buộc, gồm luật dữ liệu cá nhân, nghị định hướng dẫn và luật về AI. Khung này đủ để chỉ ra nghĩa vụ ở từng giai đoạn vòng đời mô hình: đồng ý theo từng mục đích, hồ sơ trong 60 ngày, thời hạn trả </w:t>
      </w:r>
      <w:r>
        <w:rPr>
          <w:rFonts w:ascii="Times New Roman" w:eastAsia="Times New Roman" w:hAnsi="Times New Roman" w:cs="Times New Roman"/>
          <w:sz w:val="26"/>
          <w:szCs w:val="26"/>
        </w:rPr>
        <w:t xml:space="preserve">lời </w:t>
      </w:r>
      <w:r>
        <w:rPr>
          <w:rFonts w:ascii="Times New Roman" w:eastAsia="Times New Roman" w:hAnsi="Times New Roman" w:cs="Times New Roman"/>
          <w:sz w:val="26"/>
          <w:szCs w:val="26"/>
        </w:rPr>
        <w:t xml:space="preserve">yêu cầu của chủ thể, và mức phạt tới 5% doanh thu với chuyển dữ liệu xuyên biên giới. Hai câu áp dụng thì văn bản chưa trả lời hộ bằng một hướng dẫn riêng. Đọc Điều 2, Điều 11, Điều 12, Điều 16 và Điều 19 thì dữ liệu web không có căn cứ sẵn để huấn luyện, </w:t>
      </w:r>
      <w:r>
        <w:rPr>
          <w:rFonts w:ascii="Times New Roman" w:eastAsia="Times New Roman" w:hAnsi="Times New Roman" w:cs="Times New Roman"/>
          <w:sz w:val="26"/>
          <w:szCs w:val="26"/>
        </w:rPr>
        <w:t xml:space="preserve">còn mô hình còn bị trích xuất được thì chưa ra khỏi định nghĩa dữ liệu cá nhân.</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so sánh, các khung giống nhau ở cách quản lý theo rủi ro và ở yêu cầu minh bạch. Khác biệt lớn nhất là căn cứ xử lý. Việt Nam lấy đồng ý theo từng mục đích làm căn cứ mặc đị</w:t>
      </w:r>
      <w:r>
        <w:rPr>
          <w:rFonts w:ascii="Times New Roman" w:eastAsia="Times New Roman" w:hAnsi="Times New Roman" w:cs="Times New Roman"/>
          <w:sz w:val="26"/>
          <w:szCs w:val="26"/>
        </w:rPr>
        <w:t xml:space="preserve">nh. Cụm “lợi ích chính đáng” có trong Điều 19 khoản 1 điểm a, gắn với việc chống một hành vi xâm phạm và với nghĩa vụ chứng minh. EU đặt lợi ích chính đáng thành một căn cứ ngang với đồng ý, kèm phép thử ba bước của EDPB, và có chuẩn ẩn danh mà luật Việt N</w:t>
      </w:r>
      <w:r>
        <w:rPr>
          <w:rFonts w:ascii="Times New Roman" w:eastAsia="Times New Roman" w:hAnsi="Times New Roman" w:cs="Times New Roman"/>
          <w:sz w:val="26"/>
          <w:szCs w:val="26"/>
        </w:rPr>
        <w:t xml:space="preserve">am chưa chép. Hai cụm giống nhau về chữ, khác nhau về việc được dùng để huấn luyện hay không.</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kỹ thuật, rủi ro ghi nhớ là có thật và đo được. Trên GPT-2, 604 trong 1.800 mẫu ứng viên là đoạn huấn luyện bị nhớ nguyên văn, trong đó có tên và thông tin liê</w:t>
      </w:r>
      <w:r>
        <w:rPr>
          <w:rFonts w:ascii="Times New Roman" w:eastAsia="Times New Roman" w:hAnsi="Times New Roman" w:cs="Times New Roman"/>
          <w:sz w:val="26"/>
          <w:szCs w:val="26"/>
        </w:rPr>
        <w:t xml:space="preserve">n lạc [12]. Riêng tư vi phân và quên máy đáp ứng được một phần nghĩa vụ, với điều kiện được đưa vào từ khâu thiết kế, và mới được chứng minh trên bài toán nhỏ hơn mô hình nền. Quyền rút đồng ý không xóa quá khứ đã xử lý. Quyền xóa vẫn buộc phải trả lời, kể</w:t>
      </w:r>
      <w:r>
        <w:rPr>
          <w:rFonts w:ascii="Times New Roman" w:eastAsia="Times New Roman" w:hAnsi="Times New Roman" w:cs="Times New Roman"/>
          <w:sz w:val="26"/>
          <w:szCs w:val="26"/>
        </w:rPr>
        <w:t xml:space="preserve"> cả khi câu trả lời là chưa xóa được trong trọng số và phải huấn luyện lại. Với mô hình lớn, biện pháp đang đứng được là kiểm soát nguồn dữ liệu trước khi học, thử tấn công trước khi phát hành, và lịch học lại khi có yêu cầu xóa.</w:t>
      </w:r>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Ý nghĩa chung là bảo vệ dữ</w:t>
      </w:r>
      <w:r>
        <w:rPr>
          <w:rFonts w:ascii="Times New Roman" w:eastAsia="Times New Roman" w:hAnsi="Times New Roman" w:cs="Times New Roman"/>
          <w:sz w:val="26"/>
          <w:szCs w:val="26"/>
        </w:rPr>
        <w:t xml:space="preserve"> liệu cá nhân đã trở thành một yêu cầu của việc xây dựng mô hình, ngang với độ chính xác và chi phí tính toán. Người làm mô hình tại Việt Nam cần theo dõi ba diễn biến: hướng dẫn về phân loại rủi ro cho Điều 30, quy chuẩn về khử nhận dạng theo Điều 34 Nghị</w:t>
      </w:r>
      <w:r>
        <w:rPr>
          <w:rFonts w:ascii="Times New Roman" w:eastAsia="Times New Roman" w:hAnsi="Times New Roman" w:cs="Times New Roman"/>
          <w:sz w:val="26"/>
          <w:szCs w:val="26"/>
        </w:rPr>
        <w:t xml:space="preserve"> định 356, và cách cơ quan quản lý xử lý các vụ việc đầu tiên theo luật mới.</w:t>
      </w:r>
    </w:p>
    <w:p>
      <w:pPr>
        <w:pageBreakBefore/>
        <w:spacing w:after="0" w:line="312" w:lineRule="auto"/>
        <w:jc w:val="center"/>
        <w:outlineLvl w:val="0"/>
        <w:rPr>
          <w:rFonts w:ascii="Times New Roman" w:eastAsia="Times New Roman" w:hAnsi="Times New Roman" w:cs="Times New Roman"/>
          <w:b/>
          <w:bCs/>
          <w:sz w:val="32"/>
          <w:szCs w:val="32"/>
        </w:rPr>
      </w:pPr>
      <w:bookmarkStart w:id="152" w:name="_Toc900000152"/>
      <w:r>
        <w:rPr>
          <w:rFonts w:ascii="Times New Roman" w:eastAsia="Times New Roman" w:hAnsi="Times New Roman" w:cs="Times New Roman"/>
          <w:b/>
          <w:bCs/>
          <w:sz w:val="32"/>
          <w:szCs w:val="32"/>
        </w:rPr>
        <w:t xml:space="preserve">TÀI LIỆU THAM KHẢO</w:t>
      </w:r>
      <w:bookmarkEnd w:id="152"/>
    </w:p>
    <w:p>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thứ tự trùng với số trích dẫn trong báo cáo. Tài liệu 1 đến 10 là văn bản và hướng dẫn. Tài liệu 11 đến 17 là công trình nghiên cứu. Tài liệu 18 đến 26 là </w:t>
      </w:r>
      <w:r>
        <w:rPr>
          <w:rFonts w:ascii="Times New Roman" w:eastAsia="Times New Roman" w:hAnsi="Times New Roman" w:cs="Times New Roman"/>
          <w:sz w:val="26"/>
          <w:szCs w:val="26"/>
        </w:rPr>
        <w:t xml:space="preserve">nguồn bổ trợ, gồm thông cáo, bài phân tích của hãng luật và bài tổng hợp. Các đường dẫn trong bản gốc được truy cập ngày 05/10/2026. Khi một nhận định ở chương 4 dựa trên tài liệu 18 đến 26, báo cáo đã ghi đó là nguồn thứ cấp.</w:t>
      </w:r>
    </w:p>
    <w:p>
      <w:pPr>
        <w:spacing w:after="80" w:line="276" w:lineRule="auto"/>
        <w:ind w:left="927" w:hanging="567"/>
        <w:jc w:val="both"/>
      </w:pPr>
      <w:r>
        <w:rPr>
          <w:rFonts w:ascii="Times New Roman" w:eastAsia="Times New Roman" w:hAnsi="Times New Roman" w:cs="Times New Roman"/>
          <w:sz w:val="24"/>
          <w:szCs w:val="24"/>
        </w:rPr>
        <w:t xml:space="preserve">[1]  Quốc hội (2025). Luật Bả</w:t>
      </w:r>
      <w:r>
        <w:rPr>
          <w:rFonts w:ascii="Times New Roman" w:eastAsia="Times New Roman" w:hAnsi="Times New Roman" w:cs="Times New Roman"/>
          <w:sz w:val="24"/>
          <w:szCs w:val="24"/>
        </w:rPr>
        <w:t xml:space="preserve">o vệ dữ liệu cá nhân, số 91/2025/QH15, ngày 26/6/2025.</w:t>
      </w:r>
    </w:p>
    <w:p>
      <w:pPr>
        <w:spacing w:after="80" w:line="276" w:lineRule="auto"/>
        <w:ind w:left="927" w:hanging="567"/>
        <w:jc w:val="both"/>
      </w:pPr>
      <w:r>
        <w:rPr>
          <w:rFonts w:ascii="Times New Roman" w:eastAsia="Times New Roman" w:hAnsi="Times New Roman" w:cs="Times New Roman"/>
          <w:sz w:val="24"/>
          <w:szCs w:val="24"/>
        </w:rPr>
        <w:t xml:space="preserve">[2]  Chính phủ (2025). Nghị định số 356/2025/NĐ-CP quy định chi tiết một số điều và biện pháp thi hành Luật Bảo vệ dữ liệu cá nhân, ngày 31/12/2025.</w:t>
      </w:r>
    </w:p>
    <w:p>
      <w:pPr>
        <w:spacing w:after="80" w:line="276" w:lineRule="auto"/>
        <w:ind w:left="927" w:hanging="567"/>
        <w:jc w:val="both"/>
      </w:pPr>
      <w:r>
        <w:rPr>
          <w:rFonts w:ascii="Times New Roman" w:eastAsia="Times New Roman" w:hAnsi="Times New Roman" w:cs="Times New Roman"/>
          <w:sz w:val="24"/>
          <w:szCs w:val="24"/>
        </w:rPr>
        <w:t xml:space="preserve">[3]  Quốc hội (2025). Luật Trí tuệ nhân tạo, số </w:t>
      </w:r>
      <w:r>
        <w:rPr>
          <w:rFonts w:ascii="Times New Roman" w:eastAsia="Times New Roman" w:hAnsi="Times New Roman" w:cs="Times New Roman"/>
          <w:sz w:val="24"/>
          <w:szCs w:val="24"/>
        </w:rPr>
        <w:t xml:space="preserve">134/2025/QH15, ngày 10/12/2025. Dẫn theo giới thiệu của Cổng Thông tin điện tử Chính phủ và bản tổng hợp điều khoản.</w:t>
      </w:r>
    </w:p>
    <w:p>
      <w:pPr>
        <w:spacing w:after="80" w:line="276" w:lineRule="auto"/>
        <w:ind w:left="927" w:hanging="567"/>
        <w:jc w:val="both"/>
      </w:pPr>
      <w:r>
        <w:rPr>
          <w:rFonts w:ascii="Times New Roman" w:eastAsia="Times New Roman" w:hAnsi="Times New Roman" w:cs="Times New Roman"/>
          <w:sz w:val="24"/>
          <w:szCs w:val="24"/>
        </w:rPr>
        <w:t xml:space="preserve">[4]  Chính phủ (2026). Nghị định số 142/2026/NĐ-CP quy định chi tiết một số điều và biện pháp thi hành Luật Trí tuệ nhân tạo, ngày 30/4/202</w:t>
      </w:r>
      <w:r>
        <w:rPr>
          <w:rFonts w:ascii="Times New Roman" w:eastAsia="Times New Roman" w:hAnsi="Times New Roman" w:cs="Times New Roman"/>
          <w:sz w:val="24"/>
          <w:szCs w:val="24"/>
        </w:rPr>
        <w:t xml:space="preserve">6. Dẫn theo bản giới thiệu và bài phân tích.</w:t>
      </w:r>
    </w:p>
    <w:p>
      <w:pPr>
        <w:spacing w:after="80" w:line="276" w:lineRule="auto"/>
        <w:ind w:left="927" w:hanging="567"/>
        <w:jc w:val="both"/>
      </w:pPr>
      <w:r>
        <w:rPr>
          <w:rFonts w:ascii="Times New Roman" w:eastAsia="Times New Roman" w:hAnsi="Times New Roman" w:cs="Times New Roman"/>
          <w:sz w:val="24"/>
          <w:szCs w:val="24"/>
        </w:rPr>
        <w:t xml:space="preserve">[5]  European Parliament and Council (2016). Regulation (EU) 2016/679, General Data Protection Regulation. EUR-Lex.</w:t>
      </w:r>
    </w:p>
    <w:p>
      <w:pPr>
        <w:spacing w:after="80" w:line="276" w:lineRule="auto"/>
        <w:ind w:left="927" w:hanging="567"/>
        <w:jc w:val="both"/>
      </w:pPr>
      <w:r>
        <w:rPr>
          <w:rFonts w:ascii="Times New Roman" w:eastAsia="Times New Roman" w:hAnsi="Times New Roman" w:cs="Times New Roman"/>
          <w:sz w:val="24"/>
          <w:szCs w:val="24"/>
        </w:rPr>
        <w:t xml:space="preserve">[6]  European Data Protection Board (2024). Opinion 28/2024 on certain data protection aspects </w:t>
      </w:r>
      <w:r>
        <w:rPr>
          <w:rFonts w:ascii="Times New Roman" w:eastAsia="Times New Roman" w:hAnsi="Times New Roman" w:cs="Times New Roman"/>
          <w:sz w:val="24"/>
          <w:szCs w:val="24"/>
        </w:rPr>
        <w:t xml:space="preserve">related to the processing of personal data in the context of AI models, 17/12/2024.</w:t>
      </w:r>
    </w:p>
    <w:p>
      <w:pPr>
        <w:spacing w:after="80" w:line="276" w:lineRule="auto"/>
        <w:ind w:left="927" w:hanging="567"/>
        <w:jc w:val="both"/>
      </w:pPr>
      <w:r>
        <w:rPr>
          <w:rFonts w:ascii="Times New Roman" w:eastAsia="Times New Roman" w:hAnsi="Times New Roman" w:cs="Times New Roman"/>
          <w:sz w:val="24"/>
          <w:szCs w:val="24"/>
        </w:rPr>
        <w:t xml:space="preserve">[7]  European Parliament and Council (2024). Regulation (EU) 2024/1689, Artificial Intelligence Act. EUR-Lex.</w:t>
      </w:r>
    </w:p>
    <w:p>
      <w:pPr>
        <w:spacing w:after="80" w:line="276" w:lineRule="auto"/>
        <w:ind w:left="927" w:hanging="567"/>
        <w:jc w:val="both"/>
      </w:pPr>
      <w:r>
        <w:rPr>
          <w:rFonts w:ascii="Times New Roman" w:eastAsia="Times New Roman" w:hAnsi="Times New Roman" w:cs="Times New Roman"/>
          <w:sz w:val="24"/>
          <w:szCs w:val="24"/>
        </w:rPr>
        <w:t xml:space="preserve">[8]  Council of the European Union (2026). Artificial Intellig</w:t>
      </w:r>
      <w:r>
        <w:rPr>
          <w:rFonts w:ascii="Times New Roman" w:eastAsia="Times New Roman" w:hAnsi="Times New Roman" w:cs="Times New Roman"/>
          <w:sz w:val="24"/>
          <w:szCs w:val="24"/>
        </w:rPr>
        <w:t xml:space="preserve">ence: Council gives final green light to simplify and streamline rules, 29/6/2026. Thông cáo báo chí.</w:t>
      </w:r>
    </w:p>
    <w:p>
      <w:pPr>
        <w:spacing w:after="80" w:line="276" w:lineRule="auto"/>
        <w:ind w:left="927" w:hanging="567"/>
        <w:jc w:val="both"/>
      </w:pPr>
      <w:r>
        <w:rPr>
          <w:rFonts w:ascii="Times New Roman" w:eastAsia="Times New Roman" w:hAnsi="Times New Roman" w:cs="Times New Roman"/>
          <w:sz w:val="24"/>
          <w:szCs w:val="24"/>
        </w:rPr>
        <w:t xml:space="preserve">[9]  Reed Smith (2026). EDPB web scraping guidelines for AI. Phân tích dự thảo EDPB Guidelines 03/2026.</w:t>
      </w:r>
    </w:p>
    <w:p>
      <w:pPr>
        <w:spacing w:after="80" w:line="276" w:lineRule="auto"/>
        <w:ind w:left="927" w:hanging="567"/>
        <w:jc w:val="both"/>
      </w:pPr>
      <w:r>
        <w:rPr>
          <w:rFonts w:ascii="Times New Roman" w:eastAsia="Times New Roman" w:hAnsi="Times New Roman" w:cs="Times New Roman"/>
          <w:sz w:val="24"/>
          <w:szCs w:val="24"/>
        </w:rPr>
        <w:t xml:space="preserve">[10]  EDPB và EDPS (2026). Joint Opinion 2/2026 on</w:t>
      </w:r>
      <w:r>
        <w:rPr>
          <w:rFonts w:ascii="Times New Roman" w:eastAsia="Times New Roman" w:hAnsi="Times New Roman" w:cs="Times New Roman"/>
          <w:sz w:val="24"/>
          <w:szCs w:val="24"/>
        </w:rPr>
        <w:t xml:space="preserve"> the Digital Omnibus proposal.</w:t>
      </w:r>
    </w:p>
    <w:p>
      <w:pPr>
        <w:spacing w:after="80" w:line="276" w:lineRule="auto"/>
        <w:ind w:left="927" w:hanging="567"/>
        <w:jc w:val="both"/>
      </w:pPr>
      <w:r>
        <w:rPr>
          <w:rFonts w:ascii="Times New Roman" w:eastAsia="Times New Roman" w:hAnsi="Times New Roman" w:cs="Times New Roman"/>
          <w:sz w:val="24"/>
          <w:szCs w:val="24"/>
        </w:rPr>
        <w:t xml:space="preserve">[11]  Veale, M., Binns, R., Edwards, L. (2018). Algorithms that remember: model inversion attacks and data protection law. Philosophical Transactions of the Royal Society A, 376(2133), 20180083.</w:t>
      </w:r>
    </w:p>
    <w:p>
      <w:pPr>
        <w:spacing w:after="80" w:line="276" w:lineRule="auto"/>
        <w:ind w:left="927" w:hanging="567"/>
        <w:jc w:val="both"/>
      </w:pPr>
      <w:r>
        <w:rPr>
          <w:rFonts w:ascii="Times New Roman" w:eastAsia="Times New Roman" w:hAnsi="Times New Roman" w:cs="Times New Roman"/>
          <w:sz w:val="24"/>
          <w:szCs w:val="24"/>
        </w:rPr>
        <w:t xml:space="preserve">[12]  Carlini, N., Tramèr, F.,</w:t>
      </w:r>
      <w:r>
        <w:rPr>
          <w:rFonts w:ascii="Times New Roman" w:eastAsia="Times New Roman" w:hAnsi="Times New Roman" w:cs="Times New Roman"/>
          <w:sz w:val="24"/>
          <w:szCs w:val="24"/>
        </w:rPr>
        <w:t xml:space="preserve"> Wallace, E., Jagielski, M., Herbert-Voss, A., Lee, K., Roberts, A., Brown, T., Song, D., Erlingsson, Ú., Oprea, A., Raffel, C. (2021). Extracting Training Data from Large Language Models. 30th USENIX Security Symposium.</w:t>
      </w:r>
    </w:p>
    <w:p>
      <w:pPr>
        <w:spacing w:after="80" w:line="276" w:lineRule="auto"/>
        <w:ind w:left="927" w:hanging="567"/>
        <w:jc w:val="both"/>
      </w:pPr>
      <w:r>
        <w:rPr>
          <w:rFonts w:ascii="Times New Roman" w:eastAsia="Times New Roman" w:hAnsi="Times New Roman" w:cs="Times New Roman"/>
          <w:sz w:val="24"/>
          <w:szCs w:val="24"/>
        </w:rPr>
        <w:t xml:space="preserve">[13]  Abadi, M., Chu, A., Goodfello</w:t>
      </w:r>
      <w:r>
        <w:rPr>
          <w:rFonts w:ascii="Times New Roman" w:eastAsia="Times New Roman" w:hAnsi="Times New Roman" w:cs="Times New Roman"/>
          <w:sz w:val="24"/>
          <w:szCs w:val="24"/>
        </w:rPr>
        <w:t xml:space="preserve">w, I., McMahan, H. B., Mironov, I., Talwar, K., Zhang, L. (2016). Deep Learning with Differential Privacy. ACM CCS.</w:t>
      </w:r>
    </w:p>
    <w:p>
      <w:pPr>
        <w:spacing w:after="80" w:line="276" w:lineRule="auto"/>
        <w:ind w:left="927" w:hanging="567"/>
        <w:jc w:val="both"/>
      </w:pPr>
      <w:r>
        <w:rPr>
          <w:rFonts w:ascii="Times New Roman" w:eastAsia="Times New Roman" w:hAnsi="Times New Roman" w:cs="Times New Roman"/>
          <w:sz w:val="24"/>
          <w:szCs w:val="24"/>
        </w:rPr>
        <w:t xml:space="preserve">[14]  Bourtoule, L., Chandrasekaran, V., Choquette-Choo, C. A., Jia, H., Travers, A., Zhang, B., Lie, D., Papernot, N. (2021). Machine Unlea</w:t>
      </w:r>
      <w:r>
        <w:rPr>
          <w:rFonts w:ascii="Times New Roman" w:eastAsia="Times New Roman" w:hAnsi="Times New Roman" w:cs="Times New Roman"/>
          <w:sz w:val="24"/>
          <w:szCs w:val="24"/>
        </w:rPr>
        <w:t xml:space="preserve">rning. IEEE Symposium on Security and Privacy, tr. 141–159.</w:t>
      </w:r>
    </w:p>
    <w:p>
      <w:pPr>
        <w:spacing w:after="80" w:line="276" w:lineRule="auto"/>
        <w:ind w:left="927" w:hanging="567"/>
        <w:jc w:val="both"/>
      </w:pPr>
      <w:r>
        <w:rPr>
          <w:rFonts w:ascii="Times New Roman" w:eastAsia="Times New Roman" w:hAnsi="Times New Roman" w:cs="Times New Roman"/>
          <w:sz w:val="24"/>
          <w:szCs w:val="24"/>
        </w:rPr>
        <w:t xml:space="preserve">[15]  Shokri, R., Stronati, M., Song, C., Shmatikov, V. (2017). Membership Inference Attacks against Machine Learning Models. IEEE Symposium on Security and Privacy.</w:t>
      </w:r>
    </w:p>
    <w:p>
      <w:pPr>
        <w:spacing w:after="80" w:line="276" w:lineRule="auto"/>
        <w:ind w:left="927" w:hanging="567"/>
        <w:jc w:val="both"/>
      </w:pPr>
      <w:r>
        <w:rPr>
          <w:rFonts w:ascii="Times New Roman" w:eastAsia="Times New Roman" w:hAnsi="Times New Roman" w:cs="Times New Roman"/>
          <w:sz w:val="24"/>
          <w:szCs w:val="24"/>
        </w:rPr>
        <w:t xml:space="preserve">[16]  McMahan, H. B., </w:t>
      </w:r>
      <w:r>
        <w:rPr>
          <w:rFonts w:ascii="Times New Roman" w:eastAsia="Times New Roman" w:hAnsi="Times New Roman" w:cs="Times New Roman"/>
          <w:sz w:val="24"/>
          <w:szCs w:val="24"/>
        </w:rPr>
        <w:t xml:space="preserve">Moore, E., Ramage, D., Hampson, S., Agüera y Arcas, B. (2017). Communication-Efficient Learning of Deep Networks from Decentralized Data. AISTATS.</w:t>
      </w:r>
    </w:p>
    <w:p>
      <w:pPr>
        <w:spacing w:after="80" w:line="276" w:lineRule="auto"/>
        <w:ind w:left="927" w:hanging="567"/>
        <w:jc w:val="both"/>
      </w:pPr>
      <w:r>
        <w:rPr>
          <w:rFonts w:ascii="Times New Roman" w:eastAsia="Times New Roman" w:hAnsi="Times New Roman" w:cs="Times New Roman"/>
          <w:sz w:val="24"/>
          <w:szCs w:val="24"/>
        </w:rPr>
        <w:t xml:space="preserve">[17]  Nasr, M., Carlini, N., Hayase, J., Jagielski, M. và cộng sự (2023). Scalable Extraction of Training Dat</w:t>
      </w:r>
      <w:r>
        <w:rPr>
          <w:rFonts w:ascii="Times New Roman" w:eastAsia="Times New Roman" w:hAnsi="Times New Roman" w:cs="Times New Roman"/>
          <w:sz w:val="24"/>
          <w:szCs w:val="24"/>
        </w:rPr>
        <w:t xml:space="preserve">a from (Production) Language Models.</w:t>
      </w:r>
    </w:p>
    <w:p>
      <w:pPr>
        <w:spacing w:after="80" w:line="276" w:lineRule="auto"/>
        <w:ind w:left="927" w:hanging="567"/>
        <w:jc w:val="both"/>
      </w:pPr>
      <w:r>
        <w:rPr>
          <w:rFonts w:ascii="Times New Roman" w:eastAsia="Times New Roman" w:hAnsi="Times New Roman" w:cs="Times New Roman"/>
          <w:sz w:val="24"/>
          <w:szCs w:val="24"/>
        </w:rPr>
        <w:t xml:space="preserve">[18]  Wilson Sonsini (2026). OpenAI Prevails in Landmark Italian AI and GDPR Enforcement Case.</w:t>
      </w:r>
    </w:p>
    <w:p>
      <w:pPr>
        <w:spacing w:after="80" w:line="276" w:lineRule="auto"/>
        <w:ind w:left="927" w:hanging="567"/>
        <w:jc w:val="both"/>
      </w:pPr>
      <w:r>
        <w:rPr>
          <w:rFonts w:ascii="Times New Roman" w:eastAsia="Times New Roman" w:hAnsi="Times New Roman" w:cs="Times New Roman"/>
          <w:sz w:val="24"/>
          <w:szCs w:val="24"/>
        </w:rPr>
        <w:t xml:space="preserve">[19]  American Bar Association (2026). 2026 Data Security and Privacy Compliance Checklist.</w:t>
      </w:r>
    </w:p>
    <w:p>
      <w:pPr>
        <w:spacing w:after="80" w:line="276" w:lineRule="auto"/>
        <w:ind w:left="927" w:hanging="567"/>
        <w:jc w:val="both"/>
      </w:pPr>
      <w:r>
        <w:rPr>
          <w:rFonts w:ascii="Times New Roman" w:eastAsia="Times New Roman" w:hAnsi="Times New Roman" w:cs="Times New Roman"/>
          <w:sz w:val="24"/>
          <w:szCs w:val="24"/>
        </w:rPr>
        <w:t xml:space="preserve">[20]  White &amp; Case. AI Watch: Gl</w:t>
      </w:r>
      <w:r>
        <w:rPr>
          <w:rFonts w:ascii="Times New Roman" w:eastAsia="Times New Roman" w:hAnsi="Times New Roman" w:cs="Times New Roman"/>
          <w:sz w:val="24"/>
          <w:szCs w:val="24"/>
        </w:rPr>
        <w:t xml:space="preserve">obal regulatory tracker, China.</w:t>
      </w:r>
    </w:p>
    <w:p>
      <w:pPr>
        <w:spacing w:after="80" w:line="276" w:lineRule="auto"/>
        <w:ind w:left="927" w:hanging="567"/>
        <w:jc w:val="both"/>
      </w:pPr>
      <w:r>
        <w:rPr>
          <w:rFonts w:ascii="Times New Roman" w:eastAsia="Times New Roman" w:hAnsi="Times New Roman" w:cs="Times New Roman"/>
          <w:sz w:val="24"/>
          <w:szCs w:val="24"/>
        </w:rPr>
        <w:t xml:space="preserve">[21]  Cooley (2026). South Korea’s AI Basic Act: Overview and Key Takeaways.</w:t>
      </w:r>
    </w:p>
    <w:p>
      <w:pPr>
        <w:spacing w:after="80" w:line="276" w:lineRule="auto"/>
        <w:ind w:left="927" w:hanging="567"/>
        <w:jc w:val="both"/>
      </w:pPr>
      <w:r>
        <w:rPr>
          <w:rFonts w:ascii="Times New Roman" w:eastAsia="Times New Roman" w:hAnsi="Times New Roman" w:cs="Times New Roman"/>
          <w:sz w:val="24"/>
          <w:szCs w:val="24"/>
        </w:rPr>
        <w:t xml:space="preserve">[22]  Regulations.ai (2026). South Korea AI Regulation Overview.</w:t>
      </w:r>
    </w:p>
    <w:p>
      <w:pPr>
        <w:spacing w:after="80" w:line="276" w:lineRule="auto"/>
        <w:ind w:left="927" w:hanging="567"/>
        <w:jc w:val="both"/>
      </w:pPr>
      <w:r>
        <w:rPr>
          <w:rFonts w:ascii="Times New Roman" w:eastAsia="Times New Roman" w:hAnsi="Times New Roman" w:cs="Times New Roman"/>
          <w:sz w:val="24"/>
          <w:szCs w:val="24"/>
        </w:rPr>
        <w:t xml:space="preserve">[23]  iubenda (2026); Digidata (2026). Diễn biến Digital Omnibus đến tháng 9/2026.</w:t>
      </w:r>
    </w:p>
    <w:p>
      <w:pPr>
        <w:spacing w:after="80" w:line="276" w:lineRule="auto"/>
        <w:ind w:left="927" w:hanging="567"/>
        <w:jc w:val="both"/>
      </w:pPr>
      <w:r>
        <w:rPr>
          <w:rFonts w:ascii="Times New Roman" w:eastAsia="Times New Roman" w:hAnsi="Times New Roman" w:cs="Times New Roman"/>
          <w:sz w:val="24"/>
          <w:szCs w:val="24"/>
        </w:rPr>
        <w:t xml:space="preserve">[24]  Taylor Wessing (2025). Meta may continue to train AI with user data.</w:t>
      </w:r>
    </w:p>
    <w:p>
      <w:pPr>
        <w:spacing w:after="80" w:line="276" w:lineRule="auto"/>
        <w:ind w:left="927" w:hanging="567"/>
        <w:jc w:val="both"/>
      </w:pPr>
      <w:r>
        <w:rPr>
          <w:rFonts w:ascii="Times New Roman" w:eastAsia="Times New Roman" w:hAnsi="Times New Roman" w:cs="Times New Roman"/>
          <w:sz w:val="24"/>
          <w:szCs w:val="24"/>
        </w:rPr>
        <w:t xml:space="preserve">[25]  Federal Trade Commission (2021). California Company Settles FTC Allegations It Deceived Consumers about use of Facial Recognition in Photo Storage App.</w:t>
      </w:r>
    </w:p>
    <w:p>
      <w:pPr>
        <w:spacing w:after="80" w:line="276" w:lineRule="auto"/>
        <w:ind w:left="927" w:hanging="567"/>
        <w:jc w:val="both"/>
      </w:pPr>
      <w:r>
        <w:rPr>
          <w:rFonts w:ascii="Times New Roman" w:eastAsia="Times New Roman" w:hAnsi="Times New Roman" w:cs="Times New Roman"/>
          <w:sz w:val="24"/>
          <w:szCs w:val="24"/>
        </w:rPr>
        <w:t xml:space="preserve">[26]  Tổng hợp mức phạ</w:t>
      </w:r>
      <w:r>
        <w:rPr>
          <w:rFonts w:ascii="Times New Roman" w:eastAsia="Times New Roman" w:hAnsi="Times New Roman" w:cs="Times New Roman"/>
          <w:sz w:val="24"/>
          <w:szCs w:val="24"/>
        </w:rPr>
        <w:t xml:space="preserve">t của cơ quan bảo vệ dữ liệu Italy, trong đó có vụ Clearview AI năm 2022.</w:t>
      </w:r>
    </w:p>
    <w:sectPr w:rsidR="00935609" w:rsidRPr="00935609" w:rsidSect="00D74046">
      <w:headerReference w:type="even" r:id="rId18"/>
      <w:headerReference w:type="default" r:id="rId19"/>
      <w:footerReference w:type="even" r:id="rId20"/>
      <w:footerReference w:type="default" r:id="rId2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1B9D" w14:textId="77777777" w:rsidR="009D5BA8" w:rsidRDefault="009D5BA8" w:rsidP="001979C3">
      <w:pPr>
        <w:spacing w:after="0" w:line="240" w:lineRule="auto"/>
      </w:pPr>
      <w:r>
        <w:separator/>
      </w:r>
    </w:p>
  </w:endnote>
  <w:endnote w:type="continuationSeparator" w:id="0">
    <w:p w14:paraId="458B309D" w14:textId="77777777" w:rsidR="009D5BA8" w:rsidRDefault="009D5BA8" w:rsidP="0019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783C" w14:textId="4C306F3D" w:rsidR="00C72473" w:rsidRPr="00C72473" w:rsidRDefault="00C72473" w:rsidP="00C72473">
    <w:pPr>
      <w:pStyle w:val="Header"/>
      <w:rPr>
        <w:rFonts w:asciiTheme="majorHAnsi" w:hAnsiTheme="majorHAnsi" w:cstheme="majorHAnsi"/>
        <w:noProof/>
        <w:sz w:val="24"/>
        <w:szCs w:val="24"/>
      </w:rPr>
    </w:pPr>
    <w:proofErr w:type="spellStart"/>
    <w:r>
      <w:rPr>
        <w:rFonts w:asciiTheme="majorHAnsi" w:hAnsiTheme="majorHAnsi" w:cstheme="majorHAnsi"/>
        <w:i/>
        <w:sz w:val="24"/>
        <w:szCs w:val="24"/>
        <w:lang w:val="en-US"/>
      </w:rPr>
      <w:t>Đồ</w:t>
    </w:r>
    <w:proofErr w:type="spellEnd"/>
    <w:r>
      <w:rPr>
        <w:rFonts w:asciiTheme="majorHAnsi" w:hAnsiTheme="majorHAnsi" w:cstheme="majorHAnsi"/>
        <w:i/>
        <w:sz w:val="24"/>
        <w:szCs w:val="24"/>
        <w:lang w:val="en-US"/>
      </w:rPr>
      <w:t xml:space="preserve"> </w:t>
    </w:r>
    <w:proofErr w:type="spellStart"/>
    <w:r>
      <w:rPr>
        <w:rFonts w:asciiTheme="majorHAnsi" w:hAnsiTheme="majorHAnsi" w:cstheme="majorHAnsi"/>
        <w:i/>
        <w:sz w:val="24"/>
        <w:szCs w:val="24"/>
        <w:lang w:val="en-US"/>
      </w:rPr>
      <w:t>án</w:t>
    </w:r>
    <w:proofErr w:type="spellEnd"/>
    <w:r>
      <w:rPr>
        <w:rFonts w:asciiTheme="majorHAnsi" w:hAnsiTheme="majorHAnsi" w:cstheme="majorHAnsi"/>
        <w:i/>
        <w:sz w:val="24"/>
        <w:szCs w:val="24"/>
        <w:lang w:val="en-US"/>
      </w:rPr>
      <w:t xml:space="preserve"> </w:t>
    </w:r>
    <w:proofErr w:type="spellStart"/>
    <w:r>
      <w:rPr>
        <w:rFonts w:asciiTheme="majorHAnsi" w:hAnsiTheme="majorHAnsi" w:cstheme="majorHAnsi"/>
        <w:i/>
        <w:sz w:val="24"/>
        <w:szCs w:val="24"/>
        <w:lang w:val="en-US"/>
      </w:rPr>
      <w:t>môn</w:t>
    </w:r>
    <w:proofErr w:type="spellEnd"/>
    <w:r>
      <w:rPr>
        <w:rFonts w:asciiTheme="majorHAnsi" w:hAnsiTheme="majorHAnsi" w:cstheme="majorHAnsi"/>
        <w:i/>
        <w:sz w:val="24"/>
        <w:szCs w:val="24"/>
        <w:lang w:val="en-US"/>
      </w:rPr>
      <w:t xml:space="preserve"> </w:t>
    </w:r>
    <w:proofErr w:type="spellStart"/>
    <w:r>
      <w:rPr>
        <w:rFonts w:asciiTheme="majorHAnsi" w:hAnsiTheme="majorHAnsi" w:cstheme="majorHAnsi"/>
        <w:i/>
        <w:sz w:val="24"/>
        <w:szCs w:val="24"/>
        <w:lang w:val="en-US"/>
      </w:rPr>
      <w:t>học</w:t>
    </w:r>
    <w:proofErr w:type="spellEnd"/>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55905937"/>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D388" w14:textId="755E51ED" w:rsidR="00A955DC" w:rsidRPr="00C72473" w:rsidRDefault="00A955DC" w:rsidP="00C7247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11808981"/>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6CAA" w14:textId="0E419743" w:rsidR="007057DD" w:rsidRPr="00984D43" w:rsidRDefault="00984D43" w:rsidP="00984D4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973090635"/>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14AC" w14:textId="77777777" w:rsidR="00984D43" w:rsidRDefault="00000000">
    <w:pPr>
      <w:pStyle w:val="Footer"/>
    </w:pPr>
    <w:sdt>
      <w:sdtPr>
        <w:rPr>
          <w:rFonts w:asciiTheme="majorHAnsi" w:hAnsiTheme="majorHAnsi" w:cstheme="majorHAnsi"/>
          <w:sz w:val="24"/>
          <w:szCs w:val="24"/>
        </w:rPr>
        <w:id w:val="-1709017973"/>
        <w:docPartObj>
          <w:docPartGallery w:val="Page Numbers (Top of Page)"/>
          <w:docPartUnique/>
        </w:docPartObj>
      </w:sdtPr>
      <w:sdtEndPr>
        <w:rPr>
          <w:noProof/>
        </w:rPr>
      </w:sdtEndPr>
      <w:sdtContent>
        <w:r w:rsidR="00984D43" w:rsidRPr="000A7B7D">
          <w:rPr>
            <w:rFonts w:asciiTheme="majorHAnsi" w:hAnsiTheme="majorHAnsi" w:cstheme="majorHAnsi"/>
            <w:sz w:val="24"/>
            <w:szCs w:val="24"/>
          </w:rPr>
          <w:fldChar w:fldCharType="begin"/>
        </w:r>
        <w:r w:rsidR="00984D43" w:rsidRPr="000A7B7D">
          <w:rPr>
            <w:rFonts w:asciiTheme="majorHAnsi" w:hAnsiTheme="majorHAnsi" w:cstheme="majorHAnsi"/>
            <w:sz w:val="24"/>
            <w:szCs w:val="24"/>
          </w:rPr>
          <w:instrText xml:space="preserve"> PAGE   \* MERGEFORMAT </w:instrText>
        </w:r>
        <w:r w:rsidR="00984D43" w:rsidRPr="000A7B7D">
          <w:rPr>
            <w:rFonts w:asciiTheme="majorHAnsi" w:hAnsiTheme="majorHAnsi" w:cstheme="majorHAnsi"/>
            <w:sz w:val="24"/>
            <w:szCs w:val="24"/>
          </w:rPr>
          <w:fldChar w:fldCharType="separate"/>
        </w:r>
        <w:r w:rsidR="00984D43">
          <w:rPr>
            <w:rFonts w:asciiTheme="majorHAnsi" w:hAnsiTheme="majorHAnsi" w:cstheme="majorHAnsi"/>
            <w:sz w:val="24"/>
            <w:szCs w:val="24"/>
          </w:rPr>
          <w:t>2</w:t>
        </w:r>
        <w:r w:rsidR="00984D43" w:rsidRPr="000A7B7D">
          <w:rPr>
            <w:rFonts w:asciiTheme="majorHAnsi" w:hAnsiTheme="majorHAnsi" w:cstheme="majorHAnsi"/>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ADD2" w14:textId="77777777" w:rsidR="009D5BA8" w:rsidRDefault="009D5BA8" w:rsidP="001979C3">
      <w:pPr>
        <w:spacing w:after="0" w:line="240" w:lineRule="auto"/>
      </w:pPr>
      <w:r>
        <w:separator/>
      </w:r>
    </w:p>
  </w:footnote>
  <w:footnote w:type="continuationSeparator" w:id="0">
    <w:p w14:paraId="60138F51" w14:textId="77777777" w:rsidR="009D5BA8" w:rsidRDefault="009D5BA8" w:rsidP="0019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344" w14:textId="4FDB6ADD" w:rsidR="000A7B7D" w:rsidRPr="000A7B7D" w:rsidRDefault="000A7B7D" w:rsidP="000A7B7D">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sdt>
      <w:sdtPr>
        <w:rPr>
          <w:rFonts w:asciiTheme="majorHAnsi" w:hAnsiTheme="majorHAnsi" w:cstheme="majorHAnsi"/>
          <w:sz w:val="24"/>
          <w:szCs w:val="24"/>
        </w:rPr>
        <w:id w:val="-160703572"/>
        <w:docPartObj>
          <w:docPartGallery w:val="Page Numbers (Top of Page)"/>
          <w:docPartUnique/>
        </w:docPartObj>
      </w:sdtPr>
      <w:sdtEndPr>
        <w:rPr>
          <w:noProof/>
        </w:rPr>
      </w:sdtEndPr>
      <w:sdtContent/>
    </w:sdt>
  </w:p>
  <w:p w14:paraId="416F9488" w14:textId="2A2226C6" w:rsidR="001979C3" w:rsidRPr="000A7B7D" w:rsidRDefault="001979C3">
    <w:pPr>
      <w:pStyle w:val="Header"/>
      <w:rPr>
        <w:rFonts w:asciiTheme="majorHAnsi" w:hAnsiTheme="majorHAnsi" w:cstheme="majorHAnsi"/>
        <w:i/>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8170" w14:textId="203ADF96" w:rsidR="007057DD" w:rsidRPr="00984D43" w:rsidRDefault="00B52627">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007057DD" w:rsidRPr="000A7B7D">
      <w:rPr>
        <w:rFonts w:asciiTheme="majorHAnsi" w:hAnsiTheme="majorHAnsi" w:cstheme="majorHAnsi"/>
        <w:i/>
        <w:sz w:val="24"/>
        <w:szCs w:val="24"/>
        <w:lang w:val="en-US"/>
      </w:rPr>
      <w:tab/>
    </w:r>
    <w:r w:rsidR="007057DD" w:rsidRPr="000A7B7D">
      <w:rPr>
        <w:rFonts w:asciiTheme="majorHAnsi" w:hAnsiTheme="majorHAnsi" w:cstheme="majorHAnsi"/>
        <w:i/>
        <w:sz w:val="24"/>
        <w:szCs w:val="24"/>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4A5E" w14:textId="580555B5" w:rsidR="009503D9" w:rsidRPr="001A29EB" w:rsidRDefault="009503D9">
    <w:pPr>
      <w:pStyle w:val="Header"/>
      <w:rPr>
        <w:rFonts w:asciiTheme="majorHAnsi" w:hAnsiTheme="majorHAnsi" w:cstheme="majorHAnsi"/>
        <w:i/>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0B460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652D80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D9C4501"/>
    <w:multiLevelType w:val="hybridMultilevel"/>
    <w:tmpl w:val="1142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02136"/>
    <w:multiLevelType w:val="hybridMultilevel"/>
    <w:tmpl w:val="AB10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73BE9"/>
    <w:multiLevelType w:val="hybridMultilevel"/>
    <w:tmpl w:val="4DE4B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D6377B"/>
    <w:multiLevelType w:val="hybridMultilevel"/>
    <w:tmpl w:val="60425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C56EDD"/>
    <w:multiLevelType w:val="hybridMultilevel"/>
    <w:tmpl w:val="DE5AD4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49B0D66"/>
    <w:multiLevelType w:val="hybridMultilevel"/>
    <w:tmpl w:val="51162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E006A"/>
    <w:multiLevelType w:val="hybridMultilevel"/>
    <w:tmpl w:val="318AC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921242">
    <w:abstractNumId w:val="6"/>
  </w:num>
  <w:num w:numId="2" w16cid:durableId="1806194015">
    <w:abstractNumId w:val="1"/>
  </w:num>
  <w:num w:numId="3" w16cid:durableId="1516076388">
    <w:abstractNumId w:val="3"/>
  </w:num>
  <w:num w:numId="4" w16cid:durableId="466822658">
    <w:abstractNumId w:val="0"/>
  </w:num>
  <w:num w:numId="5" w16cid:durableId="751512270">
    <w:abstractNumId w:val="7"/>
  </w:num>
  <w:num w:numId="6" w16cid:durableId="284852105">
    <w:abstractNumId w:val="2"/>
  </w:num>
  <w:num w:numId="7" w16cid:durableId="385421134">
    <w:abstractNumId w:val="8"/>
  </w:num>
  <w:num w:numId="8" w16cid:durableId="735905152">
    <w:abstractNumId w:val="4"/>
  </w:num>
  <w:num w:numId="9" w16cid:durableId="81074903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04"/>
    <w:rsid w:val="00001B5B"/>
    <w:rsid w:val="00002583"/>
    <w:rsid w:val="0001086E"/>
    <w:rsid w:val="000108D3"/>
    <w:rsid w:val="00011314"/>
    <w:rsid w:val="000121D7"/>
    <w:rsid w:val="00012264"/>
    <w:rsid w:val="00013812"/>
    <w:rsid w:val="00016BF3"/>
    <w:rsid w:val="00017635"/>
    <w:rsid w:val="00020CBA"/>
    <w:rsid w:val="00023A37"/>
    <w:rsid w:val="000249A9"/>
    <w:rsid w:val="00024BF5"/>
    <w:rsid w:val="00027A05"/>
    <w:rsid w:val="000313C2"/>
    <w:rsid w:val="00031470"/>
    <w:rsid w:val="000318B8"/>
    <w:rsid w:val="00031E0E"/>
    <w:rsid w:val="00034DA7"/>
    <w:rsid w:val="00035879"/>
    <w:rsid w:val="0004061D"/>
    <w:rsid w:val="00042911"/>
    <w:rsid w:val="00042EFE"/>
    <w:rsid w:val="00044DEB"/>
    <w:rsid w:val="00045677"/>
    <w:rsid w:val="00050C07"/>
    <w:rsid w:val="00051E78"/>
    <w:rsid w:val="000531EF"/>
    <w:rsid w:val="00057341"/>
    <w:rsid w:val="0006013E"/>
    <w:rsid w:val="00060235"/>
    <w:rsid w:val="00060A39"/>
    <w:rsid w:val="000611BE"/>
    <w:rsid w:val="0006348B"/>
    <w:rsid w:val="0006350A"/>
    <w:rsid w:val="000637A4"/>
    <w:rsid w:val="0006490C"/>
    <w:rsid w:val="00065348"/>
    <w:rsid w:val="00065E6B"/>
    <w:rsid w:val="000706EF"/>
    <w:rsid w:val="000721BB"/>
    <w:rsid w:val="00073D0C"/>
    <w:rsid w:val="0007478E"/>
    <w:rsid w:val="000753F5"/>
    <w:rsid w:val="0007550C"/>
    <w:rsid w:val="00076BE7"/>
    <w:rsid w:val="00085030"/>
    <w:rsid w:val="0009177D"/>
    <w:rsid w:val="00091829"/>
    <w:rsid w:val="00094479"/>
    <w:rsid w:val="000949DF"/>
    <w:rsid w:val="00094E86"/>
    <w:rsid w:val="00095261"/>
    <w:rsid w:val="00096E43"/>
    <w:rsid w:val="000A2414"/>
    <w:rsid w:val="000A28EB"/>
    <w:rsid w:val="000A2F66"/>
    <w:rsid w:val="000A4DA0"/>
    <w:rsid w:val="000A5C49"/>
    <w:rsid w:val="000A79AB"/>
    <w:rsid w:val="000A7B7D"/>
    <w:rsid w:val="000B0CEC"/>
    <w:rsid w:val="000B2552"/>
    <w:rsid w:val="000B70AE"/>
    <w:rsid w:val="000C0459"/>
    <w:rsid w:val="000C0F01"/>
    <w:rsid w:val="000C1B44"/>
    <w:rsid w:val="000C5973"/>
    <w:rsid w:val="000C6133"/>
    <w:rsid w:val="000C73AA"/>
    <w:rsid w:val="000D1D38"/>
    <w:rsid w:val="000D3CCB"/>
    <w:rsid w:val="000D40D8"/>
    <w:rsid w:val="000E4EF9"/>
    <w:rsid w:val="000E76A3"/>
    <w:rsid w:val="000E7CA5"/>
    <w:rsid w:val="000F3695"/>
    <w:rsid w:val="000F5244"/>
    <w:rsid w:val="001000CB"/>
    <w:rsid w:val="001024BE"/>
    <w:rsid w:val="001027DF"/>
    <w:rsid w:val="001059EE"/>
    <w:rsid w:val="00110B43"/>
    <w:rsid w:val="00111813"/>
    <w:rsid w:val="0011331F"/>
    <w:rsid w:val="001150CC"/>
    <w:rsid w:val="001167B3"/>
    <w:rsid w:val="00116A62"/>
    <w:rsid w:val="0012172C"/>
    <w:rsid w:val="00122C25"/>
    <w:rsid w:val="00123B3F"/>
    <w:rsid w:val="00124A85"/>
    <w:rsid w:val="00126E32"/>
    <w:rsid w:val="00130483"/>
    <w:rsid w:val="00130CC1"/>
    <w:rsid w:val="00131366"/>
    <w:rsid w:val="00131A44"/>
    <w:rsid w:val="00134433"/>
    <w:rsid w:val="00135065"/>
    <w:rsid w:val="001366D0"/>
    <w:rsid w:val="00137898"/>
    <w:rsid w:val="001433DB"/>
    <w:rsid w:val="00144051"/>
    <w:rsid w:val="001453FA"/>
    <w:rsid w:val="00146F82"/>
    <w:rsid w:val="001477B5"/>
    <w:rsid w:val="001537EE"/>
    <w:rsid w:val="00154150"/>
    <w:rsid w:val="0015522F"/>
    <w:rsid w:val="00156526"/>
    <w:rsid w:val="001569FC"/>
    <w:rsid w:val="00156F8F"/>
    <w:rsid w:val="00165DBC"/>
    <w:rsid w:val="00167139"/>
    <w:rsid w:val="00167E93"/>
    <w:rsid w:val="00171064"/>
    <w:rsid w:val="00182F7F"/>
    <w:rsid w:val="00184B26"/>
    <w:rsid w:val="00190A9B"/>
    <w:rsid w:val="00190ADF"/>
    <w:rsid w:val="00193F4E"/>
    <w:rsid w:val="0019490F"/>
    <w:rsid w:val="001979C3"/>
    <w:rsid w:val="001A1B74"/>
    <w:rsid w:val="001A1D9C"/>
    <w:rsid w:val="001A27EC"/>
    <w:rsid w:val="001A28DE"/>
    <w:rsid w:val="001A29EB"/>
    <w:rsid w:val="001A4F1E"/>
    <w:rsid w:val="001B0CFA"/>
    <w:rsid w:val="001B1566"/>
    <w:rsid w:val="001B2880"/>
    <w:rsid w:val="001B49C3"/>
    <w:rsid w:val="001B4D34"/>
    <w:rsid w:val="001B6250"/>
    <w:rsid w:val="001B648D"/>
    <w:rsid w:val="001C2DCC"/>
    <w:rsid w:val="001C3B82"/>
    <w:rsid w:val="001D20BC"/>
    <w:rsid w:val="001D66CF"/>
    <w:rsid w:val="001D7B0E"/>
    <w:rsid w:val="001E0FB9"/>
    <w:rsid w:val="001E680E"/>
    <w:rsid w:val="001E7F35"/>
    <w:rsid w:val="001F55BC"/>
    <w:rsid w:val="001F78E9"/>
    <w:rsid w:val="002011B3"/>
    <w:rsid w:val="00203F77"/>
    <w:rsid w:val="00204B23"/>
    <w:rsid w:val="00205123"/>
    <w:rsid w:val="00206307"/>
    <w:rsid w:val="00206C9A"/>
    <w:rsid w:val="002105F7"/>
    <w:rsid w:val="002134BA"/>
    <w:rsid w:val="00213725"/>
    <w:rsid w:val="00217D1D"/>
    <w:rsid w:val="00217FE5"/>
    <w:rsid w:val="00223F60"/>
    <w:rsid w:val="002274AF"/>
    <w:rsid w:val="00230D0A"/>
    <w:rsid w:val="002322BC"/>
    <w:rsid w:val="00234B55"/>
    <w:rsid w:val="0023770C"/>
    <w:rsid w:val="002377BC"/>
    <w:rsid w:val="00241191"/>
    <w:rsid w:val="00241E65"/>
    <w:rsid w:val="00242931"/>
    <w:rsid w:val="00245C57"/>
    <w:rsid w:val="00245D03"/>
    <w:rsid w:val="002522E0"/>
    <w:rsid w:val="0025272C"/>
    <w:rsid w:val="00256141"/>
    <w:rsid w:val="00256E08"/>
    <w:rsid w:val="00260512"/>
    <w:rsid w:val="00262EC0"/>
    <w:rsid w:val="002633FD"/>
    <w:rsid w:val="00264CB1"/>
    <w:rsid w:val="00266306"/>
    <w:rsid w:val="00266F16"/>
    <w:rsid w:val="00267AFB"/>
    <w:rsid w:val="00267CF6"/>
    <w:rsid w:val="0027456F"/>
    <w:rsid w:val="00274EB1"/>
    <w:rsid w:val="0028116E"/>
    <w:rsid w:val="00286699"/>
    <w:rsid w:val="0029197B"/>
    <w:rsid w:val="00292622"/>
    <w:rsid w:val="00293B2C"/>
    <w:rsid w:val="00294895"/>
    <w:rsid w:val="00295ACB"/>
    <w:rsid w:val="002973E3"/>
    <w:rsid w:val="002974BF"/>
    <w:rsid w:val="002A4A56"/>
    <w:rsid w:val="002A4FA5"/>
    <w:rsid w:val="002B0070"/>
    <w:rsid w:val="002B4AD1"/>
    <w:rsid w:val="002B6A0C"/>
    <w:rsid w:val="002C08C8"/>
    <w:rsid w:val="002C17B8"/>
    <w:rsid w:val="002C33F1"/>
    <w:rsid w:val="002C3649"/>
    <w:rsid w:val="002C506D"/>
    <w:rsid w:val="002C7726"/>
    <w:rsid w:val="002D67B1"/>
    <w:rsid w:val="002D6874"/>
    <w:rsid w:val="002D6DBB"/>
    <w:rsid w:val="002E2D21"/>
    <w:rsid w:val="002E4304"/>
    <w:rsid w:val="002E43CA"/>
    <w:rsid w:val="002F0966"/>
    <w:rsid w:val="002F254B"/>
    <w:rsid w:val="00304E38"/>
    <w:rsid w:val="0030783F"/>
    <w:rsid w:val="00316387"/>
    <w:rsid w:val="00317619"/>
    <w:rsid w:val="00317DFB"/>
    <w:rsid w:val="00320400"/>
    <w:rsid w:val="003223F2"/>
    <w:rsid w:val="00323D0E"/>
    <w:rsid w:val="00326B9E"/>
    <w:rsid w:val="00330559"/>
    <w:rsid w:val="00331464"/>
    <w:rsid w:val="003330C2"/>
    <w:rsid w:val="00337184"/>
    <w:rsid w:val="003409FC"/>
    <w:rsid w:val="003419AA"/>
    <w:rsid w:val="0034331A"/>
    <w:rsid w:val="00343532"/>
    <w:rsid w:val="003447F6"/>
    <w:rsid w:val="00345802"/>
    <w:rsid w:val="00350558"/>
    <w:rsid w:val="00354ADC"/>
    <w:rsid w:val="00356A0A"/>
    <w:rsid w:val="0036016D"/>
    <w:rsid w:val="003602B7"/>
    <w:rsid w:val="003634A2"/>
    <w:rsid w:val="0036761E"/>
    <w:rsid w:val="00367D13"/>
    <w:rsid w:val="00373758"/>
    <w:rsid w:val="00373C4D"/>
    <w:rsid w:val="00374AAA"/>
    <w:rsid w:val="003755FE"/>
    <w:rsid w:val="003764E6"/>
    <w:rsid w:val="00376CA5"/>
    <w:rsid w:val="00377D08"/>
    <w:rsid w:val="00385E34"/>
    <w:rsid w:val="00395C2A"/>
    <w:rsid w:val="00397BE4"/>
    <w:rsid w:val="003A09BD"/>
    <w:rsid w:val="003A0E42"/>
    <w:rsid w:val="003A1B98"/>
    <w:rsid w:val="003A30B4"/>
    <w:rsid w:val="003A3C27"/>
    <w:rsid w:val="003A3D20"/>
    <w:rsid w:val="003A6470"/>
    <w:rsid w:val="003A69C6"/>
    <w:rsid w:val="003A6BB2"/>
    <w:rsid w:val="003A7B03"/>
    <w:rsid w:val="003B2232"/>
    <w:rsid w:val="003B34DF"/>
    <w:rsid w:val="003C3610"/>
    <w:rsid w:val="003C4498"/>
    <w:rsid w:val="003C728C"/>
    <w:rsid w:val="003D1BA9"/>
    <w:rsid w:val="003D23A4"/>
    <w:rsid w:val="003D43D9"/>
    <w:rsid w:val="003D4CF6"/>
    <w:rsid w:val="003D520C"/>
    <w:rsid w:val="003D5D5E"/>
    <w:rsid w:val="003E04CC"/>
    <w:rsid w:val="003E0A95"/>
    <w:rsid w:val="003E1A80"/>
    <w:rsid w:val="003E274D"/>
    <w:rsid w:val="00404F9D"/>
    <w:rsid w:val="004056EE"/>
    <w:rsid w:val="004079F1"/>
    <w:rsid w:val="0041190B"/>
    <w:rsid w:val="00411B5A"/>
    <w:rsid w:val="004121DB"/>
    <w:rsid w:val="00413A33"/>
    <w:rsid w:val="00416691"/>
    <w:rsid w:val="0042026C"/>
    <w:rsid w:val="004215D5"/>
    <w:rsid w:val="00422782"/>
    <w:rsid w:val="0042332A"/>
    <w:rsid w:val="00424645"/>
    <w:rsid w:val="00424824"/>
    <w:rsid w:val="0042496D"/>
    <w:rsid w:val="00425189"/>
    <w:rsid w:val="0042781B"/>
    <w:rsid w:val="0043160F"/>
    <w:rsid w:val="0043483D"/>
    <w:rsid w:val="00435DAB"/>
    <w:rsid w:val="00437A36"/>
    <w:rsid w:val="00447526"/>
    <w:rsid w:val="00447C13"/>
    <w:rsid w:val="00447D1C"/>
    <w:rsid w:val="00450BC6"/>
    <w:rsid w:val="0045416E"/>
    <w:rsid w:val="00454DF4"/>
    <w:rsid w:val="00454F6A"/>
    <w:rsid w:val="00455A9B"/>
    <w:rsid w:val="004645D3"/>
    <w:rsid w:val="00466EAF"/>
    <w:rsid w:val="00472D3D"/>
    <w:rsid w:val="00473332"/>
    <w:rsid w:val="00474966"/>
    <w:rsid w:val="00475B8B"/>
    <w:rsid w:val="00476867"/>
    <w:rsid w:val="00477CC2"/>
    <w:rsid w:val="00477E41"/>
    <w:rsid w:val="00481F9D"/>
    <w:rsid w:val="00482938"/>
    <w:rsid w:val="00487DDE"/>
    <w:rsid w:val="004915D8"/>
    <w:rsid w:val="0049202E"/>
    <w:rsid w:val="00492C50"/>
    <w:rsid w:val="004943F9"/>
    <w:rsid w:val="00496031"/>
    <w:rsid w:val="00496551"/>
    <w:rsid w:val="004A0A7F"/>
    <w:rsid w:val="004B3F66"/>
    <w:rsid w:val="004B4301"/>
    <w:rsid w:val="004B5FA8"/>
    <w:rsid w:val="004B7409"/>
    <w:rsid w:val="004C0BF4"/>
    <w:rsid w:val="004C3DFD"/>
    <w:rsid w:val="004C5884"/>
    <w:rsid w:val="004D1003"/>
    <w:rsid w:val="004D4AE8"/>
    <w:rsid w:val="004D502D"/>
    <w:rsid w:val="004D791E"/>
    <w:rsid w:val="004E138C"/>
    <w:rsid w:val="004E19A6"/>
    <w:rsid w:val="004E333D"/>
    <w:rsid w:val="004E63C8"/>
    <w:rsid w:val="004F010E"/>
    <w:rsid w:val="004F133E"/>
    <w:rsid w:val="004F2229"/>
    <w:rsid w:val="004F3545"/>
    <w:rsid w:val="004F469C"/>
    <w:rsid w:val="004F525C"/>
    <w:rsid w:val="004F7A5C"/>
    <w:rsid w:val="00502FAC"/>
    <w:rsid w:val="0050367F"/>
    <w:rsid w:val="00504868"/>
    <w:rsid w:val="0050559E"/>
    <w:rsid w:val="00505741"/>
    <w:rsid w:val="00506D18"/>
    <w:rsid w:val="00511B19"/>
    <w:rsid w:val="00512A46"/>
    <w:rsid w:val="00515ED8"/>
    <w:rsid w:val="0051639B"/>
    <w:rsid w:val="005174F6"/>
    <w:rsid w:val="00520CD1"/>
    <w:rsid w:val="00521168"/>
    <w:rsid w:val="00521772"/>
    <w:rsid w:val="005224A6"/>
    <w:rsid w:val="00531D55"/>
    <w:rsid w:val="00532D44"/>
    <w:rsid w:val="005346BC"/>
    <w:rsid w:val="00535F96"/>
    <w:rsid w:val="00540088"/>
    <w:rsid w:val="005408A8"/>
    <w:rsid w:val="0054209C"/>
    <w:rsid w:val="0054629A"/>
    <w:rsid w:val="005510E3"/>
    <w:rsid w:val="00551C14"/>
    <w:rsid w:val="00553CE5"/>
    <w:rsid w:val="0055520F"/>
    <w:rsid w:val="00556528"/>
    <w:rsid w:val="0056263F"/>
    <w:rsid w:val="0056335F"/>
    <w:rsid w:val="005634D4"/>
    <w:rsid w:val="005635C5"/>
    <w:rsid w:val="00564428"/>
    <w:rsid w:val="005677A1"/>
    <w:rsid w:val="00573CC8"/>
    <w:rsid w:val="00586768"/>
    <w:rsid w:val="0059278F"/>
    <w:rsid w:val="00592CA7"/>
    <w:rsid w:val="005947C7"/>
    <w:rsid w:val="00595AAB"/>
    <w:rsid w:val="005972ED"/>
    <w:rsid w:val="005A1DB6"/>
    <w:rsid w:val="005A346B"/>
    <w:rsid w:val="005A36A1"/>
    <w:rsid w:val="005A6D68"/>
    <w:rsid w:val="005A7438"/>
    <w:rsid w:val="005A783B"/>
    <w:rsid w:val="005B0EBE"/>
    <w:rsid w:val="005B5841"/>
    <w:rsid w:val="005B6BA6"/>
    <w:rsid w:val="005C2A84"/>
    <w:rsid w:val="005C4E13"/>
    <w:rsid w:val="005C60CB"/>
    <w:rsid w:val="005C6F63"/>
    <w:rsid w:val="005D295D"/>
    <w:rsid w:val="005D518F"/>
    <w:rsid w:val="005D5212"/>
    <w:rsid w:val="005E14B3"/>
    <w:rsid w:val="005E14DE"/>
    <w:rsid w:val="005E213D"/>
    <w:rsid w:val="005E5D86"/>
    <w:rsid w:val="005E6035"/>
    <w:rsid w:val="005E60EE"/>
    <w:rsid w:val="005E7958"/>
    <w:rsid w:val="005F022A"/>
    <w:rsid w:val="005F0E0A"/>
    <w:rsid w:val="005F5096"/>
    <w:rsid w:val="005F52F6"/>
    <w:rsid w:val="005F6663"/>
    <w:rsid w:val="005F763E"/>
    <w:rsid w:val="005F7CC6"/>
    <w:rsid w:val="00600551"/>
    <w:rsid w:val="00600D13"/>
    <w:rsid w:val="00601B8A"/>
    <w:rsid w:val="00601F1C"/>
    <w:rsid w:val="006051A3"/>
    <w:rsid w:val="00611956"/>
    <w:rsid w:val="0061225E"/>
    <w:rsid w:val="00612D97"/>
    <w:rsid w:val="00613ABB"/>
    <w:rsid w:val="00613E5F"/>
    <w:rsid w:val="00615095"/>
    <w:rsid w:val="00617539"/>
    <w:rsid w:val="0062345E"/>
    <w:rsid w:val="006239F4"/>
    <w:rsid w:val="00623BC2"/>
    <w:rsid w:val="00626557"/>
    <w:rsid w:val="00627144"/>
    <w:rsid w:val="006272D6"/>
    <w:rsid w:val="0063001A"/>
    <w:rsid w:val="00632E36"/>
    <w:rsid w:val="006362EF"/>
    <w:rsid w:val="00640438"/>
    <w:rsid w:val="00644BEC"/>
    <w:rsid w:val="00645B76"/>
    <w:rsid w:val="0064799C"/>
    <w:rsid w:val="00653667"/>
    <w:rsid w:val="0065434A"/>
    <w:rsid w:val="0065446B"/>
    <w:rsid w:val="00654735"/>
    <w:rsid w:val="00655D04"/>
    <w:rsid w:val="00655E85"/>
    <w:rsid w:val="00657762"/>
    <w:rsid w:val="0066517D"/>
    <w:rsid w:val="0066785C"/>
    <w:rsid w:val="00670362"/>
    <w:rsid w:val="00670B49"/>
    <w:rsid w:val="00674802"/>
    <w:rsid w:val="00680744"/>
    <w:rsid w:val="00680E33"/>
    <w:rsid w:val="00682DFB"/>
    <w:rsid w:val="00683C2A"/>
    <w:rsid w:val="00685D82"/>
    <w:rsid w:val="006868DE"/>
    <w:rsid w:val="0069028F"/>
    <w:rsid w:val="006913DC"/>
    <w:rsid w:val="006916B9"/>
    <w:rsid w:val="006957DC"/>
    <w:rsid w:val="00696FE4"/>
    <w:rsid w:val="006A0029"/>
    <w:rsid w:val="006A28B5"/>
    <w:rsid w:val="006A69AE"/>
    <w:rsid w:val="006B0418"/>
    <w:rsid w:val="006B6D3A"/>
    <w:rsid w:val="006B7167"/>
    <w:rsid w:val="006B7EB2"/>
    <w:rsid w:val="006C051C"/>
    <w:rsid w:val="006C07F0"/>
    <w:rsid w:val="006C2829"/>
    <w:rsid w:val="006C3C86"/>
    <w:rsid w:val="006C3D07"/>
    <w:rsid w:val="006C4BB2"/>
    <w:rsid w:val="006C5531"/>
    <w:rsid w:val="006C59FC"/>
    <w:rsid w:val="006D25EF"/>
    <w:rsid w:val="006D2F3B"/>
    <w:rsid w:val="006D3693"/>
    <w:rsid w:val="006D3DBE"/>
    <w:rsid w:val="006D7698"/>
    <w:rsid w:val="006E1888"/>
    <w:rsid w:val="006E3545"/>
    <w:rsid w:val="006E36FA"/>
    <w:rsid w:val="006E41D9"/>
    <w:rsid w:val="006E7027"/>
    <w:rsid w:val="006E7BB4"/>
    <w:rsid w:val="006F079A"/>
    <w:rsid w:val="006F2769"/>
    <w:rsid w:val="006F2C86"/>
    <w:rsid w:val="006F415F"/>
    <w:rsid w:val="006F49C7"/>
    <w:rsid w:val="006F5B5B"/>
    <w:rsid w:val="0070017B"/>
    <w:rsid w:val="0070171B"/>
    <w:rsid w:val="00701B87"/>
    <w:rsid w:val="00702878"/>
    <w:rsid w:val="007057DD"/>
    <w:rsid w:val="00705E08"/>
    <w:rsid w:val="007101A4"/>
    <w:rsid w:val="007112A1"/>
    <w:rsid w:val="007122E6"/>
    <w:rsid w:val="00713278"/>
    <w:rsid w:val="00715D87"/>
    <w:rsid w:val="00717E18"/>
    <w:rsid w:val="00721080"/>
    <w:rsid w:val="00722051"/>
    <w:rsid w:val="00723900"/>
    <w:rsid w:val="00723EEF"/>
    <w:rsid w:val="00724051"/>
    <w:rsid w:val="00724C82"/>
    <w:rsid w:val="00730224"/>
    <w:rsid w:val="0073039C"/>
    <w:rsid w:val="00731497"/>
    <w:rsid w:val="0073359F"/>
    <w:rsid w:val="00733A8B"/>
    <w:rsid w:val="007368A0"/>
    <w:rsid w:val="00744034"/>
    <w:rsid w:val="00744810"/>
    <w:rsid w:val="00745B1F"/>
    <w:rsid w:val="00750B03"/>
    <w:rsid w:val="00750BA0"/>
    <w:rsid w:val="00753ECA"/>
    <w:rsid w:val="0076285C"/>
    <w:rsid w:val="00762E7C"/>
    <w:rsid w:val="00765AEE"/>
    <w:rsid w:val="0076614D"/>
    <w:rsid w:val="007713DF"/>
    <w:rsid w:val="00771D27"/>
    <w:rsid w:val="007759CF"/>
    <w:rsid w:val="007771E5"/>
    <w:rsid w:val="007774B3"/>
    <w:rsid w:val="00777807"/>
    <w:rsid w:val="00781629"/>
    <w:rsid w:val="007825FD"/>
    <w:rsid w:val="007837D5"/>
    <w:rsid w:val="00784D87"/>
    <w:rsid w:val="00786DD8"/>
    <w:rsid w:val="0078766E"/>
    <w:rsid w:val="00792589"/>
    <w:rsid w:val="00792D1A"/>
    <w:rsid w:val="007959A6"/>
    <w:rsid w:val="00796F94"/>
    <w:rsid w:val="00797D7B"/>
    <w:rsid w:val="007A0A84"/>
    <w:rsid w:val="007A0BA7"/>
    <w:rsid w:val="007A2136"/>
    <w:rsid w:val="007A25FE"/>
    <w:rsid w:val="007A3388"/>
    <w:rsid w:val="007A3696"/>
    <w:rsid w:val="007A48F4"/>
    <w:rsid w:val="007A4C54"/>
    <w:rsid w:val="007A6353"/>
    <w:rsid w:val="007B1362"/>
    <w:rsid w:val="007B156B"/>
    <w:rsid w:val="007B1860"/>
    <w:rsid w:val="007B2C33"/>
    <w:rsid w:val="007B49BB"/>
    <w:rsid w:val="007B5F90"/>
    <w:rsid w:val="007B7248"/>
    <w:rsid w:val="007C13E1"/>
    <w:rsid w:val="007C2D10"/>
    <w:rsid w:val="007C3B8C"/>
    <w:rsid w:val="007C5282"/>
    <w:rsid w:val="007C5FF5"/>
    <w:rsid w:val="007D0259"/>
    <w:rsid w:val="007D173E"/>
    <w:rsid w:val="007D36EB"/>
    <w:rsid w:val="007D3825"/>
    <w:rsid w:val="007D45BA"/>
    <w:rsid w:val="007D4C37"/>
    <w:rsid w:val="007D7C03"/>
    <w:rsid w:val="007E060E"/>
    <w:rsid w:val="007E365D"/>
    <w:rsid w:val="007E38CA"/>
    <w:rsid w:val="007E6F85"/>
    <w:rsid w:val="007F1D8A"/>
    <w:rsid w:val="007F1E28"/>
    <w:rsid w:val="007F2479"/>
    <w:rsid w:val="007F784D"/>
    <w:rsid w:val="008006A7"/>
    <w:rsid w:val="0080091E"/>
    <w:rsid w:val="00803397"/>
    <w:rsid w:val="00804351"/>
    <w:rsid w:val="00805722"/>
    <w:rsid w:val="0080762C"/>
    <w:rsid w:val="00810327"/>
    <w:rsid w:val="0081221E"/>
    <w:rsid w:val="0081247D"/>
    <w:rsid w:val="00813A32"/>
    <w:rsid w:val="008166BA"/>
    <w:rsid w:val="00820451"/>
    <w:rsid w:val="00821813"/>
    <w:rsid w:val="00821923"/>
    <w:rsid w:val="00824ABA"/>
    <w:rsid w:val="00825A68"/>
    <w:rsid w:val="00826878"/>
    <w:rsid w:val="0083290C"/>
    <w:rsid w:val="00832D92"/>
    <w:rsid w:val="00833C58"/>
    <w:rsid w:val="00835D61"/>
    <w:rsid w:val="00836D6F"/>
    <w:rsid w:val="00840C32"/>
    <w:rsid w:val="00840D7F"/>
    <w:rsid w:val="00840F35"/>
    <w:rsid w:val="00840FDE"/>
    <w:rsid w:val="0084259F"/>
    <w:rsid w:val="008477CD"/>
    <w:rsid w:val="008554DD"/>
    <w:rsid w:val="008616AD"/>
    <w:rsid w:val="00865AB0"/>
    <w:rsid w:val="00867DC6"/>
    <w:rsid w:val="0087064C"/>
    <w:rsid w:val="00874345"/>
    <w:rsid w:val="00875C6A"/>
    <w:rsid w:val="008765FF"/>
    <w:rsid w:val="008777E4"/>
    <w:rsid w:val="00877971"/>
    <w:rsid w:val="00881D23"/>
    <w:rsid w:val="0088244B"/>
    <w:rsid w:val="00882C2F"/>
    <w:rsid w:val="0088304F"/>
    <w:rsid w:val="00883389"/>
    <w:rsid w:val="00887BC1"/>
    <w:rsid w:val="00891F1D"/>
    <w:rsid w:val="00891F53"/>
    <w:rsid w:val="0089308E"/>
    <w:rsid w:val="00895621"/>
    <w:rsid w:val="00897F37"/>
    <w:rsid w:val="008A37AB"/>
    <w:rsid w:val="008A3816"/>
    <w:rsid w:val="008A57D6"/>
    <w:rsid w:val="008B4672"/>
    <w:rsid w:val="008C0DC5"/>
    <w:rsid w:val="008C10EB"/>
    <w:rsid w:val="008C5F0F"/>
    <w:rsid w:val="008D1011"/>
    <w:rsid w:val="008D71D3"/>
    <w:rsid w:val="008E024A"/>
    <w:rsid w:val="008E0BCC"/>
    <w:rsid w:val="008E0CD6"/>
    <w:rsid w:val="008E2272"/>
    <w:rsid w:val="008E35E3"/>
    <w:rsid w:val="008F1108"/>
    <w:rsid w:val="008F1A3E"/>
    <w:rsid w:val="008F6004"/>
    <w:rsid w:val="00900A17"/>
    <w:rsid w:val="00901044"/>
    <w:rsid w:val="00901151"/>
    <w:rsid w:val="0090164E"/>
    <w:rsid w:val="00903A0D"/>
    <w:rsid w:val="00904E13"/>
    <w:rsid w:val="00911CE7"/>
    <w:rsid w:val="00912D16"/>
    <w:rsid w:val="00921191"/>
    <w:rsid w:val="009231FC"/>
    <w:rsid w:val="009232E7"/>
    <w:rsid w:val="009305B9"/>
    <w:rsid w:val="00931CE4"/>
    <w:rsid w:val="00932770"/>
    <w:rsid w:val="0093305E"/>
    <w:rsid w:val="0093318F"/>
    <w:rsid w:val="00934536"/>
    <w:rsid w:val="00934EB7"/>
    <w:rsid w:val="00935609"/>
    <w:rsid w:val="00936F2F"/>
    <w:rsid w:val="00940A09"/>
    <w:rsid w:val="00940B98"/>
    <w:rsid w:val="00941AA7"/>
    <w:rsid w:val="00944B51"/>
    <w:rsid w:val="00944F4B"/>
    <w:rsid w:val="00944F67"/>
    <w:rsid w:val="00947A7C"/>
    <w:rsid w:val="009500FB"/>
    <w:rsid w:val="009503D9"/>
    <w:rsid w:val="00952789"/>
    <w:rsid w:val="00952D4D"/>
    <w:rsid w:val="0095476E"/>
    <w:rsid w:val="0095722E"/>
    <w:rsid w:val="00960216"/>
    <w:rsid w:val="00961400"/>
    <w:rsid w:val="00961D34"/>
    <w:rsid w:val="00961DE0"/>
    <w:rsid w:val="00964812"/>
    <w:rsid w:val="009654E5"/>
    <w:rsid w:val="00965512"/>
    <w:rsid w:val="009664F4"/>
    <w:rsid w:val="009726B4"/>
    <w:rsid w:val="00972862"/>
    <w:rsid w:val="00976771"/>
    <w:rsid w:val="009767B0"/>
    <w:rsid w:val="00976CFF"/>
    <w:rsid w:val="00982259"/>
    <w:rsid w:val="00982371"/>
    <w:rsid w:val="00984D43"/>
    <w:rsid w:val="00986720"/>
    <w:rsid w:val="00986E56"/>
    <w:rsid w:val="00986E89"/>
    <w:rsid w:val="00993323"/>
    <w:rsid w:val="00997428"/>
    <w:rsid w:val="0099786A"/>
    <w:rsid w:val="009A25CD"/>
    <w:rsid w:val="009A339C"/>
    <w:rsid w:val="009A3671"/>
    <w:rsid w:val="009A594C"/>
    <w:rsid w:val="009A5950"/>
    <w:rsid w:val="009A667E"/>
    <w:rsid w:val="009A6E98"/>
    <w:rsid w:val="009A7746"/>
    <w:rsid w:val="009A7D23"/>
    <w:rsid w:val="009B0FA3"/>
    <w:rsid w:val="009B2F89"/>
    <w:rsid w:val="009B3FE5"/>
    <w:rsid w:val="009B481F"/>
    <w:rsid w:val="009C0673"/>
    <w:rsid w:val="009C08DF"/>
    <w:rsid w:val="009C1B94"/>
    <w:rsid w:val="009C524D"/>
    <w:rsid w:val="009C756C"/>
    <w:rsid w:val="009C7FB0"/>
    <w:rsid w:val="009D2D23"/>
    <w:rsid w:val="009D5595"/>
    <w:rsid w:val="009D5BA8"/>
    <w:rsid w:val="009D6C10"/>
    <w:rsid w:val="009E165C"/>
    <w:rsid w:val="009E427C"/>
    <w:rsid w:val="009E48D0"/>
    <w:rsid w:val="009E492C"/>
    <w:rsid w:val="009E5FA3"/>
    <w:rsid w:val="009F3A1E"/>
    <w:rsid w:val="009F3F17"/>
    <w:rsid w:val="009F5024"/>
    <w:rsid w:val="009F6BB3"/>
    <w:rsid w:val="00A000BB"/>
    <w:rsid w:val="00A01DB8"/>
    <w:rsid w:val="00A0624E"/>
    <w:rsid w:val="00A072DD"/>
    <w:rsid w:val="00A0752B"/>
    <w:rsid w:val="00A07E82"/>
    <w:rsid w:val="00A119A6"/>
    <w:rsid w:val="00A14568"/>
    <w:rsid w:val="00A14B11"/>
    <w:rsid w:val="00A15D1B"/>
    <w:rsid w:val="00A209C2"/>
    <w:rsid w:val="00A232AE"/>
    <w:rsid w:val="00A23E11"/>
    <w:rsid w:val="00A24A6E"/>
    <w:rsid w:val="00A2569A"/>
    <w:rsid w:val="00A257C6"/>
    <w:rsid w:val="00A25FC6"/>
    <w:rsid w:val="00A262C3"/>
    <w:rsid w:val="00A33D43"/>
    <w:rsid w:val="00A34AF9"/>
    <w:rsid w:val="00A41CEB"/>
    <w:rsid w:val="00A41D4F"/>
    <w:rsid w:val="00A42A02"/>
    <w:rsid w:val="00A42E53"/>
    <w:rsid w:val="00A43038"/>
    <w:rsid w:val="00A433A0"/>
    <w:rsid w:val="00A439F3"/>
    <w:rsid w:val="00A43D78"/>
    <w:rsid w:val="00A46548"/>
    <w:rsid w:val="00A5038D"/>
    <w:rsid w:val="00A50754"/>
    <w:rsid w:val="00A51BBE"/>
    <w:rsid w:val="00A601ED"/>
    <w:rsid w:val="00A607BA"/>
    <w:rsid w:val="00A61488"/>
    <w:rsid w:val="00A619BD"/>
    <w:rsid w:val="00A63875"/>
    <w:rsid w:val="00A659A3"/>
    <w:rsid w:val="00A7190D"/>
    <w:rsid w:val="00A72ACD"/>
    <w:rsid w:val="00A739F6"/>
    <w:rsid w:val="00A743B2"/>
    <w:rsid w:val="00A74533"/>
    <w:rsid w:val="00A751E8"/>
    <w:rsid w:val="00A8047D"/>
    <w:rsid w:val="00A8100A"/>
    <w:rsid w:val="00A8636A"/>
    <w:rsid w:val="00A928A9"/>
    <w:rsid w:val="00A955DC"/>
    <w:rsid w:val="00A9688B"/>
    <w:rsid w:val="00A9707E"/>
    <w:rsid w:val="00AA1ABC"/>
    <w:rsid w:val="00AA26B4"/>
    <w:rsid w:val="00AA3C6F"/>
    <w:rsid w:val="00AA3E27"/>
    <w:rsid w:val="00AA4825"/>
    <w:rsid w:val="00AA4E3F"/>
    <w:rsid w:val="00AA5C6F"/>
    <w:rsid w:val="00AA7E36"/>
    <w:rsid w:val="00AB2B51"/>
    <w:rsid w:val="00AB2CF6"/>
    <w:rsid w:val="00AB3B5E"/>
    <w:rsid w:val="00AB4563"/>
    <w:rsid w:val="00AB58F2"/>
    <w:rsid w:val="00AB622B"/>
    <w:rsid w:val="00AC0385"/>
    <w:rsid w:val="00AC2576"/>
    <w:rsid w:val="00AC31BA"/>
    <w:rsid w:val="00AC4D1B"/>
    <w:rsid w:val="00AC76F8"/>
    <w:rsid w:val="00AE44D7"/>
    <w:rsid w:val="00AE4FC7"/>
    <w:rsid w:val="00AF109B"/>
    <w:rsid w:val="00AF2E1B"/>
    <w:rsid w:val="00AF41E3"/>
    <w:rsid w:val="00AF517F"/>
    <w:rsid w:val="00B01B05"/>
    <w:rsid w:val="00B02393"/>
    <w:rsid w:val="00B023F6"/>
    <w:rsid w:val="00B0295E"/>
    <w:rsid w:val="00B11F89"/>
    <w:rsid w:val="00B1291B"/>
    <w:rsid w:val="00B15473"/>
    <w:rsid w:val="00B17C29"/>
    <w:rsid w:val="00B21F36"/>
    <w:rsid w:val="00B328E1"/>
    <w:rsid w:val="00B34069"/>
    <w:rsid w:val="00B36E07"/>
    <w:rsid w:val="00B3765E"/>
    <w:rsid w:val="00B41765"/>
    <w:rsid w:val="00B42A36"/>
    <w:rsid w:val="00B45C66"/>
    <w:rsid w:val="00B462ED"/>
    <w:rsid w:val="00B50356"/>
    <w:rsid w:val="00B50E89"/>
    <w:rsid w:val="00B52627"/>
    <w:rsid w:val="00B53336"/>
    <w:rsid w:val="00B549A4"/>
    <w:rsid w:val="00B55BF4"/>
    <w:rsid w:val="00B56E0D"/>
    <w:rsid w:val="00B570F4"/>
    <w:rsid w:val="00B602F2"/>
    <w:rsid w:val="00B62E99"/>
    <w:rsid w:val="00B653A5"/>
    <w:rsid w:val="00B76DEB"/>
    <w:rsid w:val="00B76ECB"/>
    <w:rsid w:val="00B843E0"/>
    <w:rsid w:val="00B846F7"/>
    <w:rsid w:val="00B86976"/>
    <w:rsid w:val="00B911AF"/>
    <w:rsid w:val="00B915C4"/>
    <w:rsid w:val="00B9245D"/>
    <w:rsid w:val="00B95CB8"/>
    <w:rsid w:val="00BA2207"/>
    <w:rsid w:val="00BB1AED"/>
    <w:rsid w:val="00BB5445"/>
    <w:rsid w:val="00BB5DB5"/>
    <w:rsid w:val="00BB640C"/>
    <w:rsid w:val="00BC00C2"/>
    <w:rsid w:val="00BC0F04"/>
    <w:rsid w:val="00BC10D4"/>
    <w:rsid w:val="00BC29A8"/>
    <w:rsid w:val="00BC59A0"/>
    <w:rsid w:val="00BC5B8A"/>
    <w:rsid w:val="00BC7BA3"/>
    <w:rsid w:val="00BC7F35"/>
    <w:rsid w:val="00BD014A"/>
    <w:rsid w:val="00BD30A8"/>
    <w:rsid w:val="00BD33A1"/>
    <w:rsid w:val="00BD59FE"/>
    <w:rsid w:val="00BD5DA6"/>
    <w:rsid w:val="00BD6DD4"/>
    <w:rsid w:val="00BD6E45"/>
    <w:rsid w:val="00BE02BC"/>
    <w:rsid w:val="00BE03B9"/>
    <w:rsid w:val="00BE2669"/>
    <w:rsid w:val="00BE4F82"/>
    <w:rsid w:val="00BE5CBF"/>
    <w:rsid w:val="00BE791B"/>
    <w:rsid w:val="00BF310D"/>
    <w:rsid w:val="00BF521D"/>
    <w:rsid w:val="00C004E3"/>
    <w:rsid w:val="00C00643"/>
    <w:rsid w:val="00C0186E"/>
    <w:rsid w:val="00C02159"/>
    <w:rsid w:val="00C03E3F"/>
    <w:rsid w:val="00C04DA4"/>
    <w:rsid w:val="00C07616"/>
    <w:rsid w:val="00C103D9"/>
    <w:rsid w:val="00C12DC0"/>
    <w:rsid w:val="00C13016"/>
    <w:rsid w:val="00C13A6C"/>
    <w:rsid w:val="00C14896"/>
    <w:rsid w:val="00C16362"/>
    <w:rsid w:val="00C2056E"/>
    <w:rsid w:val="00C22933"/>
    <w:rsid w:val="00C22D58"/>
    <w:rsid w:val="00C23702"/>
    <w:rsid w:val="00C238EC"/>
    <w:rsid w:val="00C24B29"/>
    <w:rsid w:val="00C255EF"/>
    <w:rsid w:val="00C258F5"/>
    <w:rsid w:val="00C2646A"/>
    <w:rsid w:val="00C26FDE"/>
    <w:rsid w:val="00C27B24"/>
    <w:rsid w:val="00C30700"/>
    <w:rsid w:val="00C30799"/>
    <w:rsid w:val="00C3098A"/>
    <w:rsid w:val="00C32184"/>
    <w:rsid w:val="00C3485B"/>
    <w:rsid w:val="00C34969"/>
    <w:rsid w:val="00C438B7"/>
    <w:rsid w:val="00C4518B"/>
    <w:rsid w:val="00C451D0"/>
    <w:rsid w:val="00C45F7A"/>
    <w:rsid w:val="00C502C8"/>
    <w:rsid w:val="00C507FF"/>
    <w:rsid w:val="00C57429"/>
    <w:rsid w:val="00C62618"/>
    <w:rsid w:val="00C62F9A"/>
    <w:rsid w:val="00C6429C"/>
    <w:rsid w:val="00C66B29"/>
    <w:rsid w:val="00C67522"/>
    <w:rsid w:val="00C70C7C"/>
    <w:rsid w:val="00C712F7"/>
    <w:rsid w:val="00C72473"/>
    <w:rsid w:val="00C72F9F"/>
    <w:rsid w:val="00C760BC"/>
    <w:rsid w:val="00C770A6"/>
    <w:rsid w:val="00C808FC"/>
    <w:rsid w:val="00C81752"/>
    <w:rsid w:val="00C9201A"/>
    <w:rsid w:val="00C92511"/>
    <w:rsid w:val="00C92E8C"/>
    <w:rsid w:val="00C93D92"/>
    <w:rsid w:val="00C95665"/>
    <w:rsid w:val="00CA0B50"/>
    <w:rsid w:val="00CA1C5F"/>
    <w:rsid w:val="00CA4FFF"/>
    <w:rsid w:val="00CA6E11"/>
    <w:rsid w:val="00CA74D7"/>
    <w:rsid w:val="00CB1D07"/>
    <w:rsid w:val="00CB3279"/>
    <w:rsid w:val="00CB4DDD"/>
    <w:rsid w:val="00CB5DD4"/>
    <w:rsid w:val="00CC1E42"/>
    <w:rsid w:val="00CC2770"/>
    <w:rsid w:val="00CC322E"/>
    <w:rsid w:val="00CC38C3"/>
    <w:rsid w:val="00CC73AA"/>
    <w:rsid w:val="00CC7A53"/>
    <w:rsid w:val="00CD072D"/>
    <w:rsid w:val="00CD0FA8"/>
    <w:rsid w:val="00CD2B20"/>
    <w:rsid w:val="00CD2CEB"/>
    <w:rsid w:val="00CD3D1F"/>
    <w:rsid w:val="00CD5E83"/>
    <w:rsid w:val="00CD67FF"/>
    <w:rsid w:val="00CE105E"/>
    <w:rsid w:val="00CE420E"/>
    <w:rsid w:val="00CE4944"/>
    <w:rsid w:val="00CE5814"/>
    <w:rsid w:val="00CE5A9A"/>
    <w:rsid w:val="00CF38B3"/>
    <w:rsid w:val="00CF3941"/>
    <w:rsid w:val="00CF3F05"/>
    <w:rsid w:val="00CF41A3"/>
    <w:rsid w:val="00CF7F76"/>
    <w:rsid w:val="00CF7FC3"/>
    <w:rsid w:val="00D01E07"/>
    <w:rsid w:val="00D047DE"/>
    <w:rsid w:val="00D11C2E"/>
    <w:rsid w:val="00D132EF"/>
    <w:rsid w:val="00D14C90"/>
    <w:rsid w:val="00D165BE"/>
    <w:rsid w:val="00D22786"/>
    <w:rsid w:val="00D22819"/>
    <w:rsid w:val="00D231E3"/>
    <w:rsid w:val="00D24059"/>
    <w:rsid w:val="00D24DCC"/>
    <w:rsid w:val="00D270FD"/>
    <w:rsid w:val="00D31846"/>
    <w:rsid w:val="00D3370B"/>
    <w:rsid w:val="00D36543"/>
    <w:rsid w:val="00D40F98"/>
    <w:rsid w:val="00D44A0E"/>
    <w:rsid w:val="00D45814"/>
    <w:rsid w:val="00D50675"/>
    <w:rsid w:val="00D513E3"/>
    <w:rsid w:val="00D52E47"/>
    <w:rsid w:val="00D5656B"/>
    <w:rsid w:val="00D60588"/>
    <w:rsid w:val="00D60C17"/>
    <w:rsid w:val="00D61135"/>
    <w:rsid w:val="00D61263"/>
    <w:rsid w:val="00D632AE"/>
    <w:rsid w:val="00D63D98"/>
    <w:rsid w:val="00D71A47"/>
    <w:rsid w:val="00D71B51"/>
    <w:rsid w:val="00D72F05"/>
    <w:rsid w:val="00D73B0A"/>
    <w:rsid w:val="00D74046"/>
    <w:rsid w:val="00D742A8"/>
    <w:rsid w:val="00D74352"/>
    <w:rsid w:val="00D753D2"/>
    <w:rsid w:val="00D769B2"/>
    <w:rsid w:val="00D76EA4"/>
    <w:rsid w:val="00D8048D"/>
    <w:rsid w:val="00D817BA"/>
    <w:rsid w:val="00D81AFC"/>
    <w:rsid w:val="00D830EE"/>
    <w:rsid w:val="00D91693"/>
    <w:rsid w:val="00D95CCC"/>
    <w:rsid w:val="00D969E4"/>
    <w:rsid w:val="00D97A9E"/>
    <w:rsid w:val="00DA192A"/>
    <w:rsid w:val="00DA3E88"/>
    <w:rsid w:val="00DA50B7"/>
    <w:rsid w:val="00DA5AB2"/>
    <w:rsid w:val="00DB219E"/>
    <w:rsid w:val="00DB2B9D"/>
    <w:rsid w:val="00DB3B6B"/>
    <w:rsid w:val="00DB4FA8"/>
    <w:rsid w:val="00DB6F71"/>
    <w:rsid w:val="00DB7CA3"/>
    <w:rsid w:val="00DB7E7F"/>
    <w:rsid w:val="00DC117C"/>
    <w:rsid w:val="00DC25A0"/>
    <w:rsid w:val="00DC2A65"/>
    <w:rsid w:val="00DC3605"/>
    <w:rsid w:val="00DC364B"/>
    <w:rsid w:val="00DC6569"/>
    <w:rsid w:val="00DC7E89"/>
    <w:rsid w:val="00DD4770"/>
    <w:rsid w:val="00DD5259"/>
    <w:rsid w:val="00DD6061"/>
    <w:rsid w:val="00DD7C00"/>
    <w:rsid w:val="00DE0464"/>
    <w:rsid w:val="00DE553C"/>
    <w:rsid w:val="00DE597A"/>
    <w:rsid w:val="00DE67A8"/>
    <w:rsid w:val="00DE7CE5"/>
    <w:rsid w:val="00DF1640"/>
    <w:rsid w:val="00DF19CB"/>
    <w:rsid w:val="00DF4420"/>
    <w:rsid w:val="00DF5E27"/>
    <w:rsid w:val="00DF7C03"/>
    <w:rsid w:val="00E01085"/>
    <w:rsid w:val="00E030B7"/>
    <w:rsid w:val="00E2404B"/>
    <w:rsid w:val="00E25247"/>
    <w:rsid w:val="00E25C3D"/>
    <w:rsid w:val="00E3170B"/>
    <w:rsid w:val="00E349EB"/>
    <w:rsid w:val="00E34D26"/>
    <w:rsid w:val="00E3610A"/>
    <w:rsid w:val="00E4153D"/>
    <w:rsid w:val="00E41A16"/>
    <w:rsid w:val="00E41B64"/>
    <w:rsid w:val="00E4612A"/>
    <w:rsid w:val="00E46CC6"/>
    <w:rsid w:val="00E50109"/>
    <w:rsid w:val="00E51ACA"/>
    <w:rsid w:val="00E52C45"/>
    <w:rsid w:val="00E539C1"/>
    <w:rsid w:val="00E57385"/>
    <w:rsid w:val="00E574FA"/>
    <w:rsid w:val="00E667FF"/>
    <w:rsid w:val="00E67C61"/>
    <w:rsid w:val="00E67CAB"/>
    <w:rsid w:val="00E7369C"/>
    <w:rsid w:val="00E739E7"/>
    <w:rsid w:val="00E752E4"/>
    <w:rsid w:val="00E755F4"/>
    <w:rsid w:val="00E769A7"/>
    <w:rsid w:val="00E80060"/>
    <w:rsid w:val="00E81C10"/>
    <w:rsid w:val="00E82484"/>
    <w:rsid w:val="00E824B2"/>
    <w:rsid w:val="00E83B0F"/>
    <w:rsid w:val="00E863DC"/>
    <w:rsid w:val="00E86B3F"/>
    <w:rsid w:val="00E90463"/>
    <w:rsid w:val="00E947C4"/>
    <w:rsid w:val="00E95EFB"/>
    <w:rsid w:val="00EA00A0"/>
    <w:rsid w:val="00EA10B5"/>
    <w:rsid w:val="00EA186D"/>
    <w:rsid w:val="00EA19CD"/>
    <w:rsid w:val="00EA3587"/>
    <w:rsid w:val="00EA43BC"/>
    <w:rsid w:val="00EA46E7"/>
    <w:rsid w:val="00EA4EB9"/>
    <w:rsid w:val="00EA5342"/>
    <w:rsid w:val="00EA5FE1"/>
    <w:rsid w:val="00EA6773"/>
    <w:rsid w:val="00EB0321"/>
    <w:rsid w:val="00EB0B55"/>
    <w:rsid w:val="00EB5404"/>
    <w:rsid w:val="00EB72EC"/>
    <w:rsid w:val="00EC07CE"/>
    <w:rsid w:val="00EC15DB"/>
    <w:rsid w:val="00EC1F3C"/>
    <w:rsid w:val="00EC21E6"/>
    <w:rsid w:val="00EC253E"/>
    <w:rsid w:val="00EC3DE2"/>
    <w:rsid w:val="00EC47DB"/>
    <w:rsid w:val="00EC56F5"/>
    <w:rsid w:val="00EC5CB7"/>
    <w:rsid w:val="00EC6CE5"/>
    <w:rsid w:val="00EC7DCA"/>
    <w:rsid w:val="00ED03E9"/>
    <w:rsid w:val="00ED0D0B"/>
    <w:rsid w:val="00ED0E62"/>
    <w:rsid w:val="00ED176C"/>
    <w:rsid w:val="00ED3A01"/>
    <w:rsid w:val="00ED43CB"/>
    <w:rsid w:val="00ED4DE1"/>
    <w:rsid w:val="00ED55CA"/>
    <w:rsid w:val="00EE0625"/>
    <w:rsid w:val="00EE2D21"/>
    <w:rsid w:val="00EE4E52"/>
    <w:rsid w:val="00EE5590"/>
    <w:rsid w:val="00EE7390"/>
    <w:rsid w:val="00EE74D8"/>
    <w:rsid w:val="00EE7900"/>
    <w:rsid w:val="00EE7C51"/>
    <w:rsid w:val="00EF08AC"/>
    <w:rsid w:val="00EF1B92"/>
    <w:rsid w:val="00EF76C6"/>
    <w:rsid w:val="00EF7A5A"/>
    <w:rsid w:val="00F00690"/>
    <w:rsid w:val="00F034EF"/>
    <w:rsid w:val="00F05DAA"/>
    <w:rsid w:val="00F0751E"/>
    <w:rsid w:val="00F11A86"/>
    <w:rsid w:val="00F12B0D"/>
    <w:rsid w:val="00F15742"/>
    <w:rsid w:val="00F15F02"/>
    <w:rsid w:val="00F23531"/>
    <w:rsid w:val="00F24D43"/>
    <w:rsid w:val="00F255BF"/>
    <w:rsid w:val="00F30AF0"/>
    <w:rsid w:val="00F31E7B"/>
    <w:rsid w:val="00F33376"/>
    <w:rsid w:val="00F3344A"/>
    <w:rsid w:val="00F340A8"/>
    <w:rsid w:val="00F367EE"/>
    <w:rsid w:val="00F40ED2"/>
    <w:rsid w:val="00F4538C"/>
    <w:rsid w:val="00F47138"/>
    <w:rsid w:val="00F473C2"/>
    <w:rsid w:val="00F50246"/>
    <w:rsid w:val="00F50709"/>
    <w:rsid w:val="00F60084"/>
    <w:rsid w:val="00F610ED"/>
    <w:rsid w:val="00F63D80"/>
    <w:rsid w:val="00F647F6"/>
    <w:rsid w:val="00F648B0"/>
    <w:rsid w:val="00F65090"/>
    <w:rsid w:val="00F714B7"/>
    <w:rsid w:val="00F720A5"/>
    <w:rsid w:val="00F72901"/>
    <w:rsid w:val="00F749E2"/>
    <w:rsid w:val="00F7766F"/>
    <w:rsid w:val="00F81030"/>
    <w:rsid w:val="00F81A6B"/>
    <w:rsid w:val="00F81D8D"/>
    <w:rsid w:val="00F84517"/>
    <w:rsid w:val="00F84F7D"/>
    <w:rsid w:val="00F85A4F"/>
    <w:rsid w:val="00F86B59"/>
    <w:rsid w:val="00F906D7"/>
    <w:rsid w:val="00F908AD"/>
    <w:rsid w:val="00F9365E"/>
    <w:rsid w:val="00F9670B"/>
    <w:rsid w:val="00F97701"/>
    <w:rsid w:val="00FA0FDB"/>
    <w:rsid w:val="00FA2B10"/>
    <w:rsid w:val="00FA325C"/>
    <w:rsid w:val="00FA54DD"/>
    <w:rsid w:val="00FB2B37"/>
    <w:rsid w:val="00FB66A3"/>
    <w:rsid w:val="00FB6816"/>
    <w:rsid w:val="00FC0035"/>
    <w:rsid w:val="00FC2F1E"/>
    <w:rsid w:val="00FC4AD7"/>
    <w:rsid w:val="00FC5062"/>
    <w:rsid w:val="00FC7257"/>
    <w:rsid w:val="00FD0339"/>
    <w:rsid w:val="00FD0C73"/>
    <w:rsid w:val="00FD4140"/>
    <w:rsid w:val="00FD4ED0"/>
    <w:rsid w:val="00FD5C95"/>
    <w:rsid w:val="00FE4A81"/>
    <w:rsid w:val="00FE6752"/>
    <w:rsid w:val="00FE6846"/>
    <w:rsid w:val="00FE6E52"/>
    <w:rsid w:val="00FE7878"/>
    <w:rsid w:val="00FF0ACB"/>
    <w:rsid w:val="00FF1CA4"/>
    <w:rsid w:val="00FF29B6"/>
    <w:rsid w:val="00FF3320"/>
    <w:rsid w:val="00FF77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2194"/>
  <w15:chartTrackingRefBased/>
  <w15:docId w15:val="{C14C7B0A-9A72-4A50-B2FC-E5478107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8B"/>
  </w:style>
  <w:style w:type="paragraph" w:styleId="Heading1">
    <w:name w:val="heading 1"/>
    <w:basedOn w:val="Normal"/>
    <w:next w:val="Normal"/>
    <w:link w:val="Heading1Char"/>
    <w:uiPriority w:val="9"/>
    <w:qFormat/>
    <w:rsid w:val="009A66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A4C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30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1F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84B26"/>
    <w:pPr>
      <w:ind w:left="720"/>
      <w:contextualSpacing/>
    </w:pPr>
  </w:style>
  <w:style w:type="character" w:customStyle="1" w:styleId="MTEquationSection">
    <w:name w:val="MTEquationSection"/>
    <w:basedOn w:val="DefaultParagraphFont"/>
    <w:rsid w:val="00F908AD"/>
    <w:rPr>
      <w:rFonts w:asciiTheme="majorHAnsi" w:hAnsiTheme="majorHAnsi" w:cstheme="majorHAnsi"/>
      <w:vanish/>
      <w:color w:val="FF0000"/>
      <w:sz w:val="32"/>
      <w:szCs w:val="26"/>
      <w:lang w:val="fr-FR"/>
    </w:rPr>
  </w:style>
  <w:style w:type="paragraph" w:styleId="BalloonText">
    <w:name w:val="Balloon Text"/>
    <w:basedOn w:val="Normal"/>
    <w:link w:val="BalloonTextChar"/>
    <w:uiPriority w:val="99"/>
    <w:semiHidden/>
    <w:unhideWhenUsed/>
    <w:rsid w:val="00A65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9A3"/>
    <w:rPr>
      <w:rFonts w:ascii="Segoe UI" w:hAnsi="Segoe UI" w:cs="Segoe UI"/>
      <w:sz w:val="18"/>
      <w:szCs w:val="18"/>
    </w:rPr>
  </w:style>
  <w:style w:type="table" w:styleId="TableGrid">
    <w:name w:val="Table Grid"/>
    <w:basedOn w:val="TableNormal"/>
    <w:uiPriority w:val="59"/>
    <w:rsid w:val="00C00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9C3"/>
  </w:style>
  <w:style w:type="paragraph" w:styleId="Footer">
    <w:name w:val="footer"/>
    <w:basedOn w:val="Normal"/>
    <w:link w:val="FooterChar"/>
    <w:uiPriority w:val="99"/>
    <w:unhideWhenUsed/>
    <w:rsid w:val="00197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9C3"/>
  </w:style>
  <w:style w:type="character" w:styleId="Hyperlink">
    <w:name w:val="Hyperlink"/>
    <w:uiPriority w:val="99"/>
    <w:unhideWhenUsed/>
    <w:rsid w:val="009A667E"/>
    <w:rPr>
      <w:color w:val="0000FF"/>
      <w:u w:val="single"/>
    </w:rPr>
  </w:style>
  <w:style w:type="character" w:customStyle="1" w:styleId="Heading1Char">
    <w:name w:val="Heading 1 Char"/>
    <w:basedOn w:val="DefaultParagraphFont"/>
    <w:link w:val="Heading1"/>
    <w:uiPriority w:val="9"/>
    <w:rsid w:val="009A667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qFormat/>
    <w:rsid w:val="009A667E"/>
    <w:pPr>
      <w:spacing w:before="480" w:line="276" w:lineRule="auto"/>
      <w:outlineLvl w:val="9"/>
    </w:pPr>
    <w:rPr>
      <w:rFonts w:ascii="Cambria" w:eastAsia="Times New Roman" w:hAnsi="Cambria" w:cs="Times New Roman"/>
      <w:b/>
      <w:bCs/>
      <w:color w:val="365F91"/>
      <w:sz w:val="28"/>
      <w:szCs w:val="28"/>
      <w:lang w:val="en-US"/>
    </w:rPr>
  </w:style>
  <w:style w:type="paragraph" w:styleId="TOC2">
    <w:name w:val="toc 2"/>
    <w:basedOn w:val="Normal"/>
    <w:next w:val="Normal"/>
    <w:autoRedefine/>
    <w:uiPriority w:val="39"/>
    <w:unhideWhenUsed/>
    <w:rsid w:val="009A667E"/>
    <w:pPr>
      <w:tabs>
        <w:tab w:val="right" w:leader="dot" w:pos="9304"/>
      </w:tabs>
      <w:spacing w:after="100" w:line="312" w:lineRule="auto"/>
      <w:ind w:left="220"/>
    </w:pPr>
    <w:rPr>
      <w:rFonts w:ascii="Times New Roman" w:eastAsia="Calibri" w:hAnsi="Times New Roman" w:cs="Times New Roman"/>
      <w:noProof/>
      <w:sz w:val="26"/>
      <w:szCs w:val="26"/>
      <w:lang w:val="en-US"/>
    </w:rPr>
  </w:style>
  <w:style w:type="paragraph" w:styleId="TOC1">
    <w:name w:val="toc 1"/>
    <w:basedOn w:val="Normal"/>
    <w:next w:val="Normal"/>
    <w:autoRedefine/>
    <w:uiPriority w:val="39"/>
    <w:unhideWhenUsed/>
    <w:rsid w:val="009A667E"/>
    <w:pPr>
      <w:tabs>
        <w:tab w:val="right" w:leader="dot" w:pos="9304"/>
      </w:tabs>
      <w:spacing w:after="100" w:line="312" w:lineRule="auto"/>
    </w:pPr>
    <w:rPr>
      <w:rFonts w:ascii="Times New Roman" w:eastAsia="Calibri" w:hAnsi="Times New Roman" w:cs="Times New Roman"/>
      <w:b/>
      <w:noProof/>
      <w:sz w:val="26"/>
      <w:szCs w:val="26"/>
      <w:lang w:val="en-US"/>
    </w:rPr>
  </w:style>
  <w:style w:type="paragraph" w:styleId="TOC3">
    <w:name w:val="toc 3"/>
    <w:basedOn w:val="Normal"/>
    <w:next w:val="Normal"/>
    <w:autoRedefine/>
    <w:uiPriority w:val="39"/>
    <w:unhideWhenUsed/>
    <w:rsid w:val="009A667E"/>
    <w:pPr>
      <w:spacing w:after="100" w:line="276" w:lineRule="auto"/>
      <w:ind w:left="440"/>
    </w:pPr>
    <w:rPr>
      <w:rFonts w:ascii="Calibri" w:eastAsia="Calibri" w:hAnsi="Calibri" w:cs="Times New Roman"/>
      <w:lang w:val="en-US"/>
    </w:rPr>
  </w:style>
  <w:style w:type="character" w:customStyle="1" w:styleId="Heading2Char">
    <w:name w:val="Heading 2 Char"/>
    <w:basedOn w:val="DefaultParagraphFont"/>
    <w:link w:val="Heading2"/>
    <w:uiPriority w:val="9"/>
    <w:semiHidden/>
    <w:rsid w:val="007A4C5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124A85"/>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B2B9D"/>
    <w:pPr>
      <w:spacing w:before="60" w:after="0" w:line="264" w:lineRule="auto"/>
      <w:jc w:val="both"/>
    </w:pPr>
    <w:rPr>
      <w:rFonts w:ascii="Times New Roman" w:hAnsi="Times New Roman" w:cs="Times New Roman"/>
      <w:color w:val="000000"/>
      <w:sz w:val="26"/>
      <w:szCs w:val="26"/>
      <w:lang w:val="en-US"/>
    </w:rPr>
  </w:style>
  <w:style w:type="character" w:customStyle="1" w:styleId="Heading4Char">
    <w:name w:val="Heading 4 Char"/>
    <w:basedOn w:val="DefaultParagraphFont"/>
    <w:link w:val="Heading4"/>
    <w:uiPriority w:val="9"/>
    <w:rsid w:val="00481F9D"/>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10B43"/>
    <w:pPr>
      <w:spacing w:after="100"/>
      <w:ind w:left="660"/>
    </w:pPr>
  </w:style>
  <w:style w:type="paragraph" w:styleId="NormalWeb">
    <w:name w:val="Normal (Web)"/>
    <w:basedOn w:val="Normal"/>
    <w:uiPriority w:val="99"/>
    <w:semiHidden/>
    <w:unhideWhenUsed/>
    <w:rsid w:val="00786DD8"/>
    <w:rPr>
      <w:rFonts w:ascii="Times New Roman" w:hAnsi="Times New Roman" w:cs="Times New Roman"/>
      <w:sz w:val="24"/>
      <w:szCs w:val="24"/>
    </w:rPr>
  </w:style>
  <w:style w:type="paragraph" w:styleId="TOC5">
    <w:name w:val="toc 5"/>
    <w:basedOn w:val="Normal"/>
    <w:next w:val="Normal"/>
    <w:autoRedefine/>
    <w:uiPriority w:val="39"/>
    <w:unhideWhenUsed/>
    <w:rsid w:val="009F3A1E"/>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9F3A1E"/>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9F3A1E"/>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9F3A1E"/>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9F3A1E"/>
    <w:pPr>
      <w:spacing w:after="100" w:line="278" w:lineRule="auto"/>
      <w:ind w:left="1920"/>
    </w:pPr>
    <w:rPr>
      <w:rFonts w:eastAsiaTheme="minorEastAsia"/>
      <w:kern w:val="2"/>
      <w:sz w:val="24"/>
      <w:szCs w:val="24"/>
      <w:lang w:eastAsia="vi-VN"/>
      <w14:ligatures w14:val="standardContextual"/>
    </w:rPr>
  </w:style>
  <w:style w:type="character" w:styleId="UnresolvedMention">
    <w:name w:val="Unresolved Mention"/>
    <w:basedOn w:val="DefaultParagraphFont"/>
    <w:uiPriority w:val="99"/>
    <w:semiHidden/>
    <w:unhideWhenUsed/>
    <w:rsid w:val="009F3A1E"/>
    <w:rPr>
      <w:color w:val="605E5C"/>
      <w:shd w:val="clear" w:color="auto" w:fill="E1DFDD"/>
    </w:rPr>
  </w:style>
  <w:style w:type="character" w:customStyle="1" w:styleId="ng-star-inserted">
    <w:name w:val="ng-star-inserted"/>
    <w:basedOn w:val="DefaultParagraphFont"/>
    <w:rsid w:val="003A30B4"/>
  </w:style>
  <w:style w:type="character" w:styleId="HTMLCode">
    <w:name w:val="HTML Code"/>
    <w:basedOn w:val="DefaultParagraphFont"/>
    <w:uiPriority w:val="99"/>
    <w:semiHidden/>
    <w:unhideWhenUsed/>
    <w:rsid w:val="003A30B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30AF0"/>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0025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2583"/>
    <w:rPr>
      <w:sz w:val="20"/>
      <w:szCs w:val="20"/>
    </w:rPr>
  </w:style>
  <w:style w:type="character" w:styleId="EndnoteReference">
    <w:name w:val="endnote reference"/>
    <w:basedOn w:val="DefaultParagraphFont"/>
    <w:uiPriority w:val="99"/>
    <w:semiHidden/>
    <w:unhideWhenUsed/>
    <w:rsid w:val="00002583"/>
    <w:rPr>
      <w:vertAlign w:val="superscript"/>
    </w:rPr>
  </w:style>
  <w:style w:type="paragraph" w:styleId="ListBullet">
    <w:name w:val="List Bullet"/>
    <w:basedOn w:val="Normal"/>
    <w:uiPriority w:val="99"/>
    <w:unhideWhenUsed/>
    <w:rsid w:val="00DC25A0"/>
    <w:pPr>
      <w:numPr>
        <w:numId w:val="2"/>
      </w:numPr>
      <w:spacing w:after="200" w:line="276" w:lineRule="auto"/>
      <w:contextualSpacing/>
    </w:pPr>
    <w:rPr>
      <w:rFonts w:ascii="Times New Roman" w:eastAsia="Times New Roman" w:hAnsi="Times New Roman"/>
      <w:sz w:val="24"/>
      <w:lang w:val="en-US"/>
    </w:rPr>
  </w:style>
  <w:style w:type="paragraph" w:styleId="ListNumber">
    <w:name w:val="List Number"/>
    <w:basedOn w:val="Normal"/>
    <w:uiPriority w:val="99"/>
    <w:unhideWhenUsed/>
    <w:rsid w:val="009C1B94"/>
    <w:pPr>
      <w:numPr>
        <w:numId w:val="4"/>
      </w:numPr>
      <w:tabs>
        <w:tab w:val="clear" w:pos="360"/>
      </w:tabs>
      <w:spacing w:after="120" w:line="360" w:lineRule="auto"/>
      <w:ind w:left="0" w:firstLine="0"/>
      <w:contextualSpacing/>
      <w:jc w:val="both"/>
    </w:pPr>
    <w:rPr>
      <w:rFonts w:ascii="Times New Roman" w:eastAsia="Times New Roman" w:hAnsi="Times New Roman"/>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64CC2-A3AA-47C3-AAD7-74A90B56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7496</TotalTime>
  <Pages>24</Pages>
  <Words>5383</Words>
  <Characters>30687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35999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dc:title>
  <dc:subject/>
  <dc:creator>Vu Tien Lam</dc:creator>
  <cp:keywords/>
  <dc:description/>
  <cp:lastModifiedBy>Khiêm Nguyễn Hòa</cp:lastModifiedBy>
  <cp:revision>47</cp:revision>
  <cp:lastPrinted>2026-04-20T15:30:00Z</cp:lastPrinted>
  <dcterms:created xsi:type="dcterms:W3CDTF">2025-10-11T03:34:00Z</dcterms:created>
  <dcterms:modified xsi:type="dcterms:W3CDTF">2026-07-20T06:40:00Z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bool>true</vt:bool>
  </property>
</Properties>
</file>