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E3A5F"/>
          <w:sz w:val="34"/>
          <w:szCs w:val="34"/>
        </w:rPr>
        <w:t xml:space="preserve">HANDOUT THUYẾT TRÌNH 15 PHÚT</w:t>
      </w:r>
    </w:p>
    <w:p>
      <w:pPr>
        <w:spacing w:after="60"/>
        <w:jc w:val="center"/>
      </w:pPr>
      <w:r>
        <w:rPr>
          <w:rFonts w:ascii="Times New Roman" w:cs="Times New Roman" w:eastAsia="Times New Roman" w:hAnsi="Times New Roman"/>
          <w:b/>
          <w:bCs/>
          <w:sz w:val="26"/>
          <w:szCs w:val="26"/>
        </w:rPr>
        <w:t xml:space="preserve">PHÁP LUẬT BẢO VỆ DỮ LIỆU CÁ NHÂN TẠI VIỆT NAM VÀ TRÊN THẾ GIỚI: Ý NGHĨA ĐỐI VỚI PHÁT TRIỂN MÔ HÌNH TRÍ TUỆ NHÂN TẠO</w:t>
      </w:r>
    </w:p>
    <w:p>
      <w:pPr>
        <w:spacing w:after="200"/>
        <w:jc w:val="center"/>
      </w:pPr>
      <w:r>
        <w:rPr>
          <w:rFonts w:ascii="Times New Roman" w:cs="Times New Roman" w:eastAsia="Times New Roman" w:hAnsi="Times New Roman"/>
          <w:i/>
          <w:iCs/>
          <w:sz w:val="22"/>
          <w:szCs w:val="22"/>
        </w:rPr>
        <w:t xml:space="preserve">Nhóm 13 · Tài liệu nội bộ để tập và trình bày nhanh báo cáo BC-BTL-CXHCNCDX-Nhom-13</w:t>
      </w:r>
    </w:p>
    <w:p>
      <w:pPr>
        <w:pStyle w:val="Heading1"/>
        <w:keepNext/>
        <w:spacing w:after="120" w:before="240"/>
      </w:pPr>
      <w:r>
        <w:rPr>
          <w:rFonts w:ascii="Times New Roman" w:cs="Times New Roman" w:eastAsia="Times New Roman" w:hAnsi="Times New Roman"/>
          <w:b/>
          <w:bCs/>
          <w:color w:val="1E3A5F"/>
          <w:sz w:val="30"/>
          <w:szCs w:val="30"/>
        </w:rPr>
        <w:t xml:space="preserve">1. Thông điệp cốt lõi (nói ở phút đầu và nhắc lại ở phút cuối)</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Quy định: </w:t>
      </w:r>
      <w:r>
        <w:rPr>
          <w:rFonts w:ascii="Times New Roman" w:cs="Times New Roman" w:eastAsia="Times New Roman" w:hAnsi="Times New Roman"/>
          <w:sz w:val="26"/>
          <w:szCs w:val="26"/>
        </w:rPr>
        <w:t xml:space="preserve">Từ năm 2026, Việt Nam có khung bắt buộc gồm Luật 91/2025 (dữ liệu cá nhân), Nghị định 356/2025 và Luật Trí tuệ nhân tạo 134/2025. Đồng ý theo từng mục đích là căn cứ mặc định; dữ liệu web không có căn cứ sẵn để huấn luyện.</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So sánh: </w:t>
      </w:r>
      <w:r>
        <w:rPr>
          <w:rFonts w:ascii="Times New Roman" w:cs="Times New Roman" w:eastAsia="Times New Roman" w:hAnsi="Times New Roman"/>
          <w:sz w:val="26"/>
          <w:szCs w:val="26"/>
        </w:rPr>
        <w:t xml:space="preserve">Các khung giống nhau ở quản lý theo rủi ro và minh bạch; khác nhau lớn nhất ở căn cứ xử lý. EU có "lợi ích chính đáng" ngang với đồng ý; Việt Nam chỉ có cụm này trong nhánh hẹp Điều 19 khoản 1 điểm a.</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Kỹ thuật: </w:t>
      </w:r>
      <w:r>
        <w:rPr>
          <w:rFonts w:ascii="Times New Roman" w:cs="Times New Roman" w:eastAsia="Times New Roman" w:hAnsi="Times New Roman"/>
          <w:sz w:val="26"/>
          <w:szCs w:val="26"/>
        </w:rPr>
        <w:t xml:space="preserve">Rủi ro ghi nhớ là có thật và đo được (GPT-2: 604/1.800 mẫu bị nhớ nguyên văn). Riêng tư vi phân và quên máy chỉ có tác dụng khi chọn từ khâu thiết kế.</w:t>
      </w:r>
    </w:p>
    <w:p>
      <w:pPr>
        <w:pStyle w:val="ListParagraph"/>
        <w:numPr>
          <w:ilvl w:val="0"/>
          <w:numId w:val="2"/>
        </w:numPr>
        <w:spacing w:after="60" w:line="276"/>
        <w:jc w:val="both"/>
      </w:pPr>
      <w:r>
        <w:rPr>
          <w:rFonts w:ascii="Times New Roman" w:cs="Times New Roman" w:eastAsia="Times New Roman" w:hAnsi="Times New Roman"/>
          <w:b/>
          <w:bCs/>
          <w:sz w:val="26"/>
          <w:szCs w:val="26"/>
        </w:rPr>
        <w:t xml:space="preserve">Ý nghĩa: </w:t>
      </w:r>
      <w:r>
        <w:rPr>
          <w:rFonts w:ascii="Times New Roman" w:cs="Times New Roman" w:eastAsia="Times New Roman" w:hAnsi="Times New Roman"/>
          <w:sz w:val="26"/>
          <w:szCs w:val="26"/>
        </w:rPr>
        <w:t xml:space="preserve">Bảo vệ dữ liệu cá nhân đã là một yêu cầu của việc xây dựng mô hình, ngang với độ chính xác và chi phí tính toán.</w:t>
      </w:r>
    </w:p>
    <w:p>
      <w:pPr>
        <w:pStyle w:val="Heading1"/>
        <w:keepNext/>
        <w:spacing w:after="120" w:before="240"/>
      </w:pPr>
      <w:r>
        <w:rPr>
          <w:rFonts w:ascii="Times New Roman" w:cs="Times New Roman" w:eastAsia="Times New Roman" w:hAnsi="Times New Roman"/>
          <w:b/>
          <w:bCs/>
          <w:color w:val="1E3A5F"/>
          <w:sz w:val="30"/>
          <w:szCs w:val="30"/>
        </w:rPr>
        <w:t xml:space="preserve">2. Kịch bản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2463"/>
        <w:gridCol w:w="3962"/>
        <w:gridCol w:w="1821"/>
      </w:tblGrid>
      <w:tr>
        <w:trPr>
          <w:cantSplit/>
          <w:tblHeader/>
        </w:trPr>
        <w:tc>
          <w:tcPr>
            <w:tcW w:type="dxa" w:w="1392"/>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Thời gian</w:t>
            </w:r>
          </w:p>
        </w:tc>
        <w:tc>
          <w:tcPr>
            <w:tcW w:type="dxa" w:w="2463"/>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Người trình bày</w:t>
            </w:r>
          </w:p>
        </w:tc>
        <w:tc>
          <w:tcPr>
            <w:tcW w:type="dxa" w:w="3962"/>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Nội dung</w:t>
            </w:r>
          </w:p>
        </w:tc>
        <w:tc>
          <w:tcPr>
            <w:tcW w:type="dxa" w:w="1821"/>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Bảng/Slide gợi ý</w:t>
            </w:r>
          </w:p>
        </w:tc>
      </w:tr>
      <w:tr>
        <w:trPr>
          <w:cantSplit/>
          <w:tblHeader w:val="false"/>
        </w:trPr>
        <w:tc>
          <w:tcPr>
            <w:tcW w:type="dxa" w:w="1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00:00 – 02:00</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Nguyễn Thị Diễm Anh</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Mở đầu: bối cảnh, ba câu hỏi nghiên cứu, tám tài liệu theo ba hướng (Chương 1, 2)</w:t>
            </w:r>
          </w:p>
        </w:tc>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Bảng 2.1</w:t>
            </w:r>
          </w:p>
        </w:tc>
      </w:tr>
      <w:tr>
        <w:trPr>
          <w:cantSplit/>
          <w:tblHeader w:val="false"/>
        </w:trPr>
        <w:tc>
          <w:tcPr>
            <w:tcW w:type="dxa" w:w="1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02:00 – 05:30</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Nguyễn Gia Khảm</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Pháp luật Việt Nam: đồng ý, Điều 19, rút đồng ý và xóa, chế tài, quy định riêng cho AI (Chương 3) và cột Việt Nam của bảng 6.1</w:t>
            </w:r>
          </w:p>
        </w:tc>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Bảng 3.4, 3.2</w:t>
            </w:r>
          </w:p>
        </w:tc>
      </w:tr>
      <w:tr>
        <w:trPr>
          <w:cantSplit/>
          <w:tblHeader w:val="false"/>
        </w:trPr>
        <w:tc>
          <w:tcPr>
            <w:tcW w:type="dxa" w:w="1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05:30 – 08:30</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Nguyễn Hòa Khiêm</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Pháp luật thế giới: GDPR, Ý kiến 28/2024, Đạo luật AI, Hoa Kỳ – Trung Quốc – Hàn Quốc, vụ việc thực thi (Chương 4); so sánh khung (bảng 6.1, 6.2)</w:t>
            </w:r>
          </w:p>
        </w:tc>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Bảng 4.2, 6.1</w:t>
            </w:r>
          </w:p>
        </w:tc>
      </w:tr>
      <w:tr>
        <w:trPr>
          <w:cantSplit/>
          <w:tblHeader w:val="false"/>
        </w:trPr>
        <w:tc>
          <w:tcPr>
            <w:tcW w:type="dxa" w:w="1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08:30 – 11:30</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Đàm Đức Mạnh</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Bốn công trình: Veale, Carlini, Abadi, Bourtoule; mô hình đã huấn luyện theo Điều 2 (Chương 5); bảng 6.3</w:t>
            </w:r>
          </w:p>
        </w:tc>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Bảng 5.1, 6.3</w:t>
            </w:r>
          </w:p>
        </w:tc>
      </w:tr>
      <w:tr>
        <w:trPr>
          <w:cantSplit/>
          <w:tblHeader w:val="false"/>
        </w:trPr>
        <w:tc>
          <w:tcPr>
            <w:tcW w:type="dxa" w:w="1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11:30 – 14:30</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Nguyễn Thị Diễm Anh</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Ý nghĩa với phát triển mô hình: bảy giai đoạn, hai ví dụ, danh mục việc; xu hướng, khoảng trống, kết luận (Chương 7, 8)</w:t>
            </w:r>
          </w:p>
        </w:tc>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Bảng 7.1</w:t>
            </w:r>
          </w:p>
        </w:tc>
      </w:tr>
      <w:tr>
        <w:trPr>
          <w:cantSplit/>
          <w:tblHeader w:val="false"/>
        </w:trPr>
        <w:tc>
          <w:tcPr>
            <w:tcW w:type="dxa" w:w="1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14:30 – 15:00</w:t>
            </w:r>
          </w:p>
        </w:tc>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Nguyễn Thị Diễm Anh</w:t>
            </w:r>
          </w:p>
        </w:tc>
        <w:tc>
          <w:tcPr>
            <w:tcW w:type="dxa" w:w="3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Chốt lại bốn thông điệp cốt lõi, mời hỏi đáp</w:t>
            </w:r>
          </w:p>
        </w:tc>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w:t>
            </w:r>
          </w:p>
        </w:tc>
      </w:tr>
    </w:tbl>
    <w:p>
      <w:pPr>
        <w:spacing w:after="100" w:before="80" w:line="288"/>
        <w:jc w:val="both"/>
      </w:pPr>
      <w:r>
        <w:rPr>
          <w:rFonts w:ascii="Times New Roman" w:cs="Times New Roman" w:eastAsia="Times New Roman" w:hAnsi="Times New Roman"/>
          <w:i/>
          <w:iCs/>
          <w:sz w:val="22"/>
          <w:szCs w:val="22"/>
        </w:rPr>
        <w:t xml:space="preserve">Mẹo canh giờ: mỗi người tập riêng phần mình với đồng hồ; nếu chậm, bỏ phần "Có thể bỏ nếu thiếu giờ" ở mục 3.</w:t>
      </w:r>
    </w:p>
    <w:p>
      <w:pPr>
        <w:pStyle w:val="Heading1"/>
        <w:keepNext/>
        <w:spacing w:after="120" w:before="240"/>
      </w:pPr>
      <w:r>
        <w:rPr>
          <w:rFonts w:ascii="Times New Roman" w:cs="Times New Roman" w:eastAsia="Times New Roman" w:hAnsi="Times New Roman"/>
          <w:b/>
          <w:bCs/>
          <w:color w:val="1E3A5F"/>
          <w:sz w:val="30"/>
          <w:szCs w:val="30"/>
        </w:rPr>
        <w:t xml:space="preserve">3. Ý chính theo từng người</w:t>
      </w:r>
    </w:p>
    <w:p>
      <w:pPr>
        <w:pStyle w:val="Heading2"/>
        <w:keepNext/>
        <w:spacing w:after="80" w:before="160"/>
      </w:pPr>
      <w:r>
        <w:rPr>
          <w:rFonts w:ascii="Times New Roman" w:cs="Times New Roman" w:eastAsia="Times New Roman" w:hAnsi="Times New Roman"/>
          <w:b/>
          <w:bCs/>
          <w:sz w:val="26"/>
          <w:szCs w:val="26"/>
        </w:rPr>
        <w:t xml:space="preserve">3.1. Nguyễn Thị Diễm Anh – Mở đầu (2 phút)</w:t>
      </w:r>
    </w:p>
    <w:p>
      <w:pPr>
        <w:keepNext/>
        <w:spacing w:after="40" w:before="0" w:line="288"/>
        <w:jc w:val="both"/>
      </w:pPr>
      <w:r>
        <w:rPr>
          <w:rFonts w:ascii="Times New Roman" w:cs="Times New Roman" w:eastAsia="Times New Roman" w:hAnsi="Times New Roman"/>
          <w:b/>
          <w:bCs/>
          <w:sz w:val="26"/>
          <w:szCs w:val="26"/>
        </w:rPr>
        <w:t xml:space="preserve">Ý chính cần nói: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Mô hình học máy cần lượng dữ liệu rất lớn gắn với người thật; Carlini và cộng sự cho thấy GPT-2 tái tạo được cả mẫu chỉ xuất hiện một lần.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Câu hỏi không còn là có cần bảo vệ dữ liệu hay không, mà là ở từng giai đoạn vòng đời, nhóm phát triển được dùng dữ liệu nào, trên căn cứ nào, phải lưu hồ sơ gì.</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câu hỏi nghiên cứu: luật quy định gì; các khung giống/khác ở đâu (căn cứ, quyền, chế tài); kỹ thuật đo rủi ro và đáp ứng nghĩa vụ đến đâu.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Hai câu áp dụng: mô hình đã huấn luyện còn là dữ liệu cá nhân theo Điều 2 hay không; dữ liệu web có căn cứ để huấn luyện hay không.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Tám tài liệu, ba hướng: A. Lập pháp (T1 Luật 91 + NĐ 356, T2 GDPR, T3 Đạo luật AI); B. Diễn giải (T4 Ý kiến 28/2024, T5 Veale); C. Kỹ thuật (T6 Carlini đo rủi ro, T7 Abadi phòng ngừa, T8 Bourtoule khắc phục).</w:t>
      </w:r>
    </w:p>
    <w:p>
      <w:pPr>
        <w:spacing w:after="100" w:before="60" w:line="288"/>
        <w:jc w:val="both"/>
      </w:pPr>
      <w:r>
        <w:rPr>
          <w:rFonts w:ascii="Times New Roman" w:cs="Times New Roman" w:eastAsia="Times New Roman" w:hAnsi="Times New Roman"/>
          <w:b/>
          <w:bCs/>
          <w:sz w:val="26"/>
          <w:szCs w:val="26"/>
        </w:rPr>
        <w:t xml:space="preserve">Số liệu phải nhớ: </w:t>
      </w:r>
      <w:r>
        <w:rPr>
          <w:rFonts w:ascii="Times New Roman" w:cs="Times New Roman" w:eastAsia="Times New Roman" w:hAnsi="Times New Roman"/>
          <w:sz w:val="26"/>
          <w:szCs w:val="26"/>
        </w:rPr>
        <w:t xml:space="preserve">GDPR áp dụng từ 25/5/2018; Luật 91/2025 hiệu lực 01/01/2026; Luật Trí tuệ nhân tạo hiệu lực 01/3/2026.</w:t>
      </w:r>
    </w:p>
    <w:p>
      <w:pPr>
        <w:spacing w:after="100" w:before="0" w:line="288"/>
        <w:jc w:val="both"/>
      </w:pPr>
      <w:r>
        <w:rPr>
          <w:rFonts w:ascii="Times New Roman" w:cs="Times New Roman" w:eastAsia="Times New Roman" w:hAnsi="Times New Roman"/>
          <w:b/>
          <w:bCs/>
          <w:i/>
          <w:iCs/>
          <w:sz w:val="26"/>
          <w:szCs w:val="26"/>
        </w:rPr>
        <w:t xml:space="preserve">Có thể bỏ nếu thiếu giờ: </w:t>
      </w:r>
      <w:r>
        <w:rPr>
          <w:rFonts w:ascii="Times New Roman" w:cs="Times New Roman" w:eastAsia="Times New Roman" w:hAnsi="Times New Roman"/>
          <w:i/>
          <w:iCs/>
          <w:sz w:val="26"/>
          <w:szCs w:val="26"/>
        </w:rPr>
        <w:t xml:space="preserve">Phần giải thích quan hệ giữa ba hướng (mục II.3).</w:t>
      </w:r>
    </w:p>
    <w:p>
      <w:pPr>
        <w:spacing w:after="160" w:before="0" w:line="288"/>
        <w:jc w:val="both"/>
      </w:pPr>
      <w:r>
        <w:rPr>
          <w:rFonts w:ascii="Times New Roman" w:cs="Times New Roman" w:eastAsia="Times New Roman" w:hAnsi="Times New Roman"/>
          <w:b/>
          <w:bCs/>
          <w:sz w:val="26"/>
          <w:szCs w:val="26"/>
        </w:rPr>
        <w:t xml:space="preserve">Câu chuyển: </w:t>
      </w:r>
      <w:r>
        <w:rPr>
          <w:rFonts w:ascii="Times New Roman" w:cs="Times New Roman" w:eastAsia="Times New Roman" w:hAnsi="Times New Roman"/>
          <w:i/>
          <w:iCs/>
          <w:sz w:val="26"/>
          <w:szCs w:val="26"/>
        </w:rPr>
        <w:t xml:space="preserve">“Bắt đầu từ Việt Nam: luật mới nói gì về dữ liệu huấn luyện? Mời Khảm.”</w:t>
      </w:r>
    </w:p>
    <w:p>
      <w:pPr>
        <w:pStyle w:val="Heading2"/>
        <w:keepNext/>
        <w:spacing w:after="80" w:before="160"/>
      </w:pPr>
      <w:r>
        <w:rPr>
          <w:rFonts w:ascii="Times New Roman" w:cs="Times New Roman" w:eastAsia="Times New Roman" w:hAnsi="Times New Roman"/>
          <w:b/>
          <w:bCs/>
          <w:sz w:val="26"/>
          <w:szCs w:val="26"/>
        </w:rPr>
        <w:t xml:space="preserve">3.2. Nguyễn Gia Khảm – Pháp luật Việt Nam (3,5 phút)</w:t>
      </w:r>
    </w:p>
    <w:p>
      <w:pPr>
        <w:keepNext/>
        <w:spacing w:after="40" w:before="0" w:line="288"/>
        <w:jc w:val="both"/>
      </w:pPr>
      <w:r>
        <w:rPr>
          <w:rFonts w:ascii="Times New Roman" w:cs="Times New Roman" w:eastAsia="Times New Roman" w:hAnsi="Times New Roman"/>
          <w:b/>
          <w:bCs/>
          <w:sz w:val="26"/>
          <w:szCs w:val="26"/>
        </w:rPr>
        <w:t xml:space="preserve">Ý chính cần nói: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Đồng ý là căn cứ mặc định (Điều 9): tự nguyện, theo từng mục đích; im lặng không phải đồng ý. Đồng ý mở tài khoản hay việc tự đăng bài không sinh ra đồng ý cho huấn luyện.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Dữ liệu đã mã hóa vẫn là dữ liệu cá nhân (Điều 12 khoản 1). Công khai trên web là một lần xử lý có điều kiện, không phải giấy phép cho bên thứ ba (Điều 16).</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Điều 19 không mở cửa chung cho dữ liệu web: đi lần lượt năm nhánh a–đ (bảng 3.4), không nhánh nào đỡ việc thu web quy mô lớn để huấn luyện. Cụm "lợi ích chính đáng" chỉ nằm ở nhánh a, gắn với chống hành vi xâm phạm.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lối luật chỉ sẵn: đồng ý đúng mục đích; dữ liệu đã khử nhận dạng (kèm cấm tái nhận dạng); dữ liệu không còn giúp xác định người.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Rút đồng ý (Điều 10 khoản 4) không kéo ngược xử lý đã xong, nhưng mọi hoạt động mới sau đó phải có căn cứ riêng. Quyền xóa (Điều 14): nếu không xóa được vì lý do chính đáng thì phải thông báo cho chủ thể.</w:t>
      </w:r>
    </w:p>
    <w:p>
      <w:pPr>
        <w:pStyle w:val="ListParagraph"/>
        <w:numPr>
          <w:ilvl w:val="0"/>
          <w:numId w:val="2"/>
        </w:numPr>
        <w:spacing w:after="60" w:line="276"/>
        <w:jc w:val="both"/>
      </w:pPr>
      <w:r>
        <w:rPr>
          <w:rFonts w:ascii="Times New Roman" w:cs="Times New Roman" w:eastAsia="Times New Roman" w:hAnsi="Times New Roman"/>
          <w:sz w:val="26"/>
          <w:szCs w:val="26"/>
        </w:rPr>
        <w:t xml:space="preserve">Quy định riêng cho AI: Điều 30 Luật 91, Điều 9–10 NĐ 356 – cho phép dùng dữ liệu để phát triển AI khi vẫn tuân luật, không tạo căn cứ mới; kết quả suy luận giúp xác định người phải được bảo vệ như dữ liệu cá nhân.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Luật Trí tuệ nhân tạo: Điều 7 cấm huấn luyện trái luật dữ liệu; ba mức rủi ro; nhà cung cấp tự phân loại; chuyển tiếp 12 tháng (18 tháng với y tế, giáo dục, tài chính).</w:t>
      </w:r>
    </w:p>
    <w:p>
      <w:pPr>
        <w:spacing w:after="100" w:before="60" w:line="288"/>
        <w:jc w:val="both"/>
      </w:pPr>
      <w:r>
        <w:rPr>
          <w:rFonts w:ascii="Times New Roman" w:cs="Times New Roman" w:eastAsia="Times New Roman" w:hAnsi="Times New Roman"/>
          <w:b/>
          <w:bCs/>
          <w:sz w:val="26"/>
          <w:szCs w:val="26"/>
        </w:rPr>
        <w:t xml:space="preserve">Số liệu phải nhớ: </w:t>
      </w:r>
      <w:r>
        <w:rPr>
          <w:rFonts w:ascii="Times New Roman" w:cs="Times New Roman" w:eastAsia="Times New Roman" w:hAnsi="Times New Roman"/>
          <w:sz w:val="26"/>
          <w:szCs w:val="26"/>
        </w:rPr>
        <w:t xml:space="preserve">Phản hồi 2 ngày làm việc, xóa trong 20 ngày (30 ngày nếu qua bên thứ ba); hồ sơ đánh giá tác động trong 60 ngày; báo vi phạm trong 72 giờ; phạt tối đa 10 lần khoản thu (mua bán dữ liệu), 5% doanh thu năm trước (xuyên biên giới), 3 tỷ đồng (vi phạm khác); doanh nghiệp nhỏ miễn 5 năm.</w:t>
      </w:r>
    </w:p>
    <w:p>
      <w:pPr>
        <w:spacing w:after="100" w:before="0" w:line="288"/>
        <w:jc w:val="both"/>
      </w:pPr>
      <w:r>
        <w:rPr>
          <w:rFonts w:ascii="Times New Roman" w:cs="Times New Roman" w:eastAsia="Times New Roman" w:hAnsi="Times New Roman"/>
          <w:b/>
          <w:bCs/>
          <w:i/>
          <w:iCs/>
          <w:sz w:val="26"/>
          <w:szCs w:val="26"/>
        </w:rPr>
        <w:t xml:space="preserve">Có thể bỏ nếu thiếu giờ: </w:t>
      </w:r>
      <w:r>
        <w:rPr>
          <w:rFonts w:ascii="Times New Roman" w:cs="Times New Roman" w:eastAsia="Times New Roman" w:hAnsi="Times New Roman"/>
          <w:i/>
          <w:iCs/>
          <w:sz w:val="26"/>
          <w:szCs w:val="26"/>
        </w:rPr>
        <w:t xml:space="preserve">Chi tiết miễn trừ doanh nghiệp nhỏ và Nghị định 142/2026.</w:t>
      </w:r>
    </w:p>
    <w:p>
      <w:pPr>
        <w:spacing w:after="160" w:before="0" w:line="288"/>
        <w:jc w:val="both"/>
      </w:pPr>
      <w:r>
        <w:rPr>
          <w:rFonts w:ascii="Times New Roman" w:cs="Times New Roman" w:eastAsia="Times New Roman" w:hAnsi="Times New Roman"/>
          <w:b/>
          <w:bCs/>
          <w:sz w:val="26"/>
          <w:szCs w:val="26"/>
        </w:rPr>
        <w:t xml:space="preserve">Câu chuyển: </w:t>
      </w:r>
      <w:r>
        <w:rPr>
          <w:rFonts w:ascii="Times New Roman" w:cs="Times New Roman" w:eastAsia="Times New Roman" w:hAnsi="Times New Roman"/>
          <w:i/>
          <w:iCs/>
          <w:sz w:val="26"/>
          <w:szCs w:val="26"/>
        </w:rPr>
        <w:t xml:space="preserve">“Việt Nam lấy đồng ý làm trung tâm. Còn châu Âu và các nước khác thì sao? Mời Khiêm.”</w:t>
      </w:r>
    </w:p>
    <w:p>
      <w:pPr>
        <w:pStyle w:val="Heading2"/>
        <w:keepNext/>
        <w:spacing w:after="80" w:before="160"/>
      </w:pPr>
      <w:r>
        <w:rPr>
          <w:rFonts w:ascii="Times New Roman" w:cs="Times New Roman" w:eastAsia="Times New Roman" w:hAnsi="Times New Roman"/>
          <w:b/>
          <w:bCs/>
          <w:sz w:val="26"/>
          <w:szCs w:val="26"/>
        </w:rPr>
        <w:t xml:space="preserve">3.3. Nguyễn Hòa Khiêm – Pháp luật thế giới và so sánh khung (3 phút)</w:t>
      </w:r>
    </w:p>
    <w:p>
      <w:pPr>
        <w:keepNext/>
        <w:spacing w:after="40" w:before="0" w:line="288"/>
        <w:jc w:val="both"/>
      </w:pPr>
      <w:r>
        <w:rPr>
          <w:rFonts w:ascii="Times New Roman" w:cs="Times New Roman" w:eastAsia="Times New Roman" w:hAnsi="Times New Roman"/>
          <w:b/>
          <w:bCs/>
          <w:sz w:val="26"/>
          <w:szCs w:val="26"/>
        </w:rPr>
        <w:t xml:space="preserve">Ý chính cần nói: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GDPR: bảy nguyên tắc (Điều 5), sáu căn cứ ngang nhau trong đó có lợi ích chính đáng (Điều 6), quyền xóa (Điều 17), quyết định tự động (Điều 22). Không có điều riêng cho AI.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Ý kiến 28/2024 của EDPB: mô hình không mặc nhiên ẩn danh; chỉ ẩn danh khi cả trích xuất trực tiếp lẫn thu qua truy vấn đều "không đáng kể", có hồ sơ chứng minh; lợi ích chính đáng phải qua phép thử ba bước; có thể buộc xóa cả mô hình.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Đạo luật AI (EU) 2024/1689: bốn tầng rủi ro; Điều 2 khoản 7 – không thay GDPR; Điều 10 – chất lượng dữ liệu huấn luyện; Điều 53 – tóm tắt công khai dữ liệu huấn luyện. Mốc rủi ro cao bị lùi sang 02/12/2027 và 02/8/2028 (Digital Omnibus).</w:t>
      </w:r>
    </w:p>
    <w:p>
      <w:pPr>
        <w:pStyle w:val="ListParagraph"/>
        <w:numPr>
          <w:ilvl w:val="0"/>
          <w:numId w:val="2"/>
        </w:numPr>
        <w:spacing w:after="60" w:line="276"/>
        <w:jc w:val="both"/>
      </w:pPr>
      <w:r>
        <w:rPr>
          <w:rFonts w:ascii="Times New Roman" w:cs="Times New Roman" w:eastAsia="Times New Roman" w:hAnsi="Times New Roman"/>
          <w:sz w:val="26"/>
          <w:szCs w:val="26"/>
        </w:rPr>
        <w:t xml:space="preserve">Hoa Kỳ: không có luật liên bang toàn diện, FTC dùng luật chống lừa dối (Everalbum 2021 – buộc xóa mô hình). Trung Quốc: PIPL lấy đồng ý làm trung tâm. Hàn Quốc: Luật khung về AI 22/01/2026, hướng dẫn cho dùng dữ liệu công khai trên lợi ích chính đáng.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Bảng 6.1: giống nhau ở quản lý theo rủi ro, minh bạch, phạt theo doanh thu; khác nhau ở căn cứ (EU/Hàn Quốc: lợi ích chính đáng; Việt Nam/Trung Quốc: đồng ý; Hoa Kỳ: thông báo và từ chối), mức độ diễn giải và cách giám sát (Việt Nam nộp hồ sơ, EU tự lưu).</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Bảng 6.2: T1 có điều riêng cho AI nhưng phụ thuộc đồng ý; T2 linh hoạt nhưng không viết cho học máy; T3 rõ về chất lượng dữ liệu nhưng không trả lời căn cứ xử lý; T4 trả lời thẳng nhưng không có ngưỡng định lượng.</w:t>
      </w:r>
    </w:p>
    <w:p>
      <w:pPr>
        <w:spacing w:after="100" w:before="60" w:line="288"/>
        <w:jc w:val="both"/>
      </w:pPr>
      <w:r>
        <w:rPr>
          <w:rFonts w:ascii="Times New Roman" w:cs="Times New Roman" w:eastAsia="Times New Roman" w:hAnsi="Times New Roman"/>
          <w:b/>
          <w:bCs/>
          <w:sz w:val="26"/>
          <w:szCs w:val="26"/>
        </w:rPr>
        <w:t xml:space="preserve">Số liệu phải nhớ: </w:t>
      </w:r>
      <w:r>
        <w:rPr>
          <w:rFonts w:ascii="Times New Roman" w:cs="Times New Roman" w:eastAsia="Times New Roman" w:hAnsi="Times New Roman"/>
          <w:sz w:val="26"/>
          <w:szCs w:val="26"/>
        </w:rPr>
        <w:t xml:space="preserve">GDPR phạt tới 20 triệu euro hoặc 4% doanh thu toàn cầu; Đạo luật AI tới 35 triệu euro hoặc 7%; OpenAI tại Italy bị phạt 15 triệu euro, Tòa Rome hủy ngày 18/3/2026; Clearview AI bị Italy phạt 20 triệu euro (2022).</w:t>
      </w:r>
    </w:p>
    <w:p>
      <w:pPr>
        <w:spacing w:after="100" w:before="0" w:line="288"/>
        <w:jc w:val="both"/>
      </w:pPr>
      <w:r>
        <w:rPr>
          <w:rFonts w:ascii="Times New Roman" w:cs="Times New Roman" w:eastAsia="Times New Roman" w:hAnsi="Times New Roman"/>
          <w:b/>
          <w:bCs/>
          <w:i/>
          <w:iCs/>
          <w:sz w:val="26"/>
          <w:szCs w:val="26"/>
        </w:rPr>
        <w:t xml:space="preserve">Có thể bỏ nếu thiếu giờ: </w:t>
      </w:r>
      <w:r>
        <w:rPr>
          <w:rFonts w:ascii="Times New Roman" w:cs="Times New Roman" w:eastAsia="Times New Roman" w:hAnsi="Times New Roman"/>
          <w:i/>
          <w:iCs/>
          <w:sz w:val="26"/>
          <w:szCs w:val="26"/>
        </w:rPr>
        <w:t xml:space="preserve">Đề xuất Điều 88c GDPR và các vụ Meta, Clearview trong bảng 4.3.</w:t>
      </w:r>
    </w:p>
    <w:p>
      <w:pPr>
        <w:spacing w:after="160" w:before="0" w:line="288"/>
        <w:jc w:val="both"/>
      </w:pPr>
      <w:r>
        <w:rPr>
          <w:rFonts w:ascii="Times New Roman" w:cs="Times New Roman" w:eastAsia="Times New Roman" w:hAnsi="Times New Roman"/>
          <w:b/>
          <w:bCs/>
          <w:sz w:val="26"/>
          <w:szCs w:val="26"/>
        </w:rPr>
        <w:t xml:space="preserve">Câu chuyển: </w:t>
      </w:r>
      <w:r>
        <w:rPr>
          <w:rFonts w:ascii="Times New Roman" w:cs="Times New Roman" w:eastAsia="Times New Roman" w:hAnsi="Times New Roman"/>
          <w:i/>
          <w:iCs/>
          <w:sz w:val="26"/>
          <w:szCs w:val="26"/>
        </w:rPr>
        <w:t xml:space="preserve">“Luật đã nói vậy, còn kỹ thuật thì đo được rủi ro đến đâu? Mời Mạnh.”</w:t>
      </w:r>
    </w:p>
    <w:p>
      <w:pPr>
        <w:pStyle w:val="Heading2"/>
        <w:keepNext/>
        <w:spacing w:after="80" w:before="160"/>
      </w:pPr>
      <w:r>
        <w:rPr>
          <w:rFonts w:ascii="Times New Roman" w:cs="Times New Roman" w:eastAsia="Times New Roman" w:hAnsi="Times New Roman"/>
          <w:b/>
          <w:bCs/>
          <w:sz w:val="26"/>
          <w:szCs w:val="26"/>
        </w:rPr>
        <w:t xml:space="preserve">3.4. Đàm Đức Mạnh – Bốn công trình nghiên cứu (3 phút)</w:t>
      </w:r>
    </w:p>
    <w:p>
      <w:pPr>
        <w:keepNext/>
        <w:spacing w:after="40" w:before="0" w:line="288"/>
        <w:jc w:val="both"/>
      </w:pPr>
      <w:r>
        <w:rPr>
          <w:rFonts w:ascii="Times New Roman" w:cs="Times New Roman" w:eastAsia="Times New Roman" w:hAnsi="Times New Roman"/>
          <w:b/>
          <w:bCs/>
          <w:sz w:val="26"/>
          <w:szCs w:val="26"/>
        </w:rPr>
        <w:t xml:space="preserve">Ý chính cần nói: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Veale, Binns, Edwards (2018): mô hình có thể là dữ liệu cá nhân nếu suy ra được thông tin về người trong tập huấn luyện; đi trước Ý kiến 28/2024 sáu năm.</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Carlini và cộng sự (2021): tấn công trích xuất trên GPT-2 – sinh mẫu rồi xếp hạng bằng suy luận thành viên; mô hình càng lớn càng nhớ nhiều; có mẫu bị nhớ dù chỉ xuất hiện một lần.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Abadi và cộng sự (2016): DP-SGD – cắt gradient từng mẫu và cộng nhiễu Gauss; độ chính xác giảm khi ε nhỏ; phải bật từ lúc huấn luyện.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Bourtoule và cộng sự (2021): SISA – chia mảnh, chia lát, chỉ học lại mảnh chứa điểm cần xóa; là quên chính xác nhưng phải thiết kế từ đầu, chưa hợp với mô hình nền rất lớn.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Áp vào Điều 2 Luật 91/2025: nếu truy vấn mô hình lấy lại được tên, liên lạc của một người thì mô hình đang "giúp xác định" người đó, chưa qua ngưỡng khử nhận dạng; lưu, chuyển, đặt mô hình ở nước ngoài đều là xử lý.</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Giới hạn: Carlini đo trên GPT-2, không phải mọi kiến trúc; luật chưa có ngưỡng số; nghĩa vụ chứng minh thuộc bên giữ mô hình.</w:t>
      </w:r>
    </w:p>
    <w:p>
      <w:pPr>
        <w:spacing w:after="100" w:before="60" w:line="288"/>
        <w:jc w:val="both"/>
      </w:pPr>
      <w:r>
        <w:rPr>
          <w:rFonts w:ascii="Times New Roman" w:cs="Times New Roman" w:eastAsia="Times New Roman" w:hAnsi="Times New Roman"/>
          <w:b/>
          <w:bCs/>
          <w:sz w:val="26"/>
          <w:szCs w:val="26"/>
        </w:rPr>
        <w:t xml:space="preserve">Số liệu phải nhớ: </w:t>
      </w:r>
      <w:r>
        <w:rPr>
          <w:rFonts w:ascii="Times New Roman" w:cs="Times New Roman" w:eastAsia="Times New Roman" w:hAnsi="Times New Roman"/>
          <w:sz w:val="26"/>
          <w:szCs w:val="26"/>
        </w:rPr>
        <w:t xml:space="preserve">604/1.800 mẫu bị nhớ nguyên văn (33,5%), 46 mẫu có tên cá nhân, 32 mẫu có thông tin liên lạc; DP-SGD ở ε = 8: MNIST 97% (so với 98,3%), CIFAR-10 khoảng 73% (so với khoảng 80%); SISA nhanh hơn học lại 4,63 / 2,45 / 1,36 lần trên Purchase / SVHN / ImageNet.</w:t>
      </w:r>
    </w:p>
    <w:p>
      <w:pPr>
        <w:spacing w:after="100" w:before="0" w:line="288"/>
        <w:jc w:val="both"/>
      </w:pPr>
      <w:r>
        <w:rPr>
          <w:rFonts w:ascii="Times New Roman" w:cs="Times New Roman" w:eastAsia="Times New Roman" w:hAnsi="Times New Roman"/>
          <w:b/>
          <w:bCs/>
          <w:i/>
          <w:iCs/>
          <w:sz w:val="26"/>
          <w:szCs w:val="26"/>
        </w:rPr>
        <w:t xml:space="preserve">Có thể bỏ nếu thiếu giờ: </w:t>
      </w:r>
      <w:r>
        <w:rPr>
          <w:rFonts w:ascii="Times New Roman" w:cs="Times New Roman" w:eastAsia="Times New Roman" w:hAnsi="Times New Roman"/>
          <w:i/>
          <w:iCs/>
          <w:sz w:val="26"/>
          <w:szCs w:val="26"/>
        </w:rPr>
        <w:t xml:space="preserve">Chi tiết moments accountant và k-eidetic.</w:t>
      </w:r>
    </w:p>
    <w:p>
      <w:pPr>
        <w:spacing w:after="160" w:before="0" w:line="288"/>
        <w:jc w:val="both"/>
      </w:pPr>
      <w:r>
        <w:rPr>
          <w:rFonts w:ascii="Times New Roman" w:cs="Times New Roman" w:eastAsia="Times New Roman" w:hAnsi="Times New Roman"/>
          <w:b/>
          <w:bCs/>
          <w:sz w:val="26"/>
          <w:szCs w:val="26"/>
        </w:rPr>
        <w:t xml:space="preserve">Câu chuyển: </w:t>
      </w:r>
      <w:r>
        <w:rPr>
          <w:rFonts w:ascii="Times New Roman" w:cs="Times New Roman" w:eastAsia="Times New Roman" w:hAnsi="Times New Roman"/>
          <w:i/>
          <w:iCs/>
          <w:sz w:val="26"/>
          <w:szCs w:val="26"/>
        </w:rPr>
        <w:t xml:space="preserve">“Từ luật và bằng chứng kỹ thuật, nhóm phát triển mô hình phải làm gì? Mời Diễm Anh tổng kết.”</w:t>
      </w:r>
    </w:p>
    <w:p>
      <w:pPr>
        <w:pStyle w:val="Heading2"/>
        <w:keepNext/>
        <w:spacing w:after="80" w:before="160"/>
      </w:pPr>
      <w:r>
        <w:rPr>
          <w:rFonts w:ascii="Times New Roman" w:cs="Times New Roman" w:eastAsia="Times New Roman" w:hAnsi="Times New Roman"/>
          <w:b/>
          <w:bCs/>
          <w:sz w:val="26"/>
          <w:szCs w:val="26"/>
        </w:rPr>
        <w:t xml:space="preserve">3.5. Nguyễn Thị Diễm Anh – Ý nghĩa và kết luận (3 phút)</w:t>
      </w:r>
    </w:p>
    <w:p>
      <w:pPr>
        <w:keepNext/>
        <w:spacing w:after="40" w:before="0" w:line="288"/>
        <w:jc w:val="both"/>
      </w:pPr>
      <w:r>
        <w:rPr>
          <w:rFonts w:ascii="Times New Roman" w:cs="Times New Roman" w:eastAsia="Times New Roman" w:hAnsi="Times New Roman"/>
          <w:b/>
          <w:bCs/>
          <w:sz w:val="26"/>
          <w:szCs w:val="26"/>
        </w:rPr>
        <w:t xml:space="preserve">Ý chính cần nói: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Bảy giai đoạn (bảng 7.1): mục đích và thiết kế → thu thập → tiền xử lý → huấn luyện → đánh giá → triển khai → vận hành; phần lớn nghĩa vụ phải giải quyết trước khi huấn luyện.</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Ví dụ chấm điểm tín dụng: Điều 27 cấm chấm điểm khi chưa có đồng ý và không dẫn ngoại lệ Điều 19; tài chính có 18 tháng chuyển tiếp; khi khách rút đồng ý thì các lần chấm mới phải dừng.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Ví dụ mô hình tiếng Việt thu từ web: chủ trương ưu tiên mô hình tiếng Việt không tạo căn cứ xử lý; bộ lọc tên, số điện thoại nên làm nhưng chưa chứng minh mô hình đã khử nhận dạng.</w:t>
      </w:r>
    </w:p>
    <w:p>
      <w:pPr>
        <w:pStyle w:val="ListParagraph"/>
        <w:numPr>
          <w:ilvl w:val="0"/>
          <w:numId w:val="2"/>
        </w:numPr>
        <w:spacing w:after="60" w:line="276"/>
        <w:jc w:val="both"/>
      </w:pPr>
      <w:r>
        <w:rPr>
          <w:rFonts w:ascii="Times New Roman" w:cs="Times New Roman" w:eastAsia="Times New Roman" w:hAnsi="Times New Roman"/>
          <w:sz w:val="26"/>
          <w:szCs w:val="26"/>
        </w:rPr>
        <w:t xml:space="preserve">Danh mục việc: sổ nguồn, phân loại dữ liệu nhạy cảm, khử nhận dạng có kiểm soát, phân loại rủi ro, cân nhắc DP-SGD, thử trích xuất trước phát hành, hồ sơ 60 ngày, quy trình rút đồng ý và xóa.</w:t>
      </w:r>
    </w:p>
    <w:p>
      <w:pPr>
        <w:pStyle w:val="ListParagraph"/>
        <w:numPr>
          <w:ilvl w:val="0"/>
          <w:numId w:val="2"/>
        </w:numPr>
        <w:spacing w:after="60" w:line="276"/>
        <w:jc w:val="both"/>
      </w:pPr>
      <w:r>
        <w:rPr>
          <w:rFonts w:ascii="Times New Roman" w:cs="Times New Roman" w:eastAsia="Times New Roman" w:hAnsi="Times New Roman"/>
          <w:sz w:val="26"/>
          <w:szCs w:val="26"/>
        </w:rPr>
        <w:t xml:space="preserve">Xu hướng: luật riêng cho AI xuất hiện ở nhiều nơi; hội tụ về phương pháp, phân kỳ về căn cứ; chế tài bắt đầu nhắm vào chính mô hình.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Sáu khoảng trống, nhấn hai: chưa có cầu nối giữa ε/tỷ lệ trích xuất với chuẩn "không đáng kể"; chưa có thực nghiệm trên tiếng Việt.</w:t>
      </w:r>
    </w:p>
    <w:p>
      <w:pPr>
        <w:pStyle w:val="ListParagraph"/>
        <w:numPr>
          <w:ilvl w:val="0"/>
          <w:numId w:val="2"/>
        </w:numPr>
        <w:spacing w:after="60" w:line="276"/>
        <w:jc w:val="both"/>
      </w:pPr>
      <w:r>
        <w:rPr>
          <w:rFonts w:ascii="Times New Roman" w:cs="Times New Roman" w:eastAsia="Times New Roman" w:hAnsi="Times New Roman"/>
          <w:sz w:val="26"/>
          <w:szCs w:val="26"/>
        </w:rPr>
        <w:t xml:space="preserve">Ba diễn biến cần theo dõi: hướng dẫn phân loại rủi ro cho Điều 30, quy chuẩn khử nhận dạng theo Điều 34 Nghị định 356, cách xử lý các vụ việc đầu tiên theo luật mới.</w:t>
      </w:r>
    </w:p>
    <w:p>
      <w:pPr>
        <w:spacing w:after="100" w:before="60" w:line="288"/>
        <w:jc w:val="both"/>
      </w:pPr>
      <w:r>
        <w:rPr>
          <w:rFonts w:ascii="Times New Roman" w:cs="Times New Roman" w:eastAsia="Times New Roman" w:hAnsi="Times New Roman"/>
          <w:b/>
          <w:bCs/>
          <w:sz w:val="26"/>
          <w:szCs w:val="26"/>
        </w:rPr>
        <w:t xml:space="preserve">Số liệu phải nhớ: </w:t>
      </w:r>
      <w:r>
        <w:rPr>
          <w:rFonts w:ascii="Times New Roman" w:cs="Times New Roman" w:eastAsia="Times New Roman" w:hAnsi="Times New Roman"/>
          <w:sz w:val="26"/>
          <w:szCs w:val="26"/>
        </w:rPr>
        <w:t xml:space="preserve">Hồ sơ 60 ngày; báo sự cố 72 giờ; phạt 5% doanh thu với chuyển dữ liệu xuyên biên giới; mốc 2027 và 2028 của EU.</w:t>
      </w:r>
    </w:p>
    <w:p>
      <w:pPr>
        <w:spacing w:after="100" w:before="0" w:line="288"/>
        <w:jc w:val="both"/>
      </w:pPr>
      <w:r>
        <w:rPr>
          <w:rFonts w:ascii="Times New Roman" w:cs="Times New Roman" w:eastAsia="Times New Roman" w:hAnsi="Times New Roman"/>
          <w:b/>
          <w:bCs/>
          <w:i/>
          <w:iCs/>
          <w:sz w:val="26"/>
          <w:szCs w:val="26"/>
        </w:rPr>
        <w:t xml:space="preserve">Có thể bỏ nếu thiếu giờ: </w:t>
      </w:r>
      <w:r>
        <w:rPr>
          <w:rFonts w:ascii="Times New Roman" w:cs="Times New Roman" w:eastAsia="Times New Roman" w:hAnsi="Times New Roman"/>
          <w:i/>
          <w:iCs/>
          <w:sz w:val="26"/>
          <w:szCs w:val="26"/>
        </w:rPr>
        <w:t xml:space="preserve">Ví dụ mô hình tiếng Việt (giữ ví dụ tín dụng).</w:t>
      </w:r>
    </w:p>
    <w:p>
      <w:pPr>
        <w:spacing w:after="160" w:before="0" w:line="288"/>
        <w:jc w:val="both"/>
      </w:pPr>
      <w:r>
        <w:rPr>
          <w:rFonts w:ascii="Times New Roman" w:cs="Times New Roman" w:eastAsia="Times New Roman" w:hAnsi="Times New Roman"/>
          <w:b/>
          <w:bCs/>
          <w:sz w:val="26"/>
          <w:szCs w:val="26"/>
        </w:rPr>
        <w:t xml:space="preserve">Câu chuyển: </w:t>
      </w:r>
      <w:r>
        <w:rPr>
          <w:rFonts w:ascii="Times New Roman" w:cs="Times New Roman" w:eastAsia="Times New Roman" w:hAnsi="Times New Roman"/>
          <w:i/>
          <w:iCs/>
          <w:sz w:val="26"/>
          <w:szCs w:val="26"/>
        </w:rPr>
        <w:t xml:space="preserve">“Xin cảm ơn thầy cô và các bạn đã lắng nghe. Nhóm sẵn sàng nhận câu hỏi.”</w:t>
      </w:r>
    </w:p>
    <w:p>
      <w:pPr>
        <w:pStyle w:val="Heading1"/>
        <w:keepNext/>
        <w:spacing w:after="120" w:before="240"/>
      </w:pPr>
      <w:r>
        <w:rPr>
          <w:rFonts w:ascii="Times New Roman" w:cs="Times New Roman" w:eastAsia="Times New Roman" w:hAnsi="Times New Roman"/>
          <w:b/>
          <w:bCs/>
          <w:color w:val="1E3A5F"/>
          <w:sz w:val="30"/>
          <w:szCs w:val="30"/>
        </w:rPr>
        <w:t xml:space="preserve">4. Bảng con số cần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Nội dung</w:t>
            </w:r>
          </w:p>
        </w:tc>
        <w:tc>
          <w:tcPr>
            <w:tcW w:type="dxa" w:w="6425"/>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Con số</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Hiệu lực văn bản Việt Nam</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NĐ 13/2023: 01/7/2023 · Luật 91/2025 và NĐ 356/2025: 01/01/2026 · Luật AI 134/2025: 01/3/2026 · NĐ 142/2026: 01/5/2026</w:t>
            </w:r>
          </w:p>
        </w:tc>
      </w:tr>
      <w:tr>
        <w:trPr>
          <w:cantSplit/>
          <w:tblHeader w:val="false"/>
        </w:trPr>
        <w:tc>
          <w:tcPr>
            <w:tcW w:type="dxa" w:w="321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Thời hạn theo Luật 91 / NĐ 356</w:t>
            </w:r>
          </w:p>
        </w:tc>
        <w:tc>
          <w:tcPr>
            <w:tcW w:type="dxa" w:w="642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Phản hồi 2 ngày làm việc · xóa 20 ngày (30 ngày) · hồ sơ đánh giá tác động 60 ngày · cập nhật 6 tháng · báo vi phạm 72 giờ</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Mức phạt Việt Nam (tổ chức)</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10 lần khoản thu (mua bán) · 5% doanh thu năm trước (xuyên biên giới) · 3 tỷ đồng (vi phạm khác) · cá nhân chịu một nửa</w:t>
            </w:r>
          </w:p>
        </w:tc>
      </w:tr>
      <w:tr>
        <w:trPr>
          <w:cantSplit/>
          <w:tblHeader w:val="false"/>
        </w:trPr>
        <w:tc>
          <w:tcPr>
            <w:tcW w:type="dxa" w:w="321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Miễn trừ doanh nghiệp nhỏ</w:t>
            </w:r>
          </w:p>
        </w:tc>
        <w:tc>
          <w:tcPr>
            <w:tcW w:type="dxa" w:w="642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5 năm; không áp dụng khi xử lý dữ liệu nhạy cảm, kinh doanh dịch vụ xử lý dữ liệu hoặc từ 100 nghìn chủ thể</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Mức phạt EU</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GDPR: 20 triệu euro hoặc 4% doanh thu toàn cầu · Đạo luật AI: 35 triệu euro hoặc 7%</w:t>
            </w:r>
          </w:p>
        </w:tc>
      </w:tr>
      <w:tr>
        <w:trPr>
          <w:cantSplit/>
          <w:tblHeader w:val="false"/>
        </w:trPr>
        <w:tc>
          <w:tcPr>
            <w:tcW w:type="dxa" w:w="321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Mốc Đạo luật AI</w:t>
            </w:r>
          </w:p>
        </w:tc>
        <w:tc>
          <w:tcPr>
            <w:tcW w:type="dxa" w:w="642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02/02/2025 · 02/8/2025 · 02/8/2026 · 02/12/2027 · 02/8/2028</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Carlini (GPT-2)</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604/1.800 mẫu (33,5%) · 46 mẫu có tên · 32 mẫu có thông tin liên lạc · 117 triệu đến 1,5 tỷ tham số</w:t>
            </w:r>
          </w:p>
        </w:tc>
      </w:tr>
      <w:tr>
        <w:trPr>
          <w:cantSplit/>
          <w:tblHeader w:val="false"/>
        </w:trPr>
        <w:tc>
          <w:tcPr>
            <w:tcW w:type="dxa" w:w="321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Abadi (DP-SGD, δ = 10⁻⁵)</w:t>
            </w:r>
          </w:p>
        </w:tc>
        <w:tc>
          <w:tcPr>
            <w:tcW w:type="dxa" w:w="642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MNIST: 90% / 95% / 97% ở ε = 0,5 / 2 / 8 · CIFAR-10: 67% / 70% / 73% ở ε = 2 / 4 / 8</w:t>
            </w:r>
          </w:p>
        </w:tc>
      </w:tr>
      <w:tr>
        <w:trPr>
          <w:cantSplit/>
          <w:tblHeader w:val="false"/>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bCs/>
                <w:sz w:val="22"/>
                <w:szCs w:val="22"/>
              </w:rPr>
              <w:t xml:space="preserve">Bourtoule (SISA)</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b w:val="false"/>
                <w:bCs w:val="false"/>
                <w:sz w:val="22"/>
                <w:szCs w:val="22"/>
              </w:rPr>
              <w:t xml:space="preserve">Nhanh hơn học lại 4,63 lần (Purchase), 2,45 lần (SVHN), 1,36 lần (ImageNet)</w:t>
            </w:r>
          </w:p>
        </w:tc>
      </w:tr>
    </w:tbl>
    <w:p>
      <w:pPr>
        <w:pStyle w:val="Heading1"/>
        <w:keepNext/>
        <w:spacing w:after="120" w:before="240"/>
      </w:pPr>
      <w:r>
        <w:rPr>
          <w:rFonts w:ascii="Times New Roman" w:cs="Times New Roman" w:eastAsia="Times New Roman" w:hAnsi="Times New Roman"/>
          <w:b/>
          <w:bCs/>
          <w:color w:val="1E3A5F"/>
          <w:sz w:val="30"/>
          <w:szCs w:val="30"/>
        </w:rPr>
        <w:t xml:space="preserve">5. Câu hỏi dự kiến và gợi ý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Câu hỏi</w:t>
            </w:r>
          </w:p>
        </w:tc>
        <w:tc>
          <w:tcPr>
            <w:tcW w:type="dxa" w:w="5783"/>
            <w:tcBorders>
              <w:top w:val="single" w:color="BFBFBF" w:sz="4"/>
              <w:left w:val="single" w:color="BFBFBF" w:sz="4"/>
              <w:bottom w:val="single" w:color="BFBFBF" w:sz="4"/>
              <w:right w:val="single" w:color="BFBFBF" w:sz="4"/>
            </w:tcBorders>
            <w:shd w:fill="1E3A5F" w:color="auto" w:val="clear"/>
            <w:tcMar>
              <w:top w:type="dxa" w:w="60"/>
              <w:left w:type="dxa" w:w="100"/>
              <w:bottom w:type="dxa" w:w="60"/>
              <w:right w:type="dxa" w:w="100"/>
            </w:tcMar>
          </w:tcPr>
          <w:p>
            <w:pPr>
              <w:spacing w:after="20" w:line="264"/>
            </w:pPr>
            <w:r>
              <w:rPr>
                <w:rFonts w:ascii="Times New Roman" w:cs="Times New Roman" w:eastAsia="Times New Roman" w:hAnsi="Times New Roman"/>
                <w:b/>
                <w:bCs/>
                <w:color w:val="FFFFFF"/>
                <w:sz w:val="22"/>
                <w:szCs w:val="22"/>
              </w:rPr>
              <w:t xml:space="preserve">Gợi ý trả lời (người trả lời)</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Dữ liệu đã công khai trên mạng thì có được lấy để huấn luyện không?</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Theo câu chữ hiện có thì không có căn cứ sẵn: Điều 16 coi công khai là một lần xử lý có điều kiện, năm nhánh Điều 19 không đỡ việc thu web quy mô lớn. Lối đi là đồng ý đúng mục đích, khử nhận dạng, hoặc dữ liệu không còn giúp xác định người. (Khảm)</w:t>
            </w:r>
          </w:p>
        </w:tc>
      </w:tr>
      <w:tr>
        <w:trPr>
          <w:cantSplit/>
          <w:tblHeader w:val="false"/>
        </w:trPr>
        <w:tc>
          <w:tcPr>
            <w:tcW w:type="dxa" w:w="385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Mã hóa toàn bộ dữ liệu huấn luyện có đủ không?</w:t>
            </w:r>
          </w:p>
        </w:tc>
        <w:tc>
          <w:tcPr>
            <w:tcW w:type="dxa" w:w="578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Không. Điều 12 khoản 1 giữ dữ liệu đã mã hóa trong định nghĩa dữ liệu cá nhân; mã hóa không thay cho khử nhận dạng. (Khảm)</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Khi người dùng rút đồng ý thì có phải huấn luyện lại mô hình không?</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Rút đồng ý không kéo ngược xử lý đã xong (Điều 10 khoản 4), nhưng hoạt động mới phải dừng. Yêu cầu xóa là quyền riêng (Điều 14): nếu chưa xóa được trong trọng số thì thông báo lý do và loại bản ghi khỏi lần học sau. (Khảm / Diễm Anh)</w:t>
            </w:r>
          </w:p>
        </w:tc>
      </w:tr>
      <w:tr>
        <w:trPr>
          <w:cantSplit/>
          <w:tblHeader w:val="false"/>
        </w:trPr>
        <w:tc>
          <w:tcPr>
            <w:tcW w:type="dxa" w:w="385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Vì sao EU dễ huấn luyện hơn Việt Nam?</w:t>
            </w:r>
          </w:p>
        </w:tc>
        <w:tc>
          <w:tcPr>
            <w:tcW w:type="dxa" w:w="578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EU có lợi ích chính đáng là căn cứ ngang với đồng ý (Điều 6 GDPR), kèm phép thử ba bước của EDPB; Việt Nam lấy đồng ý theo từng mục đích làm mặc định. (Khiêm)</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Mô hình đã huấn luyện xong có còn là dữ liệu cá nhân?</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Có thể còn: nếu truy vấn lấy lại được thông tin định danh thì mô hình đang "giúp xác định" người theo Điều 2. EDPB yêu cầu cả hai khả năng trích xuất đều không đáng kể và phải có hồ sơ. (Mạnh)</w:t>
            </w:r>
          </w:p>
        </w:tc>
      </w:tr>
      <w:tr>
        <w:trPr>
          <w:cantSplit/>
          <w:tblHeader w:val="false"/>
        </w:trPr>
        <w:tc>
          <w:tcPr>
            <w:tcW w:type="dxa" w:w="3855"/>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ε bằng bao nhiêu thì coi là an toàn về mặt pháp lý?</w:t>
            </w:r>
          </w:p>
        </w:tc>
        <w:tc>
          <w:tcPr>
            <w:tcW w:type="dxa" w:w="5783"/>
            <w:tcBorders>
              <w:top w:val="single" w:color="BFBFBF" w:sz="4"/>
              <w:left w:val="single" w:color="BFBFBF" w:sz="4"/>
              <w:bottom w:val="single" w:color="BFBFBF" w:sz="4"/>
              <w:right w:val="single" w:color="BFBFBF" w:sz="4"/>
            </w:tcBorders>
            <w:shd w:fill="F2F5F9" w:color="auto" w:val="clear"/>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Chưa văn bản nào trong khảo sát quy ε về chuẩn "không đáng kể"; đây là khoảng trống thứ nhất. Hồ sơ nên ghi giá trị ε đã dùng. (Mạnh)</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Dùng API mô hình hoặc GPU ở nước ngoài có vấn đề gì?</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64"/>
            </w:pPr>
            <w:r>
              <w:rPr>
                <w:rFonts w:ascii="Times New Roman" w:cs="Times New Roman" w:eastAsia="Times New Roman" w:hAnsi="Times New Roman"/>
                <w:sz w:val="22"/>
                <w:szCs w:val="22"/>
              </w:rPr>
              <w:t xml:space="preserve">Là chuyển dữ liệu xuyên biên giới theo Điều 20 khoản 1 điểm c: lập hồ sơ trong 60 ngày, phạt tối đa 5% doanh thu năm trước. Giảm phạm vi bằng che định danh trước khi gửi hoặc chạy trên hạ tầng trong nước. (Diễm Anh)</w:t>
            </w:r>
          </w:p>
        </w:tc>
      </w:tr>
    </w:tbl>
    <w:p>
      <w:pPr>
        <w:pStyle w:val="Heading1"/>
        <w:keepNext/>
        <w:spacing w:after="120" w:before="240"/>
      </w:pPr>
      <w:r>
        <w:rPr>
          <w:rFonts w:ascii="Times New Roman" w:cs="Times New Roman" w:eastAsia="Times New Roman" w:hAnsi="Times New Roman"/>
          <w:b/>
          <w:bCs/>
          <w:color w:val="1E3A5F"/>
          <w:sz w:val="30"/>
          <w:szCs w:val="30"/>
        </w:rPr>
        <w:t xml:space="preserve">6. Kiểm tra trước giờ trình bày</w:t>
      </w:r>
    </w:p>
    <w:p>
      <w:pPr>
        <w:pStyle w:val="ListParagraph"/>
        <w:numPr>
          <w:ilvl w:val="0"/>
          <w:numId w:val="2"/>
        </w:numPr>
        <w:spacing w:after="60" w:line="276"/>
        <w:jc w:val="both"/>
      </w:pPr>
      <w:r>
        <w:rPr>
          <w:rFonts w:ascii="Times New Roman" w:cs="Times New Roman" w:eastAsia="Times New Roman" w:hAnsi="Times New Roman"/>
          <w:sz w:val="26"/>
          <w:szCs w:val="26"/>
        </w:rPr>
        <w:t xml:space="preserve">Mỗi người tập phần mình đúng thời lượng ít nhất hai lần, có người bấm giờ.</w:t>
      </w:r>
    </w:p>
    <w:p>
      <w:pPr>
        <w:pStyle w:val="ListParagraph"/>
        <w:numPr>
          <w:ilvl w:val="0"/>
          <w:numId w:val="2"/>
        </w:numPr>
        <w:spacing w:after="60" w:line="276"/>
        <w:jc w:val="both"/>
      </w:pPr>
      <w:r>
        <w:rPr>
          <w:rFonts w:ascii="Times New Roman" w:cs="Times New Roman" w:eastAsia="Times New Roman" w:hAnsi="Times New Roman"/>
          <w:sz w:val="26"/>
          <w:szCs w:val="26"/>
        </w:rPr>
        <w:t xml:space="preserve">Thống nhất câu chuyển giữa các phần (mục 3) để không mất thời gian giới thiệu lại.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Chuẩn bị sẵn các bảng 2.1, 3.4, 6.1, 5.1, 6.3, 7.1 trên slide; mỗi slide một ý chính.</w:t>
      </w:r>
    </w:p>
    <w:p>
      <w:pPr>
        <w:pStyle w:val="ListParagraph"/>
        <w:numPr>
          <w:ilvl w:val="0"/>
          <w:numId w:val="2"/>
        </w:numPr>
        <w:spacing w:after="60" w:line="276"/>
        <w:jc w:val="both"/>
      </w:pPr>
      <w:r>
        <w:rPr>
          <w:rFonts w:ascii="Times New Roman" w:cs="Times New Roman" w:eastAsia="Times New Roman" w:hAnsi="Times New Roman"/>
          <w:sz w:val="26"/>
          <w:szCs w:val="26"/>
        </w:rPr>
        <w:t xml:space="preserve">Ghi nhớ bảng con số ở mục 4; khi trích số liệu nước ngoài, nói rõ là nguồn thứ cấp như báo cáo đã ghi.</w:t>
      </w:r>
    </w:p>
    <w:p>
      <w:pPr>
        <w:pStyle w:val="ListParagraph"/>
        <w:numPr>
          <w:ilvl w:val="0"/>
          <w:numId w:val="2"/>
        </w:numPr>
        <w:spacing w:after="60" w:line="276"/>
        <w:jc w:val="both"/>
      </w:pPr>
      <w:r>
        <w:rPr>
          <w:rFonts w:ascii="Times New Roman" w:cs="Times New Roman" w:eastAsia="Times New Roman" w:hAnsi="Times New Roman"/>
          <w:sz w:val="26"/>
          <w:szCs w:val="26"/>
        </w:rPr>
        <w:t xml:space="preserve">Phân người trả lời câu hỏi theo phần phụ trách; câu hỏi chung do Diễm Anh điều phối.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20"/>
        <w:szCs w:val="20"/>
      </w:rPr>
      <w:t xml:space="preserve">Handout thuyết trình · Nhóm 13 · Trang </w:t>
    </w:r>
    <w:r>
      <w:rPr>
        <w:rFonts w:ascii="Times New Roman" w:cs="Times New Roman" w:eastAsia="Times New Roman" w:hAnsi="Times New Roman"/>
        <w:i/>
        <w:i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E3A5F"/>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2026-10-06T15:58:01.974Z</dcterms:created>
  <dcterms:modified xsi:type="dcterms:W3CDTF">2026-10-06T15:58:01.984Z</dcterms:modified>
</cp:coreProperties>
</file>

<file path=docProps/custom.xml><?xml version="1.0" encoding="utf-8"?>
<Properties xmlns="http://schemas.openxmlformats.org/officeDocument/2006/custom-properties" xmlns:vt="http://schemas.openxmlformats.org/officeDocument/2006/docPropsVTypes"/>
</file>