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rFonts w:ascii="Times New Roman" w:cs="Times New Roman" w:eastAsia="Times New Roman" w:hAnsi="Times New Roman"/>
          <w:b/>
          <w:bCs/>
          <w:color w:val="1F3864"/>
          <w:sz w:val="36"/>
          <w:szCs w:val="36"/>
        </w:rPr>
        <w:t xml:space="preserve">TÀI LIỆU ĐẶC TẢ YÊU CẦU PHẦN MỀM</w:t>
      </w:r>
    </w:p>
    <w:p>
      <w:pPr>
        <w:spacing w:after="300"/>
        <w:jc w:val="center"/>
      </w:pPr>
      <w:r>
        <w:rPr>
          <w:rFonts w:ascii="Times New Roman" w:cs="Times New Roman" w:eastAsia="Times New Roman" w:hAnsi="Times New Roman"/>
          <w:b/>
          <w:bCs/>
          <w:sz w:val="30"/>
          <w:szCs w:val="30"/>
        </w:rPr>
        <w:t xml:space="preserve">Tính năng hoàn tiền của ví điện tử PayKX</w:t>
      </w:r>
    </w:p>
    <w:p>
      <w:pPr>
        <w:spacing w:after="60"/>
        <w:jc w:val="center"/>
      </w:pPr>
      <w:r>
        <w:rPr>
          <w:rFonts w:ascii="Times New Roman" w:cs="Times New Roman" w:eastAsia="Times New Roman" w:hAnsi="Times New Roman"/>
          <w:sz w:val="24"/>
          <w:szCs w:val="24"/>
        </w:rPr>
        <w:t xml:space="preserve">Phiên bản 1.0, ngày lập 27/10/2026</w:t>
      </w:r>
    </w:p>
    <w:p>
      <w:pPr>
        <w:spacing w:after="60"/>
        <w:jc w:val="center"/>
      </w:pPr>
      <w:r>
        <w:rPr>
          <w:rFonts w:ascii="Times New Roman" w:cs="Times New Roman" w:eastAsia="Times New Roman" w:hAnsi="Times New Roman"/>
          <w:sz w:val="24"/>
          <w:szCs w:val="24"/>
        </w:rPr>
        <w:t xml:space="preserve">Người lập: Trưởng dự án PayKX</w:t>
      </w:r>
    </w:p>
    <w:p>
      <w:pPr>
        <w:spacing w:after="500"/>
        <w:jc w:val="center"/>
      </w:pPr>
      <w:r>
        <w:rPr>
          <w:rFonts w:ascii="Times New Roman" w:cs="Times New Roman" w:eastAsia="Times New Roman" w:hAnsi="Times New Roman"/>
          <w:sz w:val="24"/>
          <w:szCs w:val="24"/>
        </w:rPr>
        <w:t xml:space="preserve">Trạng thái: bản nháp chờ duyệt</w:t>
      </w:r>
    </w:p>
    <w:p>
      <w:pPr>
        <w:spacing w:after="160"/>
      </w:pPr>
      <w:r>
        <w:rPr>
          <w:rFonts w:ascii="Times New Roman" w:cs="Times New Roman" w:eastAsia="Times New Roman" w:hAnsi="Times New Roman"/>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10" w:line="340"/>
        <w:jc w:val="both"/>
      </w:pPr>
      <w:r>
        <w:rPr>
          <w:rFonts w:ascii="Times New Roman" w:cs="Times New Roman" w:eastAsia="Times New Roman" w:hAnsi="Times New Roman"/>
          <w:sz w:val="24"/>
          <w:szCs w:val="24"/>
        </w:rPr>
        <w:t xml:space="preserve">Tài liệu này mô tả yêu cầu cho tính năng hoàn tiền trên ví điện tử PayKX. Người đọc gồm nhóm phát triển, nhóm kiểm thử, bộ phận đối soát và đại diện ngân hàng đối tác. Mọi bên dùng tài liệu để thống nhất cách hệ thống nhận yêu cầu, kiểm tra điều kiện, trả tiền và ghi nhận phí cho từng giao dịch hoàn.</w:t>
      </w:r>
    </w:p>
    <w:p>
      <w:pPr>
        <w:pStyle w:val="Heading2"/>
      </w:pPr>
      <w:r>
        <w:t xml:space="preserve">1.2 Phạm vi</w:t>
      </w:r>
    </w:p>
    <w:p>
      <w:pPr>
        <w:spacing w:after="110" w:line="340"/>
        <w:jc w:val="both"/>
      </w:pPr>
      <w:r>
        <w:rPr>
          <w:rFonts w:ascii="Times New Roman" w:cs="Times New Roman" w:eastAsia="Times New Roman" w:hAnsi="Times New Roman"/>
          <w:sz w:val="24"/>
          <w:szCs w:val="24"/>
        </w:rPr>
        <w:t xml:space="preserve">Tính năng áp dụng cho giao dịch thanh toán và nạp điện thoại phát sinh trên ứng dụng PayKX trong 7 ngày gần nhất. Giao dịch chuyển tiền giữa hai người dùng nằm ngoài phạm vi, vì tiền đã vào ví người nhận và cần quy trình giải quyết tranh chấp riêng. Phiên bản 1.0 chỉ hoàn về nguồn tiền gốc, chưa hỗ trợ hoàn sang tài khoản khác.</w:t>
      </w:r>
    </w:p>
    <w:p>
      <w:pPr>
        <w:pStyle w:val="Heading2"/>
      </w:pPr>
      <w:r>
        <w:t xml:space="preserve">1.3 Thuật ngữ</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Thuật ngữ</w:t>
            </w:r>
          </w:p>
        </w:tc>
        <w:tc>
          <w:tcPr>
            <w:tcW w:type="dxa" w:w="6671"/>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Giải thích</w:t>
            </w:r>
          </w:p>
        </w:tc>
      </w:tr>
      <w:tr>
        <w:trPr>
          <w:tblHeader w:val="false"/>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Hoàn tiền</w:t>
            </w:r>
          </w:p>
        </w:tc>
        <w:tc>
          <w:tcPr>
            <w:tcW w:type="dxa" w:w="66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Trả lại toàn bộ hoặc một phần số tiền của giao dịch đã thành công.</w:t>
            </w:r>
          </w:p>
        </w:tc>
      </w:tr>
      <w:tr>
        <w:trPr>
          <w:tblHeader w:val="false"/>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Nguồn tiền gốc</w:t>
            </w:r>
          </w:p>
        </w:tc>
        <w:tc>
          <w:tcPr>
            <w:tcW w:type="dxa" w:w="66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Ví PayKX hoặc tài khoản ngân hàng đã bị trừ tiền khi giao dịch xảy ra.</w:t>
            </w:r>
          </w:p>
        </w:tc>
      </w:tr>
      <w:tr>
        <w:trPr>
          <w:tblHeader w:val="false"/>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Mã giao dịch</w:t>
            </w:r>
          </w:p>
        </w:tc>
        <w:tc>
          <w:tcPr>
            <w:tcW w:type="dxa" w:w="66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Chuỗi định danh duy nhất của giao dịch, gồm chữ GD và 4 chữ số, ví dụ GD0001.</w:t>
            </w:r>
          </w:p>
        </w:tc>
      </w:tr>
      <w:tr>
        <w:trPr>
          <w:tblHeader w:val="false"/>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Phí đối tác</w:t>
            </w:r>
          </w:p>
        </w:tc>
        <w:tc>
          <w:tcPr>
            <w:tcW w:type="dxa" w:w="66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Khoản phí PayKX trả cho ngân hàng với mỗi giao dịch đi qua ngân hàng đó.</w:t>
            </w:r>
          </w:p>
        </w:tc>
      </w:tr>
      <w:tr>
        <w:trPr>
          <w:tblHeader w:val="false"/>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Đối soát</w:t>
            </w:r>
          </w:p>
        </w:tc>
        <w:tc>
          <w:tcPr>
            <w:tcW w:type="dxa" w:w="66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Việc so khớp dữ liệu giao dịch của PayKX với bảng kê của ngân hàng.</w:t>
            </w:r>
          </w:p>
        </w:tc>
      </w:tr>
    </w:tbl>
    <w:p>
      <w:pPr>
        <w:spacing w:after="160" w:before="60"/>
      </w:pPr>
      <w:r>
        <w:rPr>
          <w:rFonts w:ascii="Times New Roman" w:cs="Times New Roman" w:eastAsia="Times New Roman" w:hAnsi="Times New Roman"/>
          <w:i/>
          <w:iCs/>
          <w:sz w:val="22"/>
          <w:szCs w:val="22"/>
        </w:rPr>
        <w:t xml:space="preserve">Bảng 1. Các thuật ngữ dùng trong tài liệu</w:t>
      </w:r>
    </w:p>
    <w:p>
      <w:pPr>
        <w:pStyle w:val="Heading1"/>
      </w:pPr>
      <w:r>
        <w:t xml:space="preserve">2. Mô tả tổng quan</w:t>
      </w:r>
    </w:p>
    <w:p>
      <w:pPr>
        <w:pStyle w:val="Heading2"/>
      </w:pPr>
      <w:r>
        <w:t xml:space="preserve">2.1 Nhóm người dùng</w:t>
      </w:r>
    </w:p>
    <w:p>
      <w:pPr>
        <w:spacing w:after="110" w:line="340"/>
        <w:jc w:val="both"/>
      </w:pPr>
      <w:r>
        <w:rPr>
          <w:rFonts w:ascii="Times New Roman" w:cs="Times New Roman" w:eastAsia="Times New Roman" w:hAnsi="Times New Roman"/>
          <w:sz w:val="24"/>
          <w:szCs w:val="24"/>
        </w:rPr>
        <w:t xml:space="preserve">Sinh viên là người gửi yêu cầu hoàn tiền. Nhân viên chăm sóc khách hàng duyệt các yêu cầu có giá trị lớn. Kế toán đối soát theo dõi lệnh hoàn và phí phát sinh. Ngân hàng đối tác nhận lệnh hoàn và gửi bảng kê mỗi ngày.</w:t>
      </w:r>
    </w:p>
    <w:p>
      <w:pPr>
        <w:pStyle w:val="Heading2"/>
      </w:pPr>
      <w:r>
        <w:t xml:space="preserve">2.2 Môi trường vận hành</w:t>
      </w:r>
    </w:p>
    <w:p>
      <w:pPr>
        <w:spacing w:after="110" w:line="340"/>
        <w:jc w:val="both"/>
      </w:pPr>
      <w:r>
        <w:rPr>
          <w:rFonts w:ascii="Times New Roman" w:cs="Times New Roman" w:eastAsia="Times New Roman" w:hAnsi="Times New Roman"/>
          <w:sz w:val="24"/>
          <w:szCs w:val="24"/>
        </w:rPr>
        <w:t xml:space="preserve">Ứng dụng chạy trên Android 9 và iOS 14 trở lên. Trang quản trị chạy trên bản mới của Chrome, Edge và Safari. Hệ thống gọi ngân hàng đối tác qua API có chữ ký số, còn bảng kê đối soát được ngân hàng gửi dưới dạng tệp CSV mỗi ngày.</w:t>
      </w:r>
    </w:p>
    <w:p>
      <w:pPr>
        <w:pStyle w:val="Heading2"/>
      </w:pPr>
      <w:r>
        <w:t xml:space="preserve">2.3 Giả định và phụ thuộc</w:t>
      </w:r>
    </w:p>
    <w:p>
      <w:pPr>
        <w:spacing w:after="110" w:line="340"/>
        <w:jc w:val="both"/>
      </w:pPr>
      <w:r>
        <w:rPr>
          <w:rFonts w:ascii="Times New Roman" w:cs="Times New Roman" w:eastAsia="Times New Roman" w:hAnsi="Times New Roman"/>
          <w:sz w:val="24"/>
          <w:szCs w:val="24"/>
        </w:rPr>
        <w:t xml:space="preserve">Ngân hàng đối tác nhận lệnh hoàn trong vòng 24 giờ. Người dùng đã xác thực eKYC mức cơ bản. Bảng kê của ngân hàng có thể chứa khoảng trắng thừa ở mã giao dịch, nên bước đối soát phải làm sạch dữ liệu trước khi tra cứu.</w:t>
      </w:r>
    </w:p>
    <w:p>
      <w:pPr>
        <w:pStyle w:val="Heading1"/>
        <w:pageBreakBefore/>
      </w:pPr>
      <w:r>
        <w:t xml:space="preserve">3. Yêu cầu chức năng</w:t>
      </w:r>
    </w:p>
    <w:p>
      <w:pPr>
        <w:spacing w:after="110" w:line="340"/>
        <w:jc w:val="both"/>
      </w:pPr>
      <w:r>
        <w:rPr>
          <w:rFonts w:ascii="Times New Roman" w:cs="Times New Roman" w:eastAsia="Times New Roman" w:hAnsi="Times New Roman"/>
          <w:sz w:val="24"/>
          <w:szCs w:val="24"/>
        </w:rPr>
        <w:t xml:space="preserve">Mỗi yêu cầu có mã FR, mức ưu tiên và người thực hiện. Bảng 2 liệt kê 7 yêu cầu của tính năng hoàn tiền.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4271"/>
        <w:gridCol w:w="1500"/>
        <w:gridCol w:w="2200"/>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Mã</w:t>
            </w:r>
          </w:p>
        </w:tc>
        <w:tc>
          <w:tcPr>
            <w:tcW w:type="dxa" w:w="4271"/>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Tên yêu cầu</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Ưu tiên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Người thực hiện</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FR-01</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Gửi yêu cầu hoàn tiền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Cao</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Sinh viên</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FR-02</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Kiểm tra điều kiện hoàn tiền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Cao</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Hệ thống</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FR-03</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Duyệt hoàn tiền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Cao</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Nhân viên CSKH</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FR-04</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Hoàn tiền về nguồn tiền gốc</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Cao</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Hệ thống</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FR-05</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Thông báo kết quả</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Trung bình</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Hệ thống</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FR-06</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Đối soát lệnh hoàn với ngân hàng</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Cao</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Kế toán đối soát</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FR-07</w:t>
            </w:r>
          </w:p>
        </w:tc>
        <w:tc>
          <w:tcPr>
            <w:tcW w:type="dxa" w:w="4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Lịch sử và báo cáo hoàn tiền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Thấp</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Kế toán đối soát</w:t>
            </w:r>
          </w:p>
        </w:tc>
      </w:tr>
    </w:tbl>
    <w:p>
      <w:pPr>
        <w:spacing w:after="160" w:before="60"/>
      </w:pPr>
      <w:r>
        <w:rPr>
          <w:rFonts w:ascii="Times New Roman" w:cs="Times New Roman" w:eastAsia="Times New Roman" w:hAnsi="Times New Roman"/>
          <w:i/>
          <w:iCs/>
          <w:sz w:val="22"/>
          <w:szCs w:val="22"/>
        </w:rPr>
        <w:t xml:space="preserve">Bảng 2. Danh sách yêu cầu chức năng</w:t>
      </w:r>
    </w:p>
    <w:p>
      <w:pPr>
        <w:pStyle w:val="Heading2"/>
      </w:pPr>
      <w:r>
        <w:t xml:space="preserve">3.1 FR-01 Gửi yêu cầu hoàn tiền</w:t>
      </w:r>
    </w:p>
    <w:p>
      <w:pPr>
        <w:spacing w:after="110" w:line="340"/>
        <w:jc w:val="both"/>
      </w:pPr>
      <w:r>
        <w:rPr>
          <w:rFonts w:ascii="Times New Roman" w:cs="Times New Roman" w:eastAsia="Times New Roman" w:hAnsi="Times New Roman"/>
          <w:sz w:val="24"/>
          <w:szCs w:val="24"/>
        </w:rPr>
        <w:t xml:space="preserve">Sinh viên chọn giao dịch trong lịch sử, nhập lý do (tối đa 200 ký tự) và số tiền cần hoàn. Số tiền hoàn không vượt quá số tiền gốc trừ đi số đã hoàn trước đó. Mỗi giao dịch nhận tối đa 2 yêu cầu hoàn một phần.</w:t>
      </w:r>
    </w:p>
    <w:p>
      <w:pPr>
        <w:spacing w:after="110" w:line="340"/>
        <w:jc w:val="both"/>
      </w:pPr>
      <w:r>
        <w:rPr>
          <w:rFonts w:ascii="Times New Roman" w:cs="Times New Roman" w:eastAsia="Times New Roman" w:hAnsi="Times New Roman"/>
          <w:sz w:val="24"/>
          <w:szCs w:val="24"/>
        </w:rPr>
        <w:t xml:space="preserve">Hệ thống kiểm tra ngay trên màn hình. Ô lý do để trống hoặc số tiền vượt hạn mức thì nút Gửi bị khóa và thông báo lỗi hiện cạnh ô đó. Yêu cầu hợp lệ nhận mã dạng HT cộng 6 chữ số.</w:t>
      </w:r>
    </w:p>
    <w:p>
      <w:pPr>
        <w:pStyle w:val="Heading2"/>
      </w:pPr>
      <w:r>
        <w:t xml:space="preserve">3.2 FR-02 Kiểm tra điều kiện hoàn tiền</w:t>
      </w:r>
    </w:p>
    <w:p>
      <w:pPr>
        <w:spacing w:after="110" w:line="340"/>
        <w:jc w:val="both"/>
      </w:pPr>
      <w:r>
        <w:rPr>
          <w:rFonts w:ascii="Times New Roman" w:cs="Times New Roman" w:eastAsia="Times New Roman" w:hAnsi="Times New Roman"/>
          <w:sz w:val="24"/>
          <w:szCs w:val="24"/>
        </w:rPr>
        <w:t xml:space="preserve">Hệ thống từ chối yêu cầu nếu giao dịch đã quá 7 ngày, đã hoàn đủ, thuộc nhóm chuyển tiền giữa người dùng hoặc đang chờ đối soát. Lý do từ chối hiển thị bằng tiếng Việt, tối đa 2 câu, kèm mã lý do để nhân viên tra cứu.</w:t>
      </w:r>
    </w:p>
    <w:p>
      <w:pPr>
        <w:spacing w:after="110" w:line="340"/>
        <w:jc w:val="both"/>
      </w:pPr>
      <w:r>
        <w:rPr>
          <w:rFonts w:ascii="Times New Roman" w:cs="Times New Roman" w:eastAsia="Times New Roman" w:hAnsi="Times New Roman"/>
          <w:sz w:val="24"/>
          <w:szCs w:val="24"/>
        </w:rPr>
        <w:t xml:space="preserve">Mỗi lần từ chối được ghi vào nhật ký cùng mã lý do. HT01 là quá hạn 7 ngày, HT02 là đã hoàn đủ, HT03 là giao dịch chuyển tiền, HT04 là đang chờ đối soát. Hệ thống kiểm tra các điều kiện theo đúng thứ tự này.</w:t>
      </w:r>
    </w:p>
    <w:p>
      <w:pPr>
        <w:pStyle w:val="Heading2"/>
      </w:pPr>
      <w:r>
        <w:t xml:space="preserve">3.3 FR-03 Duyệt hoàn tiền</w:t>
      </w:r>
    </w:p>
    <w:p>
      <w:pPr>
        <w:spacing w:after="110" w:line="340"/>
        <w:jc w:val="both"/>
      </w:pPr>
      <w:r>
        <w:rPr>
          <w:rFonts w:ascii="Times New Roman" w:cs="Times New Roman" w:eastAsia="Times New Roman" w:hAnsi="Times New Roman"/>
          <w:sz w:val="24"/>
          <w:szCs w:val="24"/>
        </w:rPr>
        <w:t xml:space="preserve">Yêu cầu dưới 500.000 đồng được duyệt tự động. Yêu cầu từ 500.000 đồng trở lên chuyển cho nhân viên chăm sóc khách hàng, người này duyệt hoặc từ chối trong 8 giờ làm việc. Quá hạn mà chưa xử lý, yêu cầu tự chuyển lên trưởng nhóm.</w:t>
      </w:r>
    </w:p>
    <w:p>
      <w:pPr>
        <w:spacing w:after="110" w:line="340"/>
        <w:jc w:val="both"/>
      </w:pPr>
      <w:r>
        <w:rPr>
          <w:rFonts w:ascii="Times New Roman" w:cs="Times New Roman" w:eastAsia="Times New Roman" w:hAnsi="Times New Roman"/>
          <w:sz w:val="24"/>
          <w:szCs w:val="24"/>
        </w:rPr>
        <w:t xml:space="preserve">Khi duyệt, nhân viên xem được lịch sử giao dịch của sinh viên trong 30 ngày gần nhất. Mọi quyết định duyệt hoặc từ chối đều phải có ghi chú từ 10 ký tự trở lên.</w:t>
      </w:r>
    </w:p>
    <w:p>
      <w:pPr>
        <w:pStyle w:val="Heading2"/>
      </w:pPr>
      <w:r>
        <w:t xml:space="preserve">3.4 FR-04 Hoàn tiền về nguồn tiền gốc</w:t>
      </w:r>
    </w:p>
    <w:p>
      <w:pPr>
        <w:spacing w:after="110" w:line="340"/>
        <w:jc w:val="both"/>
      </w:pPr>
      <w:r>
        <w:rPr>
          <w:rFonts w:ascii="Times New Roman" w:cs="Times New Roman" w:eastAsia="Times New Roman" w:hAnsi="Times New Roman"/>
          <w:sz w:val="24"/>
          <w:szCs w:val="24"/>
        </w:rPr>
        <w:t xml:space="preserve">Sau khi duyệt, hệ thống tạo lệnh hoàn và gửi tới ngân hàng đối tác hoặc ví PayKX. Tiền về ví trong 5 phút và về tài khoản ngân hàng tối đa 24 giờ. Ngân hàng không trả lại phí đối tác của giao dịch gốc, nên PayKX ghi khoản này vào chi phí của tháng.</w:t>
      </w:r>
    </w:p>
    <w:p>
      <w:pPr>
        <w:spacing w:after="110" w:line="340"/>
        <w:jc w:val="both"/>
      </w:pPr>
      <w:r>
        <w:rPr>
          <w:rFonts w:ascii="Times New Roman" w:cs="Times New Roman" w:eastAsia="Times New Roman" w:hAnsi="Times New Roman"/>
          <w:sz w:val="24"/>
          <w:szCs w:val="24"/>
        </w:rPr>
        <w:t xml:space="preserve">Lệnh hoàn mang mã giao dịch gốc để ngân hàng nhận diện. Lệnh gửi lỗi được thử lại tối đa 3 lần, cách nhau 10 phút. Sau lần thử thứ 3, hệ thống báo kế toán đối soát xử lý thủ công.</w:t>
      </w:r>
    </w:p>
    <w:p>
      <w:pPr>
        <w:pStyle w:val="Heading2"/>
      </w:pPr>
      <w:r>
        <w:t xml:space="preserve">3.5 FR-05 Thông báo kết quả</w:t>
      </w:r>
    </w:p>
    <w:p>
      <w:pPr>
        <w:spacing w:after="110" w:line="340"/>
        <w:jc w:val="both"/>
      </w:pPr>
      <w:r>
        <w:rPr>
          <w:rFonts w:ascii="Times New Roman" w:cs="Times New Roman" w:eastAsia="Times New Roman" w:hAnsi="Times New Roman"/>
          <w:sz w:val="24"/>
          <w:szCs w:val="24"/>
        </w:rPr>
        <w:t xml:space="preserve">Người dùng nhận thông báo đẩy và email khi yêu cầu được duyệt, bị từ chối hoặc hoàn tất. Nội dung ghi rõ mã giao dịch, số tiền và thời điểm dự kiến nhận tiền.</w:t>
      </w:r>
    </w:p>
    <w:p>
      <w:pPr>
        <w:spacing w:after="110" w:line="340"/>
        <w:jc w:val="both"/>
      </w:pPr>
      <w:r>
        <w:rPr>
          <w:rFonts w:ascii="Times New Roman" w:cs="Times New Roman" w:eastAsia="Times New Roman" w:hAnsi="Times New Roman"/>
          <w:sz w:val="24"/>
          <w:szCs w:val="24"/>
        </w:rPr>
        <w:t xml:space="preserve">Thông báo được gửi trong 1 phút sau khi trạng thái đổi. Nếu người dùng tắt thông báo đẩy, hệ thống vẫn gửi email và lưu thông báo trong mục Hộp thư của ứng dụng.</w:t>
      </w:r>
    </w:p>
    <w:p>
      <w:pPr>
        <w:pStyle w:val="Heading2"/>
      </w:pPr>
      <w:r>
        <w:t xml:space="preserve">3.6 FR-06 Đối soát lệnh hoàn với ngân hàng</w:t>
      </w:r>
    </w:p>
    <w:p>
      <w:pPr>
        <w:spacing w:after="110" w:line="340"/>
        <w:jc w:val="both"/>
      </w:pPr>
      <w:r>
        <w:rPr>
          <w:rFonts w:ascii="Times New Roman" w:cs="Times New Roman" w:eastAsia="Times New Roman" w:hAnsi="Times New Roman"/>
          <w:sz w:val="24"/>
          <w:szCs w:val="24"/>
        </w:rPr>
        <w:t xml:space="preserve">Mỗi ngày lúc 02:00, hệ thống nhập bảng kê của ngân hàng, dùng TRIM làm sạch mã giao dịch rồi tra tên người dùng theo kiểu khớp chính xác (tương đương VLOOKUP với tham số FALSE). Giao dịch không tìm thấy mã được gắn trạng thái Lệch và đưa vào hàng đợi của kế toán đối soát.</w:t>
      </w:r>
    </w:p>
    <w:p>
      <w:pPr>
        <w:spacing w:after="110" w:line="340"/>
        <w:jc w:val="both"/>
      </w:pPr>
      <w:r>
        <w:rPr>
          <w:rFonts w:ascii="Times New Roman" w:cs="Times New Roman" w:eastAsia="Times New Roman" w:hAnsi="Times New Roman"/>
          <w:sz w:val="24"/>
          <w:szCs w:val="24"/>
        </w:rPr>
        <w:t xml:space="preserve">Bảng kê gồm các trường MaGD, NgayGD, LoaiGD, SoTien, PhiDoiTac và NganHang. Giao dịch lệch hiển thị cùng mã gốc và lý do. Kế toán đánh dấu đã xử lý sau khi ngân hàng xác nhận.</w:t>
      </w:r>
    </w:p>
    <w:p>
      <w:pPr>
        <w:pStyle w:val="Heading2"/>
      </w:pPr>
      <w:r>
        <w:t xml:space="preserve">3.7 FR-07 Lịch sử và báo cáo hoàn tiền</w:t>
      </w:r>
    </w:p>
    <w:p>
      <w:pPr>
        <w:spacing w:after="110" w:line="340"/>
        <w:jc w:val="both"/>
      </w:pPr>
      <w:r>
        <w:rPr>
          <w:rFonts w:ascii="Times New Roman" w:cs="Times New Roman" w:eastAsia="Times New Roman" w:hAnsi="Times New Roman"/>
          <w:sz w:val="24"/>
          <w:szCs w:val="24"/>
        </w:rPr>
        <w:t xml:space="preserve">Kế toán lọc lịch sử theo ngày, ngân hàng và trạng thái, rồi xuất ra tệp Excel. Báo cáo tháng gồm số lệnh hoàn, tổng tiền hoàn, phí đối tác phát sinh và ảnh hưởng tới lãi lỗ.</w:t>
      </w:r>
    </w:p>
    <w:p>
      <w:pPr>
        <w:spacing w:after="110" w:line="340"/>
        <w:jc w:val="both"/>
      </w:pPr>
      <w:r>
        <w:rPr>
          <w:rFonts w:ascii="Times New Roman" w:cs="Times New Roman" w:eastAsia="Times New Roman" w:hAnsi="Times New Roman"/>
          <w:sz w:val="24"/>
          <w:szCs w:val="24"/>
        </w:rPr>
        <w:t xml:space="preserve">Tệp xuất ra giữ định dạng bảng chuẩn, tiêu đề ở hàng 1 và mỗi hàng là một lệnh hoàn. Báo cáo tháng được tạo tự động vào ngày 1 của tháng sau.</w:t>
      </w:r>
    </w:p>
    <w:p>
      <w:pPr>
        <w:pStyle w:val="Heading1"/>
        <w:pageBreakBefore/>
      </w:pPr>
      <w:r>
        <w:t xml:space="preserve">4. Yêu cầu phi chức năng</w:t>
      </w:r>
    </w:p>
    <w:p>
      <w:pPr>
        <w:pStyle w:val="Heading2"/>
      </w:pPr>
      <w:r>
        <w:t xml:space="preserve">4.1 Hiệu năng</w:t>
      </w:r>
    </w:p>
    <w:p>
      <w:pPr>
        <w:spacing w:after="110" w:line="340"/>
        <w:jc w:val="both"/>
      </w:pPr>
      <w:r>
        <w:rPr>
          <w:rFonts w:ascii="Times New Roman" w:cs="Times New Roman" w:eastAsia="Times New Roman" w:hAnsi="Times New Roman"/>
          <w:sz w:val="24"/>
          <w:szCs w:val="24"/>
        </w:rPr>
        <w:t xml:space="preserve">Màn hình lịch sử giao dịch tải xong trong dưới 2 giây với 10.000 giao dịch. Hệ thống xử lý 50 lệnh hoàn mỗi giây trong giờ cao điểm.</w:t>
      </w:r>
    </w:p>
    <w:p>
      <w:pPr>
        <w:pStyle w:val="Heading2"/>
      </w:pPr>
      <w:r>
        <w:t xml:space="preserve">4.2 Bảo mật</w:t>
      </w:r>
    </w:p>
    <w:p>
      <w:pPr>
        <w:spacing w:after="110" w:line="340"/>
        <w:jc w:val="both"/>
      </w:pPr>
      <w:r>
        <w:rPr>
          <w:rFonts w:ascii="Times New Roman" w:cs="Times New Roman" w:eastAsia="Times New Roman" w:hAnsi="Times New Roman"/>
          <w:sz w:val="24"/>
          <w:szCs w:val="24"/>
        </w:rPr>
        <w:t xml:space="preserve">Mọi lệnh hoàn đi qua kênh TLS 1.2 trở lên và mang chữ ký số. Người duyệt lệnh từ 500.000 đồng phải xác thực bằng OTP hoặc sinh trắc học. Nhật ký thao tác lưu 5 năm và không cho sửa.</w:t>
      </w:r>
    </w:p>
    <w:p>
      <w:pPr>
        <w:pStyle w:val="Heading2"/>
      </w:pPr>
      <w:r>
        <w:t xml:space="preserve">4.3 Tính sẵn sàng</w:t>
      </w:r>
    </w:p>
    <w:p>
      <w:pPr>
        <w:spacing w:after="110" w:line="340"/>
        <w:jc w:val="both"/>
      </w:pPr>
      <w:r>
        <w:rPr>
          <w:rFonts w:ascii="Times New Roman" w:cs="Times New Roman" w:eastAsia="Times New Roman" w:hAnsi="Times New Roman"/>
          <w:sz w:val="24"/>
          <w:szCs w:val="24"/>
        </w:rPr>
        <w:t xml:space="preserve">Tính năng hoạt động 99,5% thời gian mỗi tháng. Bảo trì được báo trước 24 giờ và đặt trong khung 01:00–04:00.</w:t>
      </w:r>
    </w:p>
    <w:p>
      <w:pPr>
        <w:pStyle w:val="Heading1"/>
      </w:pPr>
      <w:r>
        <w:t xml:space="preserve">5. Ràng buộc và tiêu chí nghiệm thu</w:t>
      </w:r>
    </w:p>
    <w:p>
      <w:pPr>
        <w:pStyle w:val="Heading2"/>
      </w:pPr>
      <w:r>
        <w:t xml:space="preserve">5.1 Ràng buộc dữ liệu và báo cáo</w:t>
      </w:r>
    </w:p>
    <w:p>
      <w:pPr>
        <w:spacing w:after="110" w:line="340"/>
        <w:jc w:val="both"/>
      </w:pPr>
      <w:r>
        <w:rPr>
          <w:rFonts w:ascii="Times New Roman" w:cs="Times New Roman" w:eastAsia="Times New Roman" w:hAnsi="Times New Roman"/>
          <w:sz w:val="24"/>
          <w:szCs w:val="24"/>
        </w:rPr>
        <w:t xml:space="preserve">Dữ liệu đối soát lưu theo dạng bảng chuẩn. Mỗi hàng là một bản ghi, mỗi cột là một trường, không gộp ô và không chừa hàng trống giữa các bản ghi. Báo cáo lỗ lãi trình bày bằng biểu đồ thay cho bảng số liệu thô, chữ trên slide không nhỏ hơn 30pt.</w:t>
      </w:r>
    </w:p>
    <w:p>
      <w:pPr>
        <w:pStyle w:val="Heading2"/>
      </w:pPr>
      <w:r>
        <w:t xml:space="preserve">5.2 Tiêu chí nghiệm thu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5271"/>
        <w:gridCol w:w="2700"/>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Mã</w:t>
            </w:r>
          </w:p>
        </w:tc>
        <w:tc>
          <w:tcPr>
            <w:tcW w:type="dxa" w:w="5271"/>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Tiêu chí</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100"/>
              <w:bottom w:type="dxa" w:w="50"/>
              <w:right w:type="dxa" w:w="100"/>
            </w:tcMar>
          </w:tcPr>
          <w:p>
            <w:r>
              <w:rPr>
                <w:rFonts w:ascii="Times New Roman" w:cs="Times New Roman" w:eastAsia="Times New Roman" w:hAnsi="Times New Roman"/>
                <w:b/>
                <w:bCs/>
                <w:sz w:val="22"/>
                <w:szCs w:val="22"/>
              </w:rPr>
              <w:t xml:space="preserve">Cách kiểm tra</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AC-01</w:t>
            </w:r>
          </w:p>
        </w:tc>
        <w:tc>
          <w:tcPr>
            <w:tcW w:type="dxa" w:w="5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Mọi ca kiểm thử mức Cao đều đạt</w:t>
            </w:r>
          </w:p>
        </w:tc>
        <w:tc>
          <w:tcPr>
            <w:tcW w:type="dxa" w:w="27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Chạy bộ kiểm thử tự động</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AC-02</w:t>
            </w:r>
          </w:p>
        </w:tc>
        <w:tc>
          <w:tcPr>
            <w:tcW w:type="dxa" w:w="5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Bộ mẫu 30 giao dịch cho kết quả 29 khớp, 1 lệch</w:t>
            </w:r>
          </w:p>
        </w:tc>
        <w:tc>
          <w:tcPr>
            <w:tcW w:type="dxa" w:w="27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So với sheet DoiSoat</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AC-03</w:t>
            </w:r>
          </w:p>
        </w:tc>
        <w:tc>
          <w:tcPr>
            <w:tcW w:type="dxa" w:w="5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Giao dịch GD0017 được gắn trạng thái Lệch</w:t>
            </w:r>
          </w:p>
        </w:tc>
        <w:tc>
          <w:tcPr>
            <w:tcW w:type="dxa" w:w="27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Xem sheet DoiSoat</w:t>
            </w:r>
          </w:p>
        </w:tc>
      </w:tr>
      <w:tr>
        <w:trPr>
          <w:tblHeader w:val="false"/>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AC-04</w:t>
            </w:r>
          </w:p>
        </w:tc>
        <w:tc>
          <w:tcPr>
            <w:tcW w:type="dxa" w:w="5271"/>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Mã có khoảng trắng thừa vẫn tra ra tên người dùng</w:t>
            </w:r>
          </w:p>
        </w:tc>
        <w:tc>
          <w:tcPr>
            <w:tcW w:type="dxa" w:w="2700"/>
            <w:tcBorders>
              <w:top w:val="single" w:color="A6A6A6" w:sz="4"/>
              <w:left w:val="single" w:color="A6A6A6" w:sz="4"/>
              <w:bottom w:val="single" w:color="A6A6A6" w:sz="4"/>
              <w:right w:val="single" w:color="A6A6A6"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Kiểm tra 6 mã mẫu</w:t>
            </w:r>
          </w:p>
        </w:tc>
      </w:tr>
    </w:tbl>
    <w:p>
      <w:pPr>
        <w:spacing w:after="160" w:before="60"/>
      </w:pPr>
      <w:r>
        <w:rPr>
          <w:rFonts w:ascii="Times New Roman" w:cs="Times New Roman" w:eastAsia="Times New Roman" w:hAnsi="Times New Roman"/>
          <w:i/>
          <w:iCs/>
          <w:sz w:val="22"/>
          <w:szCs w:val="22"/>
        </w:rPr>
        <w:t xml:space="preserve">Bảng 3. Tiêu chí nghiệm thu</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60" w:before="130"/>
      <w:outlineLvl w:val="1"/>
    </w:pPr>
    <w:rPr>
      <w:rFonts w:ascii="Times New Roman" w:cs="Times New Roman" w:eastAsia="Times New Roman" w:hAnsi="Times New Roman"/>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tính năng hoàn tiền PayKX</dc:title>
  <dc:creator>Trưởng dự án PayKX</dc:creator>
  <cp:lastModifiedBy>Un-named</cp:lastModifiedBy>
  <cp:revision>1</cp:revision>
  <dcterms:created xsi:type="dcterms:W3CDTF">2026-10-27T10:10:03.123Z</dcterms:created>
  <dcterms:modified xsi:type="dcterms:W3CDTF">2026-10-27T10:10:03.124Z</dcterms:modified>
</cp:coreProperties>
</file>

<file path=docProps/custom.xml><?xml version="1.0" encoding="utf-8"?>
<Properties xmlns="http://schemas.openxmlformats.org/officeDocument/2006/custom-properties" xmlns:vt="http://schemas.openxmlformats.org/officeDocument/2006/docPropsVTypes"/>
</file>