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6699"/>
          <w:sz w:val="40"/>
        </w:rPr>
        <w:t>BÁO CÁO BÀI LÀM ĐẦY ĐỦ - BÀI 4</w:t>
        <w:br/>
        <w:t>ĐẶC TẢ YÊU CẦU PHẦN MỀM (SRS) &amp; HỆ THỐNG CLINIC-CLOUD</w:t>
      </w:r>
    </w:p>
    <w:p>
      <w:pPr>
        <w:jc w:val="center"/>
      </w:pPr>
      <w:r>
        <w:rPr>
          <w:i/>
          <w:color w:val="666666"/>
          <w:sz w:val="20"/>
        </w:rPr>
        <w:t>Dự án: Startup Clinic | Mã tài liệu: SRS-EMR-04 | Phiên bản: 1.0 | Ngày: 20/05/2024</w:t>
      </w:r>
    </w:p>
    <w:p/>
    <w:tbl>
      <w:tblPr>
        <w:tblW w:type="auto" w:w="0"/>
        <w:jc w:val="center"/>
        <w:tblLook w:firstColumn="1" w:firstRow="1" w:lastColumn="0" w:lastRow="0" w:noHBand="0" w:noVBand="1" w:val="04A0"/>
      </w:tblPr>
      <w:tblGrid>
        <w:gridCol w:w="9360"/>
      </w:tblGrid>
      <w:tr>
        <w:tc>
          <w:tcPr>
            <w:tcW w:type="dxa" w:w="9360"/>
            <w:shd w:fill="E6F2F8"/>
            <w:tcMar>
              <w:top w:w="140" w:type="dxa"/>
              <w:bottom w:w="140" w:type="dxa"/>
              <w:left w:w="200" w:type="dxa"/>
              <w:right w:w="200" w:type="dxa"/>
            </w:tcMar>
          </w:tcPr>
          <w:p>
            <w:r>
              <w:rPr>
                <w:i/>
                <w:color w:val="004466"/>
                <w:sz w:val="21"/>
              </w:rPr>
              <w:t>Tài liệu này tổng hợp toàn bộ giải pháp cho Bài 4 gồm Phân tích Yêu cầu SRS Bệnh án điện tử, Hướng dẫn xử lý dữ liệu chuẩn Database Mindset trên Excel, Thiết kế Slide số liệu và Quy trình kiểm thử chuẩn hóa Word.</w:t>
            </w:r>
          </w:p>
        </w:tc>
      </w:tr>
    </w:tbl>
    <w:p/>
    <w:p>
      <w:pPr>
        <w:pStyle w:val="Heading1"/>
      </w:pPr>
      <w:r>
        <w:t>PHẦN 1. PHÂN TÍCH: BỆNH ÁN ĐIỆN TỬ (SRS)</w:t>
      </w:r>
    </w:p>
    <w:p>
      <w:pPr>
        <w:pStyle w:val="Heading2"/>
      </w:pPr>
      <w:r>
        <w:t>1.1. Yêu cầu chức năng (Functional Requirements - Nghiệp vụ khám bệnh)</w:t>
      </w:r>
    </w:p>
    <w:p>
      <w:r>
        <w:t>• Quản lý hồ sơ bệnh nhân: Khởi tạo, cập nhật, tra cứu lịch sử khám bệnh và thông tin cá nhân.</w:t>
        <w:br/>
        <w:t>• Đăng ký &amp; Phân luồng khám: Cho phép đặt lịch trực tuyến, cấp số thứ tự tự động và phân phòng khám.</w:t>
        <w:br/>
        <w:t>• Ghi nhận thông số lâm sàng: Cho phép bác sĩ nhập chẩn đoán, đơn thuốc, chỉ định xét nghiệm và tiền sử bệnh lý.</w:t>
        <w:br/>
        <w:t>• Quản lý đơn thuốc điện tử: Kết nối dữ liệu kho dược, cảnh báo tương tác thuốc và tự động in/gửi đơn thuốc.</w:t>
      </w:r>
    </w:p>
    <w:p>
      <w:pPr>
        <w:pStyle w:val="Heading2"/>
      </w:pPr>
      <w:r>
        <w:t>1.2. Yêu cầu phi chức năng (Non-functional Requirements - Bảo mật &amp; An toàn dữ liệu y tế)</w:t>
      </w:r>
    </w:p>
    <w:p>
      <w:r>
        <w:t>• Bảo mật dữ liệu (HIPAA/GDPR Compliance): Mã hóa dữ liệu lưu trữ (Data at Rest) bằng AES-256 và truyền tải (Data in Transit) qua TLS 1.3.</w:t>
        <w:br/>
        <w:t>• Kiểm soát truy cập (RBAC): Phân quyền nghiêm ngặt theo vai trò (Bác sĩ, Y sĩ, Dược sĩ, Lễ tân, Admin).</w:t>
        <w:br/>
        <w:t>• Nhật ký truy cập (Audit Log): Ghi lại toàn bộ thao tác xem, sửa, xóa hồ sơ bệnh nhân với thời gian và định danh người dùng.</w:t>
        <w:br/>
        <w:t>• Khả dụng &amp; Sao lưu: Uptime đạt 99.99%, sao lưu định kỳ 15 phút/lần và khôi phục sự cố trong vòng &lt; 30 phút.</w:t>
      </w:r>
    </w:p>
    <w:p>
      <w:pPr>
        <w:pStyle w:val="Heading1"/>
      </w:pPr>
      <w:r>
        <w:t>PHẦN 2. TRIỂN KHAI: HỆ THỐNG CLINIC-CLOUD TÍCH HỢP</w:t>
      </w:r>
    </w:p>
    <w:p>
      <w:pPr>
        <w:pStyle w:val="Heading2"/>
      </w:pPr>
      <w:r>
        <w:t>2.1. Quản lý 1000 hồ sơ bệnh nhân trên Excel (Database Mindset)</w:t>
      </w:r>
    </w:p>
    <w:p>
      <w:r>
        <w:t>• Chuẩn hóa dữ liệu: Mỗi hàng đại diện cho 1 bản ghi bệnh nhân duy nhất, cột tiêu đề rõ ràng ở Hàng 4.</w:t>
        <w:br/>
        <w:t>• Xử lý bẫy ô trống bằng AutoFilter: Chọn chủ động toàn bộ vùng dữ liệu (A4:J1004) trước khi nhấn Ctrl + Shift + L để đảm bảo bộ lọc bao phủ toàn bộ 1000 hồ sơ mà không bị đứt đoạn tại ô trống.</w:t>
      </w:r>
    </w:p>
    <w:p>
      <w:pPr>
        <w:pStyle w:val="Heading2"/>
      </w:pPr>
      <w:r>
        <w:t>2.2. Trình bày số liệu dịch bệnh (PowerPoint Donut Chart)</w:t>
      </w:r>
    </w:p>
    <w:p>
      <w:r>
        <w:t>• Áp dụng biểu đồ Donut Chart tối giản trên PowerPoint để hiển thị cơ cấu phân bố ca bệnh/dịch bệnh.</w:t>
        <w:br/>
        <w:t>• Phối màu chủ đạo Medical Blue, nhấn mạnh thông điệp tỷ lệ kiểm soát dịch bệnh thành công.</w:t>
      </w:r>
    </w:p>
    <w:p>
      <w:pPr>
        <w:pStyle w:val="Heading1"/>
      </w:pPr>
      <w:r>
        <w:t>PHẦN 3. KIỂM THỬ: XỬ LÝ LỖI GÁN NHẦM HEADING STYLES BẰNG CTRL + SHIFT + N</w:t>
      </w:r>
    </w:p>
    <w:p>
      <w:pPr>
        <w:pStyle w:val="Heading2"/>
      </w:pPr>
      <w:r>
        <w:t>3.1. Hiện tượng &amp; Nguyên nhân</w:t>
      </w:r>
    </w:p>
    <w:p>
      <w:r>
        <w:t>Khi soạn thảo tài liệu SRS, người dùng vô tình áp dụng nhầm Heading Style (Heading 1, Heading 2...) cho các đoạn văn nội dung (Body text). Hậu quả làm cho đoạn văn xuất hiện bất hợp lý trong Navigation Pane và Mục lục tự động.</w:t>
      </w:r>
    </w:p>
    <w:p>
      <w:pPr>
        <w:pStyle w:val="Heading2"/>
      </w:pPr>
      <w:r>
        <w:t>3.2. Phương pháp khắc phục chuẩn hóa bằng Ctrl + Shift + N</w:t>
      </w:r>
    </w:p>
    <w:p>
      <w:r>
        <w:t>• Bước 1: Đặt con trỏ chuột vào đoạn văn bị gán nhầm Heading Style (hoặc bôi đen toàn bộ các đoạn văn bị ảnh hưởng).</w:t>
        <w:br/>
        <w:t>• Bước 2: Nhấn tổ hợp phím tắt Ctrl + Shift + N.</w:t>
        <w:br/>
        <w:t>• Cơ chế hoạt động: Phím tắt Ctrl + Shift + N lập tức trả định dạng của đoạn văn về 'Normal Style' chuẩn mặc định, xóa bỏ toàn bộ thuộc tính Heading và đưa đoạn văn thoát khỏi khung Navigation Pane cũng như Mục lục tự động.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69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88C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