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4D3E"/>
          <w:sz w:val="40"/>
        </w:rPr>
        <w:t>BÁO CÁO DỰ ÁN KHỞI NGHIỆP SMART-HOME</w:t>
        <w:br/>
        <w:t>HỒ SƠ GIỚI THIỆU &amp; ĐẶC TẢ YÊU CẦU PHẦN MỀM (SRS)</w:t>
      </w:r>
    </w:p>
    <w:p>
      <w:pPr>
        <w:jc w:val="center"/>
      </w:pPr>
      <w:r>
        <w:rPr>
          <w:i/>
          <w:color w:val="666666"/>
          <w:sz w:val="20"/>
        </w:rPr>
        <w:t>Dự án Khởi nghiệp Smart-Home | Nền tảng Đấu giá &amp; Quản lý Nhà đất Trực tuyến | Ngày: 20/05/2024</w:t>
      </w:r>
    </w:p>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Pr>
          <w:p>
            <w:r>
              <w:rPr>
                <w:i/>
                <w:color w:val="1B4D3E"/>
                <w:sz w:val="21"/>
              </w:rPr>
              <w:t>Tài liệu báo cáo tổng hợp đầy đủ 3 phần cho Bài 6: Phân tích bảng Excel Chuẩn vs Bảng 'Xấu', Triển khai Hồ sơ đặc tả SRS Dự án Smart-Home (Heading 1, 2, 3), và Hướng dẫn kiểm thử xử lý trôi vùng dữ liệu VLOOKUP bằng tham chiếu tuyệt đối ($).</w:t>
            </w:r>
          </w:p>
        </w:tc>
      </w:tr>
    </w:tbl>
    <w:p/>
    <w:p>
      <w:r>
        <w:rPr>
          <w:b/>
        </w:rPr>
        <w:t>MỤC LỤC TỰ ĐỘNG (TABLE OF CONTENTS)</w:t>
      </w:r>
    </w:p>
    <w:p>
      <w:r>
        <w:rPr>
          <w:i/>
          <w:color w:val="888888"/>
        </w:rPr>
        <w:t>[Mục lục tự động theo cấu trúc Heading 1, Heading 2, Heading 3. Vui lòng nhấn chọn 'Update Field' -&gt; 'Update Entire Table' trong Microsoft Word để đồng bộ số trang].</w:t>
      </w:r>
    </w:p>
    <w:p>
      <w:r>
        <w:br w:type="page"/>
      </w:r>
    </w:p>
    <w:p>
      <w:pPr>
        <w:pStyle w:val="Heading1"/>
      </w:pPr>
      <w:r>
        <w:t>PHẦN 1. PHÂN TÍCH: ĐẶC ĐIỂM BẢNG EXCEL XẤU VS BẢNG ĐÚNG (DATABASE MINDSET)</w:t>
      </w:r>
    </w:p>
    <w:p>
      <w:pPr>
        <w:pStyle w:val="Heading2"/>
      </w:pPr>
      <w:r>
        <w:t>1.1. Khái niệm Database Mindset trong Excel</w:t>
      </w:r>
    </w:p>
    <w:p>
      <w:r>
        <w:t>Database Mindset là tư duy thiết kế bảng tính Excel theo cấu trúc Cơ sở dữ liệu chuẩn, phân định rõ ràng giữa Trường dữ liệu (Field/Cột) và Bản ghi (Record/Hàng). Điều này đảm bảo tính toàn vẹn dữ liệu, cho phép tự động hóa tính toán, lọc dữ liệu (AutoFilter), và lập báo cáo động (PivotTable).</w:t>
      </w:r>
    </w:p>
    <w:p>
      <w:pPr>
        <w:pStyle w:val="Heading2"/>
      </w:pPr>
      <w:r>
        <w:t>1.2. Bảng so sánh đặc điểm Bảng Excel Xấu và Bảng Excel Đúng</w:t>
      </w:r>
    </w:p>
    <w:tbl>
      <w:tblPr>
        <w:tblW w:type="auto" w:w="0"/>
        <w:jc w:val="center"/>
        <w:tblLook w:firstColumn="1" w:firstRow="1" w:lastColumn="0" w:lastRow="0" w:noHBand="0" w:noVBand="1" w:val="04A0"/>
      </w:tblPr>
      <w:tblGrid>
        <w:gridCol w:w="3120"/>
        <w:gridCol w:w="3120"/>
        <w:gridCol w:w="3120"/>
      </w:tblGrid>
      <w:tr>
        <w:tc>
          <w:tcPr>
            <w:tcW w:type="dxa" w:w="3120"/>
            <w:shd w:fill="1B4D3E"/>
            <w:tcMar>
              <w:top w:w="100" w:type="dxa"/>
              <w:bottom w:w="100" w:type="dxa"/>
              <w:left w:w="150" w:type="dxa"/>
              <w:right w:w="150" w:type="dxa"/>
            </w:tcMar>
          </w:tcPr>
          <w:p>
            <w:pPr>
              <w:jc w:val="center"/>
            </w:pPr>
            <w:r>
              <w:rPr>
                <w:b/>
                <w:color w:val="FFFFFF"/>
              </w:rPr>
              <w:t>Tiêu chí phân tích</w:t>
            </w:r>
          </w:p>
        </w:tc>
        <w:tc>
          <w:tcPr>
            <w:tcW w:type="dxa" w:w="3120"/>
            <w:shd w:fill="1B4D3E"/>
            <w:tcMar>
              <w:top w:w="100" w:type="dxa"/>
              <w:bottom w:w="100" w:type="dxa"/>
              <w:left w:w="150" w:type="dxa"/>
              <w:right w:w="150" w:type="dxa"/>
            </w:tcMar>
          </w:tcPr>
          <w:p>
            <w:pPr>
              <w:jc w:val="center"/>
            </w:pPr>
            <w:r>
              <w:rPr>
                <w:b/>
                <w:color w:val="FFFFFF"/>
              </w:rPr>
              <w:t>Bảng Excel Xấu (Vi phạm)</w:t>
            </w:r>
          </w:p>
        </w:tc>
        <w:tc>
          <w:tcPr>
            <w:tcW w:type="dxa" w:w="3120"/>
            <w:shd w:fill="1B4D3E"/>
            <w:tcMar>
              <w:top w:w="100" w:type="dxa"/>
              <w:bottom w:w="100" w:type="dxa"/>
              <w:left w:w="150" w:type="dxa"/>
              <w:right w:w="150" w:type="dxa"/>
            </w:tcMar>
          </w:tcPr>
          <w:p>
            <w:pPr>
              <w:jc w:val="center"/>
            </w:pPr>
            <w:r>
              <w:rPr>
                <w:b/>
                <w:color w:val="FFFFFF"/>
              </w:rPr>
              <w:t>Bảng Excel Đúng (Database Mindset)</w:t>
            </w:r>
          </w:p>
        </w:tc>
      </w:tr>
      <w:tr>
        <w:tc>
          <w:tcPr>
            <w:tcW w:type="dxa" w:w="3120"/>
            <w:shd w:fill="FFFFFF"/>
            <w:tcMar>
              <w:top w:w="80" w:type="dxa"/>
              <w:bottom w:w="80" w:type="dxa"/>
              <w:left w:w="120" w:type="dxa"/>
              <w:right w:w="120" w:type="dxa"/>
            </w:tcMar>
          </w:tcPr>
          <w:p>
            <w:r>
              <w:rPr>
                <w:b/>
                <w:sz w:val="20"/>
              </w:rPr>
              <w:t>Gộp ô (Merge Cells)</w:t>
            </w:r>
          </w:p>
        </w:tc>
        <w:tc>
          <w:tcPr>
            <w:tcW w:type="dxa" w:w="3120"/>
            <w:shd w:fill="FFFFFF"/>
            <w:tcMar>
              <w:top w:w="80" w:type="dxa"/>
              <w:bottom w:w="80" w:type="dxa"/>
              <w:left w:w="120" w:type="dxa"/>
              <w:right w:w="120" w:type="dxa"/>
            </w:tcMar>
          </w:tcPr>
          <w:p>
            <w:r>
              <w:rPr>
                <w:sz w:val="20"/>
              </w:rPr>
              <w:t>Gộp ô tràn lan ở tiêu đề cột, tiêu đề hàng và nội dung dữ liệu làm gãy cấu trúc lọc.</w:t>
            </w:r>
          </w:p>
        </w:tc>
        <w:tc>
          <w:tcPr>
            <w:tcW w:type="dxa" w:w="3120"/>
            <w:shd w:fill="FFFFFF"/>
            <w:tcMar>
              <w:top w:w="80" w:type="dxa"/>
              <w:bottom w:w="80" w:type="dxa"/>
              <w:left w:w="120" w:type="dxa"/>
              <w:right w:w="120" w:type="dxa"/>
            </w:tcMar>
          </w:tcPr>
          <w:p>
            <w:r>
              <w:rPr>
                <w:sz w:val="20"/>
              </w:rPr>
              <w:t>Tuyệt đối không Merge Cell trong vùng dữ liệu. Mỗi ô là 1 giá trị độc lập.</w:t>
            </w:r>
          </w:p>
        </w:tc>
      </w:tr>
      <w:tr>
        <w:tc>
          <w:tcPr>
            <w:tcW w:type="dxa" w:w="3120"/>
            <w:shd w:fill="F9F9F9"/>
            <w:tcMar>
              <w:top w:w="80" w:type="dxa"/>
              <w:bottom w:w="80" w:type="dxa"/>
              <w:left w:w="120" w:type="dxa"/>
              <w:right w:w="120" w:type="dxa"/>
            </w:tcMar>
          </w:tcPr>
          <w:p>
            <w:r>
              <w:rPr>
                <w:b/>
                <w:sz w:val="20"/>
              </w:rPr>
              <w:t>Hàng tiêu đề (Header Row)</w:t>
            </w:r>
          </w:p>
        </w:tc>
        <w:tc>
          <w:tcPr>
            <w:tcW w:type="dxa" w:w="3120"/>
            <w:shd w:fill="F9F9F9"/>
            <w:tcMar>
              <w:top w:w="80" w:type="dxa"/>
              <w:bottom w:w="80" w:type="dxa"/>
              <w:left w:w="120" w:type="dxa"/>
              <w:right w:w="120" w:type="dxa"/>
            </w:tcMar>
          </w:tcPr>
          <w:p>
            <w:r>
              <w:rPr>
                <w:sz w:val="20"/>
              </w:rPr>
              <w:t>Có nhiều hàng tiêu đề lồng nhau, chứa ô trống hoặc hàng tổng cộng xen kẽ.</w:t>
            </w:r>
          </w:p>
        </w:tc>
        <w:tc>
          <w:tcPr>
            <w:tcW w:type="dxa" w:w="3120"/>
            <w:shd w:fill="F9F9F9"/>
            <w:tcMar>
              <w:top w:w="80" w:type="dxa"/>
              <w:bottom w:w="80" w:type="dxa"/>
              <w:left w:w="120" w:type="dxa"/>
              <w:right w:w="120" w:type="dxa"/>
            </w:tcMar>
          </w:tcPr>
          <w:p>
            <w:r>
              <w:rPr>
                <w:sz w:val="20"/>
              </w:rPr>
              <w:t>Duy nhất 1 hàng Header chuẩn ở trên cùng của vùng bảng dữ liệu.</w:t>
            </w:r>
          </w:p>
        </w:tc>
      </w:tr>
      <w:tr>
        <w:tc>
          <w:tcPr>
            <w:tcW w:type="dxa" w:w="3120"/>
            <w:shd w:fill="FFFFFF"/>
            <w:tcMar>
              <w:top w:w="80" w:type="dxa"/>
              <w:bottom w:w="80" w:type="dxa"/>
              <w:left w:w="120" w:type="dxa"/>
              <w:right w:w="120" w:type="dxa"/>
            </w:tcMar>
          </w:tcPr>
          <w:p>
            <w:r>
              <w:rPr>
                <w:b/>
                <w:sz w:val="20"/>
              </w:rPr>
              <w:t>Dòng trống / Dữ liệu rác</w:t>
            </w:r>
          </w:p>
        </w:tc>
        <w:tc>
          <w:tcPr>
            <w:tcW w:type="dxa" w:w="3120"/>
            <w:shd w:fill="FFFFFF"/>
            <w:tcMar>
              <w:top w:w="80" w:type="dxa"/>
              <w:bottom w:w="80" w:type="dxa"/>
              <w:left w:w="120" w:type="dxa"/>
              <w:right w:w="120" w:type="dxa"/>
            </w:tcMar>
          </w:tcPr>
          <w:p>
            <w:r>
              <w:rPr>
                <w:sz w:val="20"/>
              </w:rPr>
              <w:t>Chèn các dòng trống vô nghĩa giữa các dòng dữ liệu để tạo khoảng cách nhìn.</w:t>
            </w:r>
          </w:p>
        </w:tc>
        <w:tc>
          <w:tcPr>
            <w:tcW w:type="dxa" w:w="3120"/>
            <w:shd w:fill="FFFFFF"/>
            <w:tcMar>
              <w:top w:w="80" w:type="dxa"/>
              <w:bottom w:w="80" w:type="dxa"/>
              <w:left w:w="120" w:type="dxa"/>
              <w:right w:w="120" w:type="dxa"/>
            </w:tcMar>
          </w:tcPr>
          <w:p>
            <w:r>
              <w:rPr>
                <w:sz w:val="20"/>
              </w:rPr>
              <w:t>Dữ liệu liên tục từ dòng đầu đến dòng cuối, không chèn hàng trống ngắt quãng.</w:t>
            </w:r>
          </w:p>
        </w:tc>
      </w:tr>
      <w:tr>
        <w:tc>
          <w:tcPr>
            <w:tcW w:type="dxa" w:w="3120"/>
            <w:shd w:fill="F9F9F9"/>
            <w:tcMar>
              <w:top w:w="80" w:type="dxa"/>
              <w:bottom w:w="80" w:type="dxa"/>
              <w:left w:w="120" w:type="dxa"/>
              <w:right w:w="120" w:type="dxa"/>
            </w:tcMar>
          </w:tcPr>
          <w:p>
            <w:r>
              <w:rPr>
                <w:b/>
                <w:sz w:val="20"/>
              </w:rPr>
              <w:t>Định dạng dữ liệu</w:t>
            </w:r>
          </w:p>
        </w:tc>
        <w:tc>
          <w:tcPr>
            <w:tcW w:type="dxa" w:w="3120"/>
            <w:shd w:fill="F9F9F9"/>
            <w:tcMar>
              <w:top w:w="80" w:type="dxa"/>
              <w:bottom w:w="80" w:type="dxa"/>
              <w:left w:w="120" w:type="dxa"/>
              <w:right w:w="120" w:type="dxa"/>
            </w:tcMar>
          </w:tcPr>
          <w:p>
            <w:r>
              <w:rPr>
                <w:sz w:val="20"/>
              </w:rPr>
              <w:t>Trộn lẫn kiểu Text, Number, Date trong cùng 1 cột; viết hoa/thường tự do.</w:t>
            </w:r>
          </w:p>
        </w:tc>
        <w:tc>
          <w:tcPr>
            <w:tcW w:type="dxa" w:w="3120"/>
            <w:shd w:fill="F9F9F9"/>
            <w:tcMar>
              <w:top w:w="80" w:type="dxa"/>
              <w:bottom w:w="80" w:type="dxa"/>
              <w:left w:w="120" w:type="dxa"/>
              <w:right w:w="120" w:type="dxa"/>
            </w:tcMar>
          </w:tcPr>
          <w:p>
            <w:r>
              <w:rPr>
                <w:sz w:val="20"/>
              </w:rPr>
              <w:t>Mỗi cột áp dụng đúng 1 kiểu định dạng chuẩn (Currency, Percentage, Date...).</w:t>
            </w:r>
          </w:p>
        </w:tc>
      </w:tr>
      <w:tr>
        <w:tc>
          <w:tcPr>
            <w:tcW w:type="dxa" w:w="3120"/>
            <w:shd w:fill="FFFFFF"/>
            <w:tcMar>
              <w:top w:w="80" w:type="dxa"/>
              <w:bottom w:w="80" w:type="dxa"/>
              <w:left w:w="120" w:type="dxa"/>
              <w:right w:w="120" w:type="dxa"/>
            </w:tcMar>
          </w:tcPr>
          <w:p>
            <w:r>
              <w:rPr>
                <w:b/>
                <w:sz w:val="20"/>
              </w:rPr>
              <w:t>Khả năng mở rộng</w:t>
            </w:r>
          </w:p>
        </w:tc>
        <w:tc>
          <w:tcPr>
            <w:tcW w:type="dxa" w:w="3120"/>
            <w:shd w:fill="FFFFFF"/>
            <w:tcMar>
              <w:top w:w="80" w:type="dxa"/>
              <w:bottom w:w="80" w:type="dxa"/>
              <w:left w:w="120" w:type="dxa"/>
              <w:right w:w="120" w:type="dxa"/>
            </w:tcMar>
          </w:tcPr>
          <w:p>
            <w:r>
              <w:rPr>
                <w:sz w:val="20"/>
              </w:rPr>
              <w:t>Công thức gán cứng địa chỉ ô (Hardcode), trôi vùng tra cứu khi kéo công thức.</w:t>
            </w:r>
          </w:p>
        </w:tc>
        <w:tc>
          <w:tcPr>
            <w:tcW w:type="dxa" w:w="3120"/>
            <w:shd w:fill="FFFFFF"/>
            <w:tcMar>
              <w:top w:w="80" w:type="dxa"/>
              <w:bottom w:w="80" w:type="dxa"/>
              <w:left w:w="120" w:type="dxa"/>
              <w:right w:w="120" w:type="dxa"/>
            </w:tcMar>
          </w:tcPr>
          <w:p>
            <w:r>
              <w:rPr>
                <w:sz w:val="20"/>
              </w:rPr>
              <w:t>Dùng tham chiếu tuyệt đối ($), công thức linh hoạt, sẵn sàng kết nối PivotTable.</w:t>
            </w:r>
          </w:p>
        </w:tc>
      </w:tr>
    </w:tbl>
    <w:p/>
    <w:p>
      <w:pPr>
        <w:pStyle w:val="Heading1"/>
      </w:pPr>
      <w:r>
        <w:t>PHẦN 2. TRIỂN KHAI: HỒ SƠ DỰ ÁN SMART-HOME &amp; ĐẶC TẢ SRS</w:t>
      </w:r>
    </w:p>
    <w:p>
      <w:pPr>
        <w:pStyle w:val="Heading2"/>
      </w:pPr>
      <w:r>
        <w:t>2.1. Giới thiệu dự án Smart-Home</w:t>
      </w:r>
    </w:p>
    <w:p>
      <w:r>
        <w:t>Smart-Home là nền tảng khởi nghiệp kết nối đấu giá và quản lý bất động sản thông minh. Hệ thống cung cấp giải pháp toàn diện giúp minh bạch hóa giao dịch nhà đất, tự động hóa tính toán chiết khấu và hoa hồng môi giới.</w:t>
      </w:r>
    </w:p>
    <w:p>
      <w:pPr>
        <w:pStyle w:val="Heading2"/>
      </w:pPr>
      <w:r>
        <w:t>2.2. Đặc tả yêu cầu phần mềm (SRS) - Module Đấu giá trực tuyến</w:t>
      </w:r>
    </w:p>
    <w:p>
      <w:pPr>
        <w:pStyle w:val="Heading3"/>
      </w:pPr>
      <w:r>
        <w:t>2.2.1. Chức năng Quản lý danh mục Bất động sản</w:t>
      </w:r>
    </w:p>
    <w:p>
      <w:r>
        <w:t>• Cho phép chủ nhà/môi giới đăng tải hồ sơ bất động sản (Biệt thự, Căn hộ, Nhà phố).</w:t>
        <w:br/>
        <w:t>• Tự động thẩm định thông tin pháp lý và gán mã bất động sản (Mã BĐS).</w:t>
        <w:br/>
        <w:t>• Phân loại loại hình tài sản và định giá khởi điểm công khai.</w:t>
      </w:r>
    </w:p>
    <w:p>
      <w:pPr>
        <w:pStyle w:val="Heading3"/>
      </w:pPr>
      <w:r>
        <w:t>2.2.2. Chức năng Đấu giá trực tuyến thời gian thực (Real-time Bidding)</w:t>
      </w:r>
    </w:p>
    <w:p>
      <w:r>
        <w:t>• Đếm ngược thời gian đấu giá và cập nhật bước giá nhảy tự động qua WebSocket.</w:t>
        <w:br/>
        <w:t>• Tự động kiểm tra số tiền ký quỹ (Deposit) trước khi cho phép người dùng trả giá.</w:t>
        <w:br/>
        <w:t>• Khóa phiên đấu giá và xác nhận người thắng cuộc ngay khi hết giờ.</w:t>
      </w:r>
    </w:p>
    <w:p>
      <w:pPr>
        <w:pStyle w:val="Heading3"/>
      </w:pPr>
      <w:r>
        <w:t>2.2.3. Chức năng Tự động hóa Tính Chiết khấu &amp; Hoa hồng Môi giới</w:t>
      </w:r>
    </w:p>
    <w:p>
      <w:r>
        <w:t>• Kết nối bảng danh sách nhà đất với Bảng tra cứu hoa hồng môi giới qua hàm VLOOKUP.</w:t>
        <w:br/>
        <w:t>• Tính toán chính xác tỷ lệ chiết khấu theo từng cấp mã môi giới (MG01, MG02, MG03...).</w:t>
        <w:br/>
        <w:t>• Trích xuất báo cáo doanh thu và hoa hồng tự động cho bộ phận tài chính.</w:t>
      </w:r>
    </w:p>
    <w:p>
      <w:pPr>
        <w:pStyle w:val="Heading2"/>
      </w:pPr>
      <w:r>
        <w:t>2.3. Bộ Slide Pitch Deck gọi vốn (Quy tắc 10/20/30)</w:t>
      </w:r>
    </w:p>
    <w:p>
      <w:r>
        <w:t>Bộ Slide Pitch Deck được xây dựng tối giản 5 slide chính (nằm trong giới hạn 10 slide của Rule 10/20/30), áp dụng nguyên tắc '1 Slide - 1 Thông điệp' và tận dụng khoảng trắng (White Space) làm nổi bật số liệu cốt lõi.</w:t>
      </w:r>
    </w:p>
    <w:p>
      <w:pPr>
        <w:pStyle w:val="Heading1"/>
      </w:pPr>
      <w:r>
        <w:t>PHẦN 3. KIỂM THỬ: XỬ LÝ LỖI TRÔI VÙNG DỮ LIỆU VLOOKUP BẰNG DẤU $ (DOLLAR SIGN)</w:t>
      </w:r>
    </w:p>
    <w:p>
      <w:pPr>
        <w:pStyle w:val="Heading2"/>
      </w:pPr>
      <w:r>
        <w:t>3.1. Hiện tượng &amp; Nguyên nhân sự cố</w:t>
      </w:r>
    </w:p>
    <w:p>
      <w:r>
        <w:t>Khi thực hiện tra cứu tỷ lệ hoa hồng môi giới từ Bảng tra cứu phụ sang Danh sách nhà đất, nếu người dùng nhập công thức dạng tham chiếu tương đối:</w:t>
        <w:br/>
      </w:r>
    </w:p>
    <w:p>
      <w:r>
        <w:t xml:space="preserve">   =VLOOKUP(E2, H4:J7, 3, FALSE)</w:t>
        <w:br/>
      </w:r>
    </w:p>
    <w:p>
      <w:r>
        <w:t>Khi kéo công thức xuống các hàng tiếp theo (từ dòng 2 xuống dòng 3, dòng 4...), vùng tra cứu H4:J7 sẽ lập tức bị trôi thành H5:J8, H6:J9... Dẫn đến kết quả trả về bị lỗi #N/A hoặc tra cứu sai tỷ lệ hoa hồng do bảng phụ bị dịch chuyển khỏi vùng dữ liệu gốc.</w:t>
      </w:r>
    </w:p>
    <w:p>
      <w:pPr>
        <w:pStyle w:val="Heading2"/>
      </w:pPr>
      <w:r>
        <w:t>3.2. Giải pháp khắc phục triệt để bằng Dấu $ (Dollar Sign)</w:t>
      </w:r>
    </w:p>
    <w:p>
      <w:r>
        <w:t>Để cố định vị trí của Bảng tra cứu hoa hồng môi giới (Table_array), ta phải chuyển từ tham chiếu tương đối sang tham chiếu tuyệt đối bằng cách chèn dấu $ vào trước chỉ số cột và chỉ số hàng (hoặc nhấn phím F4 khi quét chọn vùng):</w:t>
        <w:br/>
      </w:r>
    </w:p>
    <w:p>
      <w:r>
        <w:t>• Công thức chuẩn đã khắc phục: =VLOOKUP(E2, $H$4:$J$7, 3, FALSE)</w:t>
        <w:br/>
      </w:r>
    </w:p>
    <w:p>
      <w:r>
        <w:t>• Ý nghĩa kỹ thuật:</w:t>
        <w:br/>
      </w:r>
    </w:p>
    <w:p>
      <w:r>
        <w:t xml:space="preserve">  - $H$4: Cố định tuyệt đối ô góc trên bên trái của bảng tra cứu tại Cột H, Hàng 4.</w:t>
        <w:br/>
        <w:t xml:space="preserve">  - $J$7: Cố định tuyệt đối ô góc dưới bên phải của bảng tra cứu tại Cột J, Hàng 7.</w:t>
        <w:br/>
        <w:t xml:space="preserve">  - Kết quả: Khi sao chép công thức xuống 500 hay 1000 dòng dữ liệu nhà đất, vùng tra cứu $H$4:$J$7 luôn giữ nguyên cố định 100%, bảo đảm tính toán hoa hồng chính xác tuyệt đối.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D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88E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