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 Aux5_seqs.faa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Annotations using eggNOG-mapper: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Aux5a: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Uncharacterized alpha/beta hydrolase domain (DUF2235)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Aux5b: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Uncharacterized alpha/beta hydrolase domain (DUF2235)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Aux5c: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Uncharacterized alpha/beta hydrolase domain (DUF2235)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Aux5d: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Uncharacterized alpha/beta hydrolase domain (DUF2235)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File: ompA.faa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 Ontology Annotations using InterPro: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Biological Process - none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rtl w:val="0"/>
        </w:rPr>
        <w:t xml:space="preserve">Molecular Function - </w:t>
      </w:r>
      <w:hyperlink r:id="rId6">
        <w:r w:rsidDel="00000000" w:rsidR="00000000" w:rsidRPr="00000000">
          <w:rPr>
            <w:color w:val="222222"/>
            <w:rtl w:val="0"/>
          </w:rPr>
          <w:t xml:space="preserve">porin activity (GO:0015288)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Cellular Components - </w:t>
      </w:r>
      <w:hyperlink r:id="rId7">
        <w:r w:rsidDel="00000000" w:rsidR="00000000" w:rsidRPr="00000000">
          <w:rPr>
            <w:color w:val="222222"/>
            <w:rtl w:val="0"/>
          </w:rPr>
          <w:t xml:space="preserve">membrane (GO:0016020)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222222"/>
            <w:rtl w:val="0"/>
          </w:rPr>
          <w:t xml:space="preserve">cell outer membrane (GO:0009279)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i.ac.uk/QuickGO/GTerm?id=GO:0015288" TargetMode="External"/><Relationship Id="rId7" Type="http://schemas.openxmlformats.org/officeDocument/2006/relationships/hyperlink" Target="https://www.ebi.ac.uk/QuickGO/GTerm?id=GO:0016020" TargetMode="External"/><Relationship Id="rId8" Type="http://schemas.openxmlformats.org/officeDocument/2006/relationships/hyperlink" Target="https://www.ebi.ac.uk/QuickGO/GTerm?id=GO:0009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