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84DE0C" w14:textId="77777777" w:rsidR="00094A54" w:rsidRDefault="00040B35">
      <w:pPr>
        <w:pStyle w:val="Heading1"/>
        <w:spacing w:before="67"/>
      </w:pPr>
      <w:r>
        <w:rPr>
          <w:w w:val="90"/>
        </w:rPr>
        <w:t>Chapter</w:t>
      </w:r>
      <w:r>
        <w:rPr>
          <w:spacing w:val="-12"/>
          <w:w w:val="90"/>
        </w:rPr>
        <w:t xml:space="preserve"> </w:t>
      </w:r>
      <w:r>
        <w:rPr>
          <w:w w:val="90"/>
        </w:rPr>
        <w:t>5</w:t>
      </w:r>
      <w:r>
        <w:rPr>
          <w:spacing w:val="-11"/>
          <w:w w:val="90"/>
        </w:rPr>
        <w:t xml:space="preserve"> </w:t>
      </w:r>
      <w:r>
        <w:rPr>
          <w:w w:val="90"/>
        </w:rPr>
        <w:t>-</w:t>
      </w:r>
      <w:r>
        <w:rPr>
          <w:spacing w:val="-12"/>
          <w:w w:val="90"/>
        </w:rPr>
        <w:t xml:space="preserve"> </w:t>
      </w:r>
      <w:r>
        <w:rPr>
          <w:w w:val="90"/>
        </w:rPr>
        <w:t>CASE</w:t>
      </w:r>
      <w:r>
        <w:rPr>
          <w:spacing w:val="-12"/>
          <w:w w:val="90"/>
        </w:rPr>
        <w:t xml:space="preserve"> </w:t>
      </w:r>
      <w:r>
        <w:rPr>
          <w:w w:val="90"/>
        </w:rPr>
        <w:t>STUDY</w:t>
      </w:r>
      <w:r>
        <w:rPr>
          <w:spacing w:val="-12"/>
          <w:w w:val="90"/>
        </w:rPr>
        <w:t xml:space="preserve"> </w:t>
      </w:r>
      <w:r>
        <w:rPr>
          <w:spacing w:val="-2"/>
          <w:w w:val="90"/>
        </w:rPr>
        <w:t>ǪUESTIONS</w:t>
      </w:r>
    </w:p>
    <w:p w14:paraId="5E472DB3" w14:textId="77777777" w:rsidR="00094A54" w:rsidRDefault="00040B35">
      <w:pPr>
        <w:spacing w:before="209"/>
        <w:ind w:left="23"/>
        <w:rPr>
          <w:rFonts w:ascii="Tahoma" w:hAnsi="Tahoma"/>
          <w:b/>
          <w:sz w:val="24"/>
        </w:rPr>
      </w:pPr>
      <w:proofErr w:type="spellStart"/>
      <w:r>
        <w:rPr>
          <w:rFonts w:ascii="Tahoma" w:hAnsi="Tahoma"/>
          <w:b/>
          <w:w w:val="90"/>
          <w:sz w:val="24"/>
        </w:rPr>
        <w:t>Ǫuestion</w:t>
      </w:r>
      <w:proofErr w:type="spellEnd"/>
      <w:r>
        <w:rPr>
          <w:rFonts w:ascii="Tahoma" w:hAnsi="Tahoma"/>
          <w:b/>
          <w:spacing w:val="-7"/>
          <w:sz w:val="24"/>
        </w:rPr>
        <w:t xml:space="preserve"> 1:</w:t>
      </w:r>
    </w:p>
    <w:p w14:paraId="6BB126D5" w14:textId="277AE6DF" w:rsidR="00094A54" w:rsidRDefault="00040B35">
      <w:pPr>
        <w:pStyle w:val="BodyText"/>
        <w:spacing w:before="225" w:line="292" w:lineRule="auto"/>
      </w:pPr>
      <w:r>
        <w:rPr>
          <w:spacing w:val="-4"/>
        </w:rPr>
        <w:t>Explain</w:t>
      </w:r>
      <w:r>
        <w:rPr>
          <w:spacing w:val="-22"/>
        </w:rPr>
        <w:t xml:space="preserve"> </w:t>
      </w:r>
      <w:r>
        <w:rPr>
          <w:spacing w:val="-4"/>
        </w:rPr>
        <w:t>the</w:t>
      </w:r>
      <w:r>
        <w:rPr>
          <w:spacing w:val="-22"/>
        </w:rPr>
        <w:t xml:space="preserve"> </w:t>
      </w:r>
      <w:r>
        <w:rPr>
          <w:spacing w:val="-4"/>
        </w:rPr>
        <w:t>role</w:t>
      </w:r>
      <w:r>
        <w:rPr>
          <w:spacing w:val="-22"/>
        </w:rPr>
        <w:t xml:space="preserve"> </w:t>
      </w:r>
      <w:r>
        <w:rPr>
          <w:spacing w:val="-4"/>
        </w:rPr>
        <w:t>of</w:t>
      </w:r>
      <w:r>
        <w:rPr>
          <w:spacing w:val="-22"/>
        </w:rPr>
        <w:t xml:space="preserve"> </w:t>
      </w:r>
      <w:r>
        <w:rPr>
          <w:spacing w:val="-4"/>
        </w:rPr>
        <w:t>telomerase</w:t>
      </w:r>
      <w:r>
        <w:rPr>
          <w:spacing w:val="-22"/>
        </w:rPr>
        <w:t xml:space="preserve"> </w:t>
      </w:r>
      <w:r>
        <w:rPr>
          <w:spacing w:val="-4"/>
        </w:rPr>
        <w:t>in</w:t>
      </w:r>
      <w:r>
        <w:rPr>
          <w:spacing w:val="-22"/>
        </w:rPr>
        <w:t xml:space="preserve"> </w:t>
      </w:r>
      <w:r>
        <w:rPr>
          <w:spacing w:val="-4"/>
        </w:rPr>
        <w:t>the</w:t>
      </w:r>
      <w:r>
        <w:rPr>
          <w:spacing w:val="-22"/>
        </w:rPr>
        <w:t xml:space="preserve"> </w:t>
      </w:r>
      <w:r>
        <w:rPr>
          <w:spacing w:val="-4"/>
        </w:rPr>
        <w:t>maintenance</w:t>
      </w:r>
      <w:r>
        <w:rPr>
          <w:spacing w:val="-22"/>
        </w:rPr>
        <w:t xml:space="preserve"> </w:t>
      </w:r>
      <w:r>
        <w:rPr>
          <w:spacing w:val="-4"/>
        </w:rPr>
        <w:t>of</w:t>
      </w:r>
      <w:r>
        <w:rPr>
          <w:spacing w:val="-22"/>
        </w:rPr>
        <w:t xml:space="preserve"> </w:t>
      </w:r>
      <w:r>
        <w:rPr>
          <w:spacing w:val="-4"/>
        </w:rPr>
        <w:t>eukaryotic</w:t>
      </w:r>
      <w:r>
        <w:rPr>
          <w:spacing w:val="-22"/>
        </w:rPr>
        <w:t xml:space="preserve"> </w:t>
      </w:r>
      <w:r>
        <w:rPr>
          <w:spacing w:val="-4"/>
        </w:rPr>
        <w:t>chromosomes.</w:t>
      </w:r>
      <w:r>
        <w:rPr>
          <w:spacing w:val="-22"/>
        </w:rPr>
        <w:t xml:space="preserve"> </w:t>
      </w:r>
      <w:r>
        <w:rPr>
          <w:spacing w:val="-4"/>
        </w:rPr>
        <w:t>Why</w:t>
      </w:r>
      <w:r>
        <w:rPr>
          <w:spacing w:val="-22"/>
        </w:rPr>
        <w:t xml:space="preserve"> </w:t>
      </w:r>
      <w:r>
        <w:rPr>
          <w:spacing w:val="-4"/>
        </w:rPr>
        <w:t>is</w:t>
      </w:r>
      <w:r>
        <w:rPr>
          <w:spacing w:val="-22"/>
        </w:rPr>
        <w:t xml:space="preserve"> </w:t>
      </w:r>
      <w:r>
        <w:rPr>
          <w:spacing w:val="-4"/>
        </w:rPr>
        <w:t xml:space="preserve">it </w:t>
      </w:r>
      <w:r>
        <w:t>essential</w:t>
      </w:r>
      <w:r>
        <w:rPr>
          <w:spacing w:val="-3"/>
        </w:rPr>
        <w:t xml:space="preserve"> </w:t>
      </w:r>
      <w:r>
        <w:t>for</w:t>
      </w:r>
      <w:r>
        <w:rPr>
          <w:spacing w:val="-2"/>
        </w:rPr>
        <w:t xml:space="preserve"> </w:t>
      </w:r>
      <w:r>
        <w:t>cells</w:t>
      </w:r>
      <w:r>
        <w:rPr>
          <w:spacing w:val="-3"/>
        </w:rPr>
        <w:t xml:space="preserve"> </w:t>
      </w:r>
      <w:r>
        <w:t>with</w:t>
      </w:r>
      <w:r>
        <w:rPr>
          <w:spacing w:val="-3"/>
        </w:rPr>
        <w:t xml:space="preserve"> </w:t>
      </w:r>
      <w:r>
        <w:t>linear</w:t>
      </w:r>
      <w:r>
        <w:rPr>
          <w:spacing w:val="-2"/>
        </w:rPr>
        <w:t xml:space="preserve"> </w:t>
      </w:r>
      <w:r>
        <w:t>chromosomes?</w:t>
      </w:r>
    </w:p>
    <w:p w14:paraId="1080EA81" w14:textId="77777777" w:rsidR="00454E07" w:rsidRPr="00454E07" w:rsidRDefault="00454E07" w:rsidP="00454E07">
      <w:pPr>
        <w:pStyle w:val="BodyText"/>
        <w:numPr>
          <w:ilvl w:val="0"/>
          <w:numId w:val="1"/>
        </w:numPr>
        <w:spacing w:before="225" w:line="292" w:lineRule="auto"/>
        <w:rPr>
          <w:color w:val="1F497D" w:themeColor="text2"/>
        </w:rPr>
      </w:pPr>
      <w:r w:rsidRPr="00454E07">
        <w:rPr>
          <w:color w:val="1F497D" w:themeColor="text2"/>
        </w:rPr>
        <w:t xml:space="preserve">During each replication cycle the chromosomes are   shortened due to loss of the RNA primer. </w:t>
      </w:r>
    </w:p>
    <w:p w14:paraId="2181BDCA" w14:textId="57BEC4CF" w:rsidR="000E56D6" w:rsidRPr="00A71CD8" w:rsidRDefault="000E56D6" w:rsidP="000E56D6">
      <w:pPr>
        <w:pStyle w:val="BodyText"/>
        <w:numPr>
          <w:ilvl w:val="0"/>
          <w:numId w:val="1"/>
        </w:numPr>
        <w:spacing w:before="225" w:line="292" w:lineRule="auto"/>
        <w:rPr>
          <w:color w:val="1F497D" w:themeColor="text2"/>
        </w:rPr>
      </w:pPr>
      <w:r w:rsidRPr="000E56D6">
        <w:rPr>
          <w:color w:val="1F497D" w:themeColor="text2"/>
        </w:rPr>
        <w:t xml:space="preserve">Telomerase maintains eukaryotic chromosomes by cancelling out </w:t>
      </w:r>
      <w:r w:rsidR="00454E07">
        <w:rPr>
          <w:color w:val="1F497D" w:themeColor="text2"/>
        </w:rPr>
        <w:t xml:space="preserve">this loss. </w:t>
      </w:r>
      <w:r w:rsidRPr="000E56D6">
        <w:rPr>
          <w:color w:val="1F497D" w:themeColor="text2"/>
        </w:rPr>
        <w:t xml:space="preserve">It adds </w:t>
      </w:r>
      <w:r w:rsidR="00454E07">
        <w:rPr>
          <w:color w:val="1F497D" w:themeColor="text2"/>
        </w:rPr>
        <w:t>a few of</w:t>
      </w:r>
      <w:r w:rsidRPr="000E56D6">
        <w:rPr>
          <w:color w:val="1F497D" w:themeColor="text2"/>
        </w:rPr>
        <w:t xml:space="preserve"> six-base pair sequences to the ends of chromosomes, preventing genetic material loss. Telomerase contains an RNA template that guides its activity, ensuring the </w:t>
      </w:r>
      <w:r w:rsidR="00BD2E65">
        <w:rPr>
          <w:color w:val="1F497D" w:themeColor="text2"/>
        </w:rPr>
        <w:t xml:space="preserve">genetic </w:t>
      </w:r>
      <w:r w:rsidRPr="000E56D6">
        <w:rPr>
          <w:color w:val="1F497D" w:themeColor="text2"/>
        </w:rPr>
        <w:t xml:space="preserve">stability and </w:t>
      </w:r>
      <w:r w:rsidR="00BD2E65">
        <w:rPr>
          <w:color w:val="1F497D" w:themeColor="text2"/>
        </w:rPr>
        <w:t xml:space="preserve">cell </w:t>
      </w:r>
      <w:r w:rsidRPr="000E56D6">
        <w:rPr>
          <w:color w:val="1F497D" w:themeColor="text2"/>
        </w:rPr>
        <w:t>longevity.</w:t>
      </w:r>
    </w:p>
    <w:p w14:paraId="062BAE6C" w14:textId="77777777" w:rsidR="00094A54" w:rsidRDefault="00040B35">
      <w:pPr>
        <w:pStyle w:val="Heading1"/>
      </w:pPr>
      <w:proofErr w:type="spellStart"/>
      <w:r>
        <w:rPr>
          <w:w w:val="90"/>
        </w:rPr>
        <w:t>Ǫuestion</w:t>
      </w:r>
      <w:proofErr w:type="spellEnd"/>
      <w:r>
        <w:rPr>
          <w:spacing w:val="-7"/>
        </w:rPr>
        <w:t xml:space="preserve"> 2:</w:t>
      </w:r>
    </w:p>
    <w:p w14:paraId="54CF0E38" w14:textId="4FEC9880" w:rsidR="00094A54" w:rsidRDefault="00040B35">
      <w:pPr>
        <w:pStyle w:val="BodyText"/>
        <w:spacing w:line="292" w:lineRule="auto"/>
      </w:pPr>
      <w:r>
        <w:rPr>
          <w:spacing w:val="-4"/>
        </w:rPr>
        <w:t>Describe</w:t>
      </w:r>
      <w:r>
        <w:rPr>
          <w:spacing w:val="-20"/>
        </w:rPr>
        <w:t xml:space="preserve"> </w:t>
      </w:r>
      <w:r>
        <w:rPr>
          <w:spacing w:val="-4"/>
        </w:rPr>
        <w:t>the</w:t>
      </w:r>
      <w:r>
        <w:rPr>
          <w:spacing w:val="-20"/>
        </w:rPr>
        <w:t xml:space="preserve"> </w:t>
      </w:r>
      <w:r>
        <w:rPr>
          <w:spacing w:val="-4"/>
        </w:rPr>
        <w:t>differences</w:t>
      </w:r>
      <w:r>
        <w:rPr>
          <w:spacing w:val="-20"/>
        </w:rPr>
        <w:t xml:space="preserve"> </w:t>
      </w:r>
      <w:r>
        <w:rPr>
          <w:spacing w:val="-4"/>
        </w:rPr>
        <w:t>between</w:t>
      </w:r>
      <w:r>
        <w:rPr>
          <w:spacing w:val="-19"/>
        </w:rPr>
        <w:t xml:space="preserve"> </w:t>
      </w:r>
      <w:r>
        <w:rPr>
          <w:spacing w:val="-4"/>
        </w:rPr>
        <w:t>eukaryotic</w:t>
      </w:r>
      <w:r>
        <w:rPr>
          <w:spacing w:val="-20"/>
        </w:rPr>
        <w:t xml:space="preserve"> </w:t>
      </w:r>
      <w:r>
        <w:rPr>
          <w:spacing w:val="-4"/>
        </w:rPr>
        <w:t>and</w:t>
      </w:r>
      <w:r>
        <w:rPr>
          <w:spacing w:val="-19"/>
        </w:rPr>
        <w:t xml:space="preserve"> </w:t>
      </w:r>
      <w:r>
        <w:rPr>
          <w:spacing w:val="-4"/>
        </w:rPr>
        <w:t>prokaryotic</w:t>
      </w:r>
      <w:r>
        <w:rPr>
          <w:spacing w:val="-20"/>
        </w:rPr>
        <w:t xml:space="preserve"> </w:t>
      </w:r>
      <w:r>
        <w:rPr>
          <w:spacing w:val="-4"/>
        </w:rPr>
        <w:t>transcription</w:t>
      </w:r>
      <w:r>
        <w:rPr>
          <w:spacing w:val="-20"/>
        </w:rPr>
        <w:t xml:space="preserve"> </w:t>
      </w:r>
      <w:r>
        <w:rPr>
          <w:spacing w:val="-4"/>
        </w:rPr>
        <w:t xml:space="preserve">processes, </w:t>
      </w:r>
      <w:r>
        <w:t>focusing</w:t>
      </w:r>
      <w:r>
        <w:rPr>
          <w:spacing w:val="-16"/>
        </w:rPr>
        <w:t xml:space="preserve"> </w:t>
      </w:r>
      <w:r>
        <w:t>on</w:t>
      </w:r>
      <w:r>
        <w:rPr>
          <w:spacing w:val="-17"/>
        </w:rPr>
        <w:t xml:space="preserve"> </w:t>
      </w:r>
      <w:r>
        <w:t>the</w:t>
      </w:r>
      <w:r>
        <w:rPr>
          <w:spacing w:val="-17"/>
        </w:rPr>
        <w:t xml:space="preserve"> </w:t>
      </w:r>
      <w:r>
        <w:t>role</w:t>
      </w:r>
      <w:r>
        <w:rPr>
          <w:spacing w:val="-17"/>
        </w:rPr>
        <w:t xml:space="preserve"> </w:t>
      </w:r>
      <w:r>
        <w:t>of</w:t>
      </w:r>
      <w:r>
        <w:rPr>
          <w:spacing w:val="-17"/>
        </w:rPr>
        <w:t xml:space="preserve"> </w:t>
      </w:r>
      <w:r>
        <w:t>RNA</w:t>
      </w:r>
      <w:r>
        <w:rPr>
          <w:spacing w:val="-16"/>
        </w:rPr>
        <w:t xml:space="preserve"> </w:t>
      </w:r>
      <w:r>
        <w:t>polymerases</w:t>
      </w:r>
      <w:r>
        <w:rPr>
          <w:spacing w:val="-17"/>
        </w:rPr>
        <w:t xml:space="preserve"> </w:t>
      </w:r>
      <w:r>
        <w:t>and</w:t>
      </w:r>
      <w:r>
        <w:rPr>
          <w:spacing w:val="-16"/>
        </w:rPr>
        <w:t xml:space="preserve"> </w:t>
      </w:r>
      <w:r>
        <w:t>promoters.</w:t>
      </w:r>
    </w:p>
    <w:tbl>
      <w:tblPr>
        <w:tblStyle w:val="TableGrid"/>
        <w:tblW w:w="0" w:type="auto"/>
        <w:tblInd w:w="23" w:type="dxa"/>
        <w:tblLook w:val="04A0" w:firstRow="1" w:lastRow="0" w:firstColumn="1" w:lastColumn="0" w:noHBand="0" w:noVBand="1"/>
      </w:tblPr>
      <w:tblGrid>
        <w:gridCol w:w="4635"/>
        <w:gridCol w:w="4634"/>
      </w:tblGrid>
      <w:tr w:rsidR="00454E07" w14:paraId="1B4BDB7B" w14:textId="77777777" w:rsidTr="00BD2E65">
        <w:tc>
          <w:tcPr>
            <w:tcW w:w="4635" w:type="dxa"/>
          </w:tcPr>
          <w:p w14:paraId="1219A8A9" w14:textId="09EAE08C" w:rsidR="00454E07" w:rsidRDefault="00454E07" w:rsidP="00454E07">
            <w:pPr>
              <w:pStyle w:val="BodyText"/>
              <w:spacing w:line="292" w:lineRule="auto"/>
              <w:ind w:left="0"/>
              <w:jc w:val="center"/>
            </w:pPr>
            <w:r>
              <w:t>Eukaryotic transcription</w:t>
            </w:r>
          </w:p>
        </w:tc>
        <w:tc>
          <w:tcPr>
            <w:tcW w:w="4634" w:type="dxa"/>
          </w:tcPr>
          <w:p w14:paraId="7D6809C6" w14:textId="234DFAEF" w:rsidR="00454E07" w:rsidRDefault="00454E07" w:rsidP="00454E07">
            <w:pPr>
              <w:pStyle w:val="BodyText"/>
              <w:spacing w:line="292" w:lineRule="auto"/>
              <w:ind w:left="0"/>
              <w:jc w:val="center"/>
            </w:pPr>
            <w:r>
              <w:t>Prokaryotic transcription</w:t>
            </w:r>
          </w:p>
        </w:tc>
      </w:tr>
      <w:tr w:rsidR="00454E07" w14:paraId="2D77CA73" w14:textId="77777777" w:rsidTr="00BD2E65">
        <w:tc>
          <w:tcPr>
            <w:tcW w:w="4635" w:type="dxa"/>
          </w:tcPr>
          <w:p w14:paraId="482FBC8C" w14:textId="794180B1" w:rsidR="00454E07" w:rsidRPr="00380236" w:rsidRDefault="00380236">
            <w:pPr>
              <w:pStyle w:val="BodyText"/>
              <w:spacing w:line="292" w:lineRule="auto"/>
              <w:ind w:left="0"/>
              <w:rPr>
                <w:color w:val="1F497D" w:themeColor="text2"/>
              </w:rPr>
            </w:pPr>
            <w:r w:rsidRPr="00380236">
              <w:rPr>
                <w:color w:val="1F497D" w:themeColor="text2"/>
              </w:rPr>
              <w:t>Have multiple types of RNA polymerases (I, II, and III), each responsible for transcribing different types of RNA. RNA polymerase II, for example, primarily transcribes mRNA.</w:t>
            </w:r>
          </w:p>
        </w:tc>
        <w:tc>
          <w:tcPr>
            <w:tcW w:w="4634" w:type="dxa"/>
          </w:tcPr>
          <w:p w14:paraId="6A612FE8" w14:textId="24648761" w:rsidR="00454E07" w:rsidRPr="00380236" w:rsidRDefault="003535DB">
            <w:pPr>
              <w:pStyle w:val="BodyText"/>
              <w:spacing w:line="292" w:lineRule="auto"/>
              <w:ind w:left="0"/>
              <w:rPr>
                <w:color w:val="1F497D" w:themeColor="text2"/>
              </w:rPr>
            </w:pPr>
            <w:r w:rsidRPr="00380236">
              <w:rPr>
                <w:color w:val="1F497D" w:themeColor="text2"/>
              </w:rPr>
              <w:t>Utilize a single RNA polymerase that synthesizes all types of RNA (mRNA, tRNA, rRNA) from a single core enzyme.</w:t>
            </w:r>
          </w:p>
        </w:tc>
      </w:tr>
      <w:tr w:rsidR="00454E07" w14:paraId="0732CDBF" w14:textId="77777777" w:rsidTr="00BD2E65">
        <w:tc>
          <w:tcPr>
            <w:tcW w:w="4635" w:type="dxa"/>
          </w:tcPr>
          <w:p w14:paraId="679E5838" w14:textId="5C88AB37" w:rsidR="00454E07" w:rsidRPr="00380236" w:rsidRDefault="00380236">
            <w:pPr>
              <w:pStyle w:val="BodyText"/>
              <w:spacing w:line="292" w:lineRule="auto"/>
              <w:ind w:left="0"/>
              <w:rPr>
                <w:color w:val="1F497D" w:themeColor="text2"/>
              </w:rPr>
            </w:pPr>
            <w:r w:rsidRPr="00380236">
              <w:rPr>
                <w:color w:val="1F497D" w:themeColor="text2"/>
              </w:rPr>
              <w:t>Promoters are more complex and include a variety of regulatory elements (e.g., TATA box, enhancers, and silencers) that recruit multiple transcription factors and the RNA polymerase II complex.</w:t>
            </w:r>
          </w:p>
        </w:tc>
        <w:tc>
          <w:tcPr>
            <w:tcW w:w="4634" w:type="dxa"/>
          </w:tcPr>
          <w:p w14:paraId="40AB5042" w14:textId="70A019F7" w:rsidR="00454E07" w:rsidRPr="00380236" w:rsidRDefault="00380236">
            <w:pPr>
              <w:pStyle w:val="BodyText"/>
              <w:spacing w:line="292" w:lineRule="auto"/>
              <w:ind w:left="0"/>
              <w:rPr>
                <w:color w:val="1F497D" w:themeColor="text2"/>
              </w:rPr>
            </w:pPr>
            <w:r w:rsidRPr="00380236">
              <w:rPr>
                <w:color w:val="1F497D" w:themeColor="text2"/>
              </w:rPr>
              <w:t>Have simple, well-defined promoters, such as the -35 and -10 regions, where RNA polymerase binds directly.</w:t>
            </w:r>
          </w:p>
        </w:tc>
      </w:tr>
    </w:tbl>
    <w:p w14:paraId="42A354CB" w14:textId="7D539FCA" w:rsidR="00454E07" w:rsidRDefault="00454E07" w:rsidP="00BD2E65">
      <w:pPr>
        <w:pStyle w:val="BodyText"/>
        <w:spacing w:line="292" w:lineRule="auto"/>
        <w:ind w:left="0"/>
      </w:pPr>
    </w:p>
    <w:p w14:paraId="0C2613FA" w14:textId="2BD92095" w:rsidR="00BD2E65" w:rsidRDefault="00BD2E65" w:rsidP="00BD2E65">
      <w:pPr>
        <w:pStyle w:val="BodyText"/>
        <w:spacing w:line="292" w:lineRule="auto"/>
        <w:ind w:left="0"/>
      </w:pPr>
    </w:p>
    <w:p w14:paraId="43C3C7E6" w14:textId="48D89F3E" w:rsidR="00BD2E65" w:rsidRDefault="00BD2E65" w:rsidP="00BD2E65">
      <w:pPr>
        <w:pStyle w:val="BodyText"/>
        <w:spacing w:line="292" w:lineRule="auto"/>
        <w:ind w:left="0"/>
      </w:pPr>
    </w:p>
    <w:p w14:paraId="3961DB73" w14:textId="77777777" w:rsidR="00BD2E65" w:rsidRDefault="00BD2E65" w:rsidP="00BD2E65">
      <w:pPr>
        <w:pStyle w:val="BodyText"/>
        <w:spacing w:line="292" w:lineRule="auto"/>
        <w:ind w:left="0"/>
      </w:pPr>
    </w:p>
    <w:p w14:paraId="4CA6F765" w14:textId="77777777" w:rsidR="00AF2524" w:rsidRDefault="00AF2524">
      <w:pPr>
        <w:pStyle w:val="Heading1"/>
        <w:rPr>
          <w:w w:val="90"/>
        </w:rPr>
      </w:pPr>
    </w:p>
    <w:p w14:paraId="5BA1C5FC" w14:textId="77777777" w:rsidR="00AF2524" w:rsidRDefault="00AF2524">
      <w:pPr>
        <w:pStyle w:val="Heading1"/>
        <w:rPr>
          <w:w w:val="90"/>
        </w:rPr>
      </w:pPr>
    </w:p>
    <w:p w14:paraId="5F35301D" w14:textId="77777777" w:rsidR="00AF2524" w:rsidRDefault="00AF2524">
      <w:pPr>
        <w:pStyle w:val="Heading1"/>
        <w:rPr>
          <w:w w:val="90"/>
        </w:rPr>
      </w:pPr>
    </w:p>
    <w:p w14:paraId="53FBC2E8" w14:textId="77777777" w:rsidR="00AF2524" w:rsidRDefault="00AF2524">
      <w:pPr>
        <w:pStyle w:val="Heading1"/>
        <w:rPr>
          <w:w w:val="90"/>
        </w:rPr>
      </w:pPr>
    </w:p>
    <w:p w14:paraId="1B8E99BA" w14:textId="77777777" w:rsidR="00AF2524" w:rsidRDefault="00AF2524">
      <w:pPr>
        <w:pStyle w:val="Heading1"/>
        <w:rPr>
          <w:w w:val="90"/>
        </w:rPr>
      </w:pPr>
    </w:p>
    <w:p w14:paraId="11B10D34" w14:textId="77777777" w:rsidR="00AF2524" w:rsidRDefault="00AF2524">
      <w:pPr>
        <w:pStyle w:val="Heading1"/>
        <w:rPr>
          <w:w w:val="90"/>
        </w:rPr>
      </w:pPr>
    </w:p>
    <w:p w14:paraId="266161E6" w14:textId="48AC366F" w:rsidR="00094A54" w:rsidRDefault="00040B35">
      <w:pPr>
        <w:pStyle w:val="Heading1"/>
      </w:pPr>
      <w:proofErr w:type="spellStart"/>
      <w:r>
        <w:rPr>
          <w:w w:val="90"/>
        </w:rPr>
        <w:lastRenderedPageBreak/>
        <w:t>Ǫuestion</w:t>
      </w:r>
      <w:proofErr w:type="spellEnd"/>
      <w:r>
        <w:rPr>
          <w:spacing w:val="-7"/>
        </w:rPr>
        <w:t xml:space="preserve"> 3:</w:t>
      </w:r>
    </w:p>
    <w:p w14:paraId="00F56915" w14:textId="1AA380B2" w:rsidR="00094A54" w:rsidRDefault="00040B35">
      <w:pPr>
        <w:pStyle w:val="BodyText"/>
        <w:spacing w:line="292" w:lineRule="auto"/>
      </w:pPr>
      <w:r>
        <w:rPr>
          <w:spacing w:val="-4"/>
        </w:rPr>
        <w:t>What</w:t>
      </w:r>
      <w:r>
        <w:rPr>
          <w:spacing w:val="-16"/>
        </w:rPr>
        <w:t xml:space="preserve"> </w:t>
      </w:r>
      <w:r>
        <w:rPr>
          <w:spacing w:val="-4"/>
        </w:rPr>
        <w:t>is</w:t>
      </w:r>
      <w:r>
        <w:rPr>
          <w:spacing w:val="-17"/>
        </w:rPr>
        <w:t xml:space="preserve"> </w:t>
      </w:r>
      <w:r>
        <w:rPr>
          <w:spacing w:val="-4"/>
        </w:rPr>
        <w:t>the</w:t>
      </w:r>
      <w:r>
        <w:rPr>
          <w:spacing w:val="-17"/>
        </w:rPr>
        <w:t xml:space="preserve"> </w:t>
      </w:r>
      <w:r>
        <w:rPr>
          <w:spacing w:val="-4"/>
        </w:rPr>
        <w:t>significance</w:t>
      </w:r>
      <w:r>
        <w:rPr>
          <w:spacing w:val="-17"/>
        </w:rPr>
        <w:t xml:space="preserve"> </w:t>
      </w:r>
      <w:r>
        <w:rPr>
          <w:spacing w:val="-4"/>
        </w:rPr>
        <w:t>of</w:t>
      </w:r>
      <w:r>
        <w:rPr>
          <w:spacing w:val="-17"/>
        </w:rPr>
        <w:t xml:space="preserve"> </w:t>
      </w:r>
      <w:r>
        <w:rPr>
          <w:spacing w:val="-4"/>
        </w:rPr>
        <w:t>RNA</w:t>
      </w:r>
      <w:r>
        <w:rPr>
          <w:spacing w:val="-16"/>
        </w:rPr>
        <w:t xml:space="preserve"> </w:t>
      </w:r>
      <w:r>
        <w:rPr>
          <w:spacing w:val="-4"/>
        </w:rPr>
        <w:t>splicing</w:t>
      </w:r>
      <w:r>
        <w:rPr>
          <w:spacing w:val="-16"/>
        </w:rPr>
        <w:t xml:space="preserve"> </w:t>
      </w:r>
      <w:r>
        <w:rPr>
          <w:spacing w:val="-4"/>
        </w:rPr>
        <w:t>in</w:t>
      </w:r>
      <w:r>
        <w:rPr>
          <w:spacing w:val="-17"/>
        </w:rPr>
        <w:t xml:space="preserve"> </w:t>
      </w:r>
      <w:r>
        <w:rPr>
          <w:spacing w:val="-4"/>
        </w:rPr>
        <w:t>eukaryotic</w:t>
      </w:r>
      <w:r>
        <w:rPr>
          <w:spacing w:val="-17"/>
        </w:rPr>
        <w:t xml:space="preserve"> </w:t>
      </w:r>
      <w:r>
        <w:rPr>
          <w:spacing w:val="-4"/>
        </w:rPr>
        <w:t>gene</w:t>
      </w:r>
      <w:r>
        <w:rPr>
          <w:spacing w:val="-17"/>
        </w:rPr>
        <w:t xml:space="preserve"> </w:t>
      </w:r>
      <w:r>
        <w:rPr>
          <w:spacing w:val="-4"/>
        </w:rPr>
        <w:t>expression,</w:t>
      </w:r>
      <w:r>
        <w:rPr>
          <w:spacing w:val="-17"/>
        </w:rPr>
        <w:t xml:space="preserve"> </w:t>
      </w:r>
      <w:r>
        <w:rPr>
          <w:spacing w:val="-4"/>
        </w:rPr>
        <w:t>and</w:t>
      </w:r>
      <w:r>
        <w:rPr>
          <w:spacing w:val="-17"/>
        </w:rPr>
        <w:t xml:space="preserve"> </w:t>
      </w:r>
      <w:r>
        <w:rPr>
          <w:spacing w:val="-4"/>
        </w:rPr>
        <w:t>how</w:t>
      </w:r>
      <w:r>
        <w:rPr>
          <w:spacing w:val="-16"/>
        </w:rPr>
        <w:t xml:space="preserve"> </w:t>
      </w:r>
      <w:r>
        <w:rPr>
          <w:spacing w:val="-4"/>
        </w:rPr>
        <w:t>does</w:t>
      </w:r>
      <w:r>
        <w:rPr>
          <w:spacing w:val="-17"/>
        </w:rPr>
        <w:t xml:space="preserve"> </w:t>
      </w:r>
      <w:r>
        <w:rPr>
          <w:spacing w:val="-4"/>
        </w:rPr>
        <w:t xml:space="preserve">it </w:t>
      </w:r>
      <w:r>
        <w:t>differ</w:t>
      </w:r>
      <w:r>
        <w:rPr>
          <w:spacing w:val="-23"/>
        </w:rPr>
        <w:t xml:space="preserve"> </w:t>
      </w:r>
      <w:r>
        <w:t>from</w:t>
      </w:r>
      <w:r>
        <w:rPr>
          <w:spacing w:val="-23"/>
        </w:rPr>
        <w:t xml:space="preserve"> </w:t>
      </w:r>
      <w:r>
        <w:t>the</w:t>
      </w:r>
      <w:r>
        <w:rPr>
          <w:spacing w:val="-24"/>
        </w:rPr>
        <w:t xml:space="preserve"> </w:t>
      </w:r>
      <w:r>
        <w:t>transcription</w:t>
      </w:r>
      <w:r>
        <w:rPr>
          <w:spacing w:val="-24"/>
        </w:rPr>
        <w:t xml:space="preserve"> </w:t>
      </w:r>
      <w:r>
        <w:t>process</w:t>
      </w:r>
      <w:r>
        <w:rPr>
          <w:spacing w:val="-24"/>
        </w:rPr>
        <w:t xml:space="preserve"> </w:t>
      </w:r>
      <w:r>
        <w:t>in</w:t>
      </w:r>
      <w:r>
        <w:rPr>
          <w:spacing w:val="-24"/>
        </w:rPr>
        <w:t xml:space="preserve"> </w:t>
      </w:r>
      <w:r>
        <w:t>prokaryotes?</w:t>
      </w:r>
    </w:p>
    <w:p w14:paraId="1D2A1948" w14:textId="46F0AF15" w:rsidR="00BD2E65" w:rsidRPr="00BD2E65" w:rsidRDefault="00BD2E65" w:rsidP="00BD2E65">
      <w:pPr>
        <w:pStyle w:val="ListParagraph"/>
        <w:widowControl/>
        <w:numPr>
          <w:ilvl w:val="0"/>
          <w:numId w:val="1"/>
        </w:numPr>
        <w:autoSpaceDE/>
        <w:autoSpaceDN/>
        <w:spacing w:before="100" w:beforeAutospacing="1" w:after="100" w:afterAutospacing="1"/>
        <w:rPr>
          <w:rFonts w:eastAsia="Times New Roman" w:cs="Times New Roman"/>
          <w:color w:val="1F497D" w:themeColor="text2"/>
          <w:sz w:val="24"/>
          <w:szCs w:val="24"/>
        </w:rPr>
      </w:pPr>
      <w:r w:rsidRPr="00BD2E65">
        <w:rPr>
          <w:rFonts w:eastAsia="Times New Roman" w:cs="Times New Roman"/>
          <w:color w:val="1F497D" w:themeColor="text2"/>
          <w:sz w:val="24"/>
          <w:szCs w:val="24"/>
        </w:rPr>
        <w:t>RNA splicing in eukaryotes removes introns and joins exons to form mature mRNA, enabling alternative splicing. Prokaryotes lack introns, so splicing isn’t required. Transcription and translation are separate in eukaryotes but simultaneous in prokaryotes</w:t>
      </w:r>
      <w:r w:rsidRPr="00BD2E65">
        <w:rPr>
          <w:rFonts w:eastAsia="Times New Roman" w:cs="Times New Roman"/>
          <w:color w:val="1F497D" w:themeColor="text2"/>
          <w:sz w:val="24"/>
          <w:szCs w:val="24"/>
        </w:rPr>
        <w:t>.</w:t>
      </w:r>
    </w:p>
    <w:p w14:paraId="61CD0AC4" w14:textId="7A2CA104" w:rsidR="00094A54" w:rsidRDefault="00040B35">
      <w:pPr>
        <w:pStyle w:val="Heading1"/>
      </w:pPr>
      <w:proofErr w:type="spellStart"/>
      <w:r>
        <w:rPr>
          <w:w w:val="90"/>
        </w:rPr>
        <w:t>Ǫuestion</w:t>
      </w:r>
      <w:proofErr w:type="spellEnd"/>
      <w:r>
        <w:rPr>
          <w:spacing w:val="-7"/>
        </w:rPr>
        <w:t xml:space="preserve"> 4:</w:t>
      </w:r>
    </w:p>
    <w:p w14:paraId="1222EDA1" w14:textId="09F26D28" w:rsidR="00094A54" w:rsidRDefault="00040B35">
      <w:pPr>
        <w:pStyle w:val="BodyText"/>
        <w:spacing w:before="225" w:line="292" w:lineRule="auto"/>
        <w:ind w:right="16"/>
      </w:pPr>
      <w:r>
        <w:rPr>
          <w:spacing w:val="-4"/>
        </w:rPr>
        <w:t>How</w:t>
      </w:r>
      <w:r>
        <w:rPr>
          <w:spacing w:val="-24"/>
        </w:rPr>
        <w:t xml:space="preserve"> </w:t>
      </w:r>
      <w:r>
        <w:rPr>
          <w:spacing w:val="-4"/>
        </w:rPr>
        <w:t>do</w:t>
      </w:r>
      <w:r>
        <w:rPr>
          <w:spacing w:val="-24"/>
        </w:rPr>
        <w:t xml:space="preserve"> </w:t>
      </w:r>
      <w:r>
        <w:rPr>
          <w:spacing w:val="-4"/>
        </w:rPr>
        <w:t>enhancers</w:t>
      </w:r>
      <w:r>
        <w:rPr>
          <w:spacing w:val="-24"/>
        </w:rPr>
        <w:t xml:space="preserve"> </w:t>
      </w:r>
      <w:r>
        <w:rPr>
          <w:spacing w:val="-4"/>
        </w:rPr>
        <w:t>and</w:t>
      </w:r>
      <w:r>
        <w:rPr>
          <w:spacing w:val="-23"/>
        </w:rPr>
        <w:t xml:space="preserve"> </w:t>
      </w:r>
      <w:r>
        <w:rPr>
          <w:spacing w:val="-4"/>
        </w:rPr>
        <w:t>transcription</w:t>
      </w:r>
      <w:r>
        <w:rPr>
          <w:spacing w:val="-24"/>
        </w:rPr>
        <w:t xml:space="preserve"> </w:t>
      </w:r>
      <w:r>
        <w:rPr>
          <w:spacing w:val="-4"/>
        </w:rPr>
        <w:t>factors</w:t>
      </w:r>
      <w:r>
        <w:rPr>
          <w:spacing w:val="-24"/>
        </w:rPr>
        <w:t xml:space="preserve"> </w:t>
      </w:r>
      <w:r>
        <w:rPr>
          <w:spacing w:val="-4"/>
        </w:rPr>
        <w:t>work</w:t>
      </w:r>
      <w:r>
        <w:rPr>
          <w:spacing w:val="-24"/>
        </w:rPr>
        <w:t xml:space="preserve"> </w:t>
      </w:r>
      <w:r>
        <w:rPr>
          <w:spacing w:val="-4"/>
        </w:rPr>
        <w:t>together</w:t>
      </w:r>
      <w:r>
        <w:rPr>
          <w:spacing w:val="-23"/>
        </w:rPr>
        <w:t xml:space="preserve"> </w:t>
      </w:r>
      <w:r>
        <w:rPr>
          <w:spacing w:val="-4"/>
        </w:rPr>
        <w:t>in</w:t>
      </w:r>
      <w:r>
        <w:rPr>
          <w:spacing w:val="-24"/>
        </w:rPr>
        <w:t xml:space="preserve"> </w:t>
      </w:r>
      <w:r>
        <w:rPr>
          <w:spacing w:val="-4"/>
        </w:rPr>
        <w:t>the</w:t>
      </w:r>
      <w:r>
        <w:rPr>
          <w:spacing w:val="-24"/>
        </w:rPr>
        <w:t xml:space="preserve"> </w:t>
      </w:r>
      <w:r>
        <w:rPr>
          <w:spacing w:val="-4"/>
        </w:rPr>
        <w:t>regulation</w:t>
      </w:r>
      <w:r>
        <w:rPr>
          <w:spacing w:val="-24"/>
        </w:rPr>
        <w:t xml:space="preserve"> </w:t>
      </w:r>
      <w:r>
        <w:rPr>
          <w:spacing w:val="-4"/>
        </w:rPr>
        <w:t xml:space="preserve">of </w:t>
      </w:r>
      <w:r>
        <w:t>eukaryotic gene expression?</w:t>
      </w:r>
    </w:p>
    <w:p w14:paraId="34525DD1" w14:textId="0956F4E3" w:rsidR="00AF2524" w:rsidRPr="00BD2E65" w:rsidRDefault="00BD2E65" w:rsidP="00BD2E65">
      <w:pPr>
        <w:pStyle w:val="ListParagraph"/>
        <w:widowControl/>
        <w:numPr>
          <w:ilvl w:val="0"/>
          <w:numId w:val="1"/>
        </w:numPr>
        <w:autoSpaceDE/>
        <w:autoSpaceDN/>
        <w:spacing w:before="100" w:beforeAutospacing="1" w:after="100" w:afterAutospacing="1"/>
        <w:rPr>
          <w:rFonts w:eastAsia="Times New Roman" w:cs="Times New Roman"/>
          <w:color w:val="1F497D" w:themeColor="text2"/>
          <w:sz w:val="24"/>
          <w:szCs w:val="24"/>
        </w:rPr>
      </w:pPr>
      <w:r w:rsidRPr="00BD2E65">
        <w:rPr>
          <w:rFonts w:eastAsia="Times New Roman" w:cs="Times New Roman"/>
          <w:color w:val="1F497D" w:themeColor="text2"/>
          <w:sz w:val="24"/>
          <w:szCs w:val="24"/>
        </w:rPr>
        <w:t>Enhancers bind transcription factors to recruit RNA polymerase II to promoters, regulating gene expression. They work over distances by looping DNA to enable precise control based on cellular signals</w:t>
      </w:r>
      <w:r>
        <w:rPr>
          <w:rFonts w:eastAsia="Times New Roman" w:cs="Times New Roman"/>
          <w:color w:val="1F497D" w:themeColor="text2"/>
          <w:sz w:val="24"/>
          <w:szCs w:val="24"/>
        </w:rPr>
        <w:t>.</w:t>
      </w:r>
    </w:p>
    <w:sectPr w:rsidR="00AF2524" w:rsidRPr="00BD2E65">
      <w:type w:val="continuous"/>
      <w:pgSz w:w="11910" w:h="16840"/>
      <w:pgMar w:top="134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rebuchet MS">
    <w:altName w:val="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7335F"/>
    <w:multiLevelType w:val="hybridMultilevel"/>
    <w:tmpl w:val="77989E9C"/>
    <w:lvl w:ilvl="0" w:tplc="A2D083C4">
      <w:numFmt w:val="bullet"/>
      <w:lvlText w:val="-"/>
      <w:lvlJc w:val="left"/>
      <w:pPr>
        <w:ind w:left="383" w:hanging="360"/>
      </w:pPr>
      <w:rPr>
        <w:rFonts w:ascii="Trebuchet MS" w:eastAsia="Trebuchet MS" w:hAnsi="Trebuchet MS" w:cs="Trebuchet MS" w:hint="default"/>
      </w:rPr>
    </w:lvl>
    <w:lvl w:ilvl="1" w:tplc="04090003" w:tentative="1">
      <w:start w:val="1"/>
      <w:numFmt w:val="bullet"/>
      <w:lvlText w:val="o"/>
      <w:lvlJc w:val="left"/>
      <w:pPr>
        <w:ind w:left="1103" w:hanging="360"/>
      </w:pPr>
      <w:rPr>
        <w:rFonts w:ascii="Courier New" w:hAnsi="Courier New" w:cs="Courier New" w:hint="default"/>
      </w:rPr>
    </w:lvl>
    <w:lvl w:ilvl="2" w:tplc="04090005" w:tentative="1">
      <w:start w:val="1"/>
      <w:numFmt w:val="bullet"/>
      <w:lvlText w:val=""/>
      <w:lvlJc w:val="left"/>
      <w:pPr>
        <w:ind w:left="1823" w:hanging="360"/>
      </w:pPr>
      <w:rPr>
        <w:rFonts w:ascii="Wingdings" w:hAnsi="Wingdings" w:hint="default"/>
      </w:rPr>
    </w:lvl>
    <w:lvl w:ilvl="3" w:tplc="04090001" w:tentative="1">
      <w:start w:val="1"/>
      <w:numFmt w:val="bullet"/>
      <w:lvlText w:val=""/>
      <w:lvlJc w:val="left"/>
      <w:pPr>
        <w:ind w:left="2543" w:hanging="360"/>
      </w:pPr>
      <w:rPr>
        <w:rFonts w:ascii="Symbol" w:hAnsi="Symbol" w:hint="default"/>
      </w:rPr>
    </w:lvl>
    <w:lvl w:ilvl="4" w:tplc="04090003" w:tentative="1">
      <w:start w:val="1"/>
      <w:numFmt w:val="bullet"/>
      <w:lvlText w:val="o"/>
      <w:lvlJc w:val="left"/>
      <w:pPr>
        <w:ind w:left="3263" w:hanging="360"/>
      </w:pPr>
      <w:rPr>
        <w:rFonts w:ascii="Courier New" w:hAnsi="Courier New" w:cs="Courier New" w:hint="default"/>
      </w:rPr>
    </w:lvl>
    <w:lvl w:ilvl="5" w:tplc="04090005" w:tentative="1">
      <w:start w:val="1"/>
      <w:numFmt w:val="bullet"/>
      <w:lvlText w:val=""/>
      <w:lvlJc w:val="left"/>
      <w:pPr>
        <w:ind w:left="3983" w:hanging="360"/>
      </w:pPr>
      <w:rPr>
        <w:rFonts w:ascii="Wingdings" w:hAnsi="Wingdings" w:hint="default"/>
      </w:rPr>
    </w:lvl>
    <w:lvl w:ilvl="6" w:tplc="04090001" w:tentative="1">
      <w:start w:val="1"/>
      <w:numFmt w:val="bullet"/>
      <w:lvlText w:val=""/>
      <w:lvlJc w:val="left"/>
      <w:pPr>
        <w:ind w:left="4703" w:hanging="360"/>
      </w:pPr>
      <w:rPr>
        <w:rFonts w:ascii="Symbol" w:hAnsi="Symbol" w:hint="default"/>
      </w:rPr>
    </w:lvl>
    <w:lvl w:ilvl="7" w:tplc="04090003" w:tentative="1">
      <w:start w:val="1"/>
      <w:numFmt w:val="bullet"/>
      <w:lvlText w:val="o"/>
      <w:lvlJc w:val="left"/>
      <w:pPr>
        <w:ind w:left="5423" w:hanging="360"/>
      </w:pPr>
      <w:rPr>
        <w:rFonts w:ascii="Courier New" w:hAnsi="Courier New" w:cs="Courier New" w:hint="default"/>
      </w:rPr>
    </w:lvl>
    <w:lvl w:ilvl="8" w:tplc="04090005" w:tentative="1">
      <w:start w:val="1"/>
      <w:numFmt w:val="bullet"/>
      <w:lvlText w:val=""/>
      <w:lvlJc w:val="left"/>
      <w:pPr>
        <w:ind w:left="6143" w:hanging="360"/>
      </w:pPr>
      <w:rPr>
        <w:rFonts w:ascii="Wingdings" w:hAnsi="Wingdings" w:hint="default"/>
      </w:rPr>
    </w:lvl>
  </w:abstractNum>
  <w:abstractNum w:abstractNumId="1" w15:restartNumberingAfterBreak="0">
    <w:nsid w:val="42075198"/>
    <w:multiLevelType w:val="hybridMultilevel"/>
    <w:tmpl w:val="008E7DE0"/>
    <w:lvl w:ilvl="0" w:tplc="7ED4FE96">
      <w:start w:val="1"/>
      <w:numFmt w:val="bullet"/>
      <w:lvlText w:val="•"/>
      <w:lvlJc w:val="left"/>
      <w:pPr>
        <w:tabs>
          <w:tab w:val="num" w:pos="720"/>
        </w:tabs>
        <w:ind w:left="720" w:hanging="360"/>
      </w:pPr>
      <w:rPr>
        <w:rFonts w:ascii="Arial" w:hAnsi="Arial" w:hint="default"/>
      </w:rPr>
    </w:lvl>
    <w:lvl w:ilvl="1" w:tplc="7F16CE3A" w:tentative="1">
      <w:start w:val="1"/>
      <w:numFmt w:val="bullet"/>
      <w:lvlText w:val="•"/>
      <w:lvlJc w:val="left"/>
      <w:pPr>
        <w:tabs>
          <w:tab w:val="num" w:pos="1440"/>
        </w:tabs>
        <w:ind w:left="1440" w:hanging="360"/>
      </w:pPr>
      <w:rPr>
        <w:rFonts w:ascii="Arial" w:hAnsi="Arial" w:hint="default"/>
      </w:rPr>
    </w:lvl>
    <w:lvl w:ilvl="2" w:tplc="0F8A6254" w:tentative="1">
      <w:start w:val="1"/>
      <w:numFmt w:val="bullet"/>
      <w:lvlText w:val="•"/>
      <w:lvlJc w:val="left"/>
      <w:pPr>
        <w:tabs>
          <w:tab w:val="num" w:pos="2160"/>
        </w:tabs>
        <w:ind w:left="2160" w:hanging="360"/>
      </w:pPr>
      <w:rPr>
        <w:rFonts w:ascii="Arial" w:hAnsi="Arial" w:hint="default"/>
      </w:rPr>
    </w:lvl>
    <w:lvl w:ilvl="3" w:tplc="92509A7C" w:tentative="1">
      <w:start w:val="1"/>
      <w:numFmt w:val="bullet"/>
      <w:lvlText w:val="•"/>
      <w:lvlJc w:val="left"/>
      <w:pPr>
        <w:tabs>
          <w:tab w:val="num" w:pos="2880"/>
        </w:tabs>
        <w:ind w:left="2880" w:hanging="360"/>
      </w:pPr>
      <w:rPr>
        <w:rFonts w:ascii="Arial" w:hAnsi="Arial" w:hint="default"/>
      </w:rPr>
    </w:lvl>
    <w:lvl w:ilvl="4" w:tplc="151E98BA" w:tentative="1">
      <w:start w:val="1"/>
      <w:numFmt w:val="bullet"/>
      <w:lvlText w:val="•"/>
      <w:lvlJc w:val="left"/>
      <w:pPr>
        <w:tabs>
          <w:tab w:val="num" w:pos="3600"/>
        </w:tabs>
        <w:ind w:left="3600" w:hanging="360"/>
      </w:pPr>
      <w:rPr>
        <w:rFonts w:ascii="Arial" w:hAnsi="Arial" w:hint="default"/>
      </w:rPr>
    </w:lvl>
    <w:lvl w:ilvl="5" w:tplc="AFD2C22E" w:tentative="1">
      <w:start w:val="1"/>
      <w:numFmt w:val="bullet"/>
      <w:lvlText w:val="•"/>
      <w:lvlJc w:val="left"/>
      <w:pPr>
        <w:tabs>
          <w:tab w:val="num" w:pos="4320"/>
        </w:tabs>
        <w:ind w:left="4320" w:hanging="360"/>
      </w:pPr>
      <w:rPr>
        <w:rFonts w:ascii="Arial" w:hAnsi="Arial" w:hint="default"/>
      </w:rPr>
    </w:lvl>
    <w:lvl w:ilvl="6" w:tplc="14461B08" w:tentative="1">
      <w:start w:val="1"/>
      <w:numFmt w:val="bullet"/>
      <w:lvlText w:val="•"/>
      <w:lvlJc w:val="left"/>
      <w:pPr>
        <w:tabs>
          <w:tab w:val="num" w:pos="5040"/>
        </w:tabs>
        <w:ind w:left="5040" w:hanging="360"/>
      </w:pPr>
      <w:rPr>
        <w:rFonts w:ascii="Arial" w:hAnsi="Arial" w:hint="default"/>
      </w:rPr>
    </w:lvl>
    <w:lvl w:ilvl="7" w:tplc="642A312C" w:tentative="1">
      <w:start w:val="1"/>
      <w:numFmt w:val="bullet"/>
      <w:lvlText w:val="•"/>
      <w:lvlJc w:val="left"/>
      <w:pPr>
        <w:tabs>
          <w:tab w:val="num" w:pos="5760"/>
        </w:tabs>
        <w:ind w:left="5760" w:hanging="360"/>
      </w:pPr>
      <w:rPr>
        <w:rFonts w:ascii="Arial" w:hAnsi="Arial" w:hint="default"/>
      </w:rPr>
    </w:lvl>
    <w:lvl w:ilvl="8" w:tplc="B5B20CA8" w:tentative="1">
      <w:start w:val="1"/>
      <w:numFmt w:val="bullet"/>
      <w:lvlText w:val="•"/>
      <w:lvlJc w:val="left"/>
      <w:pPr>
        <w:tabs>
          <w:tab w:val="num" w:pos="6480"/>
        </w:tabs>
        <w:ind w:left="6480" w:hanging="360"/>
      </w:pPr>
      <w:rPr>
        <w:rFonts w:ascii="Arial" w:hAnsi="Arial"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94A54"/>
    <w:rsid w:val="00040B35"/>
    <w:rsid w:val="00094A54"/>
    <w:rsid w:val="000E56D6"/>
    <w:rsid w:val="003535DB"/>
    <w:rsid w:val="00380236"/>
    <w:rsid w:val="00454E07"/>
    <w:rsid w:val="00A71CD8"/>
    <w:rsid w:val="00AF2524"/>
    <w:rsid w:val="00B21687"/>
    <w:rsid w:val="00BD2E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D089C"/>
  <w15:docId w15:val="{DAE267B4-5C50-48E7-80C5-DDE7137E2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rPr>
  </w:style>
  <w:style w:type="paragraph" w:styleId="Heading1">
    <w:name w:val="heading 1"/>
    <w:basedOn w:val="Normal"/>
    <w:uiPriority w:val="9"/>
    <w:qFormat/>
    <w:pPr>
      <w:spacing w:before="144"/>
      <w:ind w:left="23"/>
      <w:outlineLvl w:val="0"/>
    </w:pPr>
    <w:rPr>
      <w:rFonts w:ascii="Tahoma" w:eastAsia="Tahoma" w:hAnsi="Tahoma" w:cs="Tahoma"/>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24"/>
      <w:ind w:left="23"/>
    </w:pPr>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39"/>
    <w:rsid w:val="00454E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F2524"/>
    <w:pPr>
      <w:widowControl/>
      <w:autoSpaceDE/>
      <w:autoSpaceDN/>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1539755">
      <w:bodyDiv w:val="1"/>
      <w:marLeft w:val="0"/>
      <w:marRight w:val="0"/>
      <w:marTop w:val="0"/>
      <w:marBottom w:val="0"/>
      <w:divBdr>
        <w:top w:val="none" w:sz="0" w:space="0" w:color="auto"/>
        <w:left w:val="none" w:sz="0" w:space="0" w:color="auto"/>
        <w:bottom w:val="none" w:sz="0" w:space="0" w:color="auto"/>
        <w:right w:val="none" w:sz="0" w:space="0" w:color="auto"/>
      </w:divBdr>
    </w:div>
    <w:div w:id="1187864896">
      <w:bodyDiv w:val="1"/>
      <w:marLeft w:val="0"/>
      <w:marRight w:val="0"/>
      <w:marTop w:val="0"/>
      <w:marBottom w:val="0"/>
      <w:divBdr>
        <w:top w:val="none" w:sz="0" w:space="0" w:color="auto"/>
        <w:left w:val="none" w:sz="0" w:space="0" w:color="auto"/>
        <w:bottom w:val="none" w:sz="0" w:space="0" w:color="auto"/>
        <w:right w:val="none" w:sz="0" w:space="0" w:color="auto"/>
      </w:divBdr>
    </w:div>
    <w:div w:id="1701661937">
      <w:bodyDiv w:val="1"/>
      <w:marLeft w:val="0"/>
      <w:marRight w:val="0"/>
      <w:marTop w:val="0"/>
      <w:marBottom w:val="0"/>
      <w:divBdr>
        <w:top w:val="none" w:sz="0" w:space="0" w:color="auto"/>
        <w:left w:val="none" w:sz="0" w:space="0" w:color="auto"/>
        <w:bottom w:val="none" w:sz="0" w:space="0" w:color="auto"/>
        <w:right w:val="none" w:sz="0" w:space="0" w:color="auto"/>
      </w:divBdr>
    </w:div>
    <w:div w:id="1742364851">
      <w:bodyDiv w:val="1"/>
      <w:marLeft w:val="0"/>
      <w:marRight w:val="0"/>
      <w:marTop w:val="0"/>
      <w:marBottom w:val="0"/>
      <w:divBdr>
        <w:top w:val="none" w:sz="0" w:space="0" w:color="auto"/>
        <w:left w:val="none" w:sz="0" w:space="0" w:color="auto"/>
        <w:bottom w:val="none" w:sz="0" w:space="0" w:color="auto"/>
        <w:right w:val="none" w:sz="0" w:space="0" w:color="auto"/>
      </w:divBdr>
      <w:divsChild>
        <w:div w:id="2100104518">
          <w:marLeft w:val="360"/>
          <w:marRight w:val="0"/>
          <w:marTop w:val="200"/>
          <w:marBottom w:val="0"/>
          <w:divBdr>
            <w:top w:val="none" w:sz="0" w:space="0" w:color="auto"/>
            <w:left w:val="none" w:sz="0" w:space="0" w:color="auto"/>
            <w:bottom w:val="none" w:sz="0" w:space="0" w:color="auto"/>
            <w:right w:val="none" w:sz="0" w:space="0" w:color="auto"/>
          </w:divBdr>
        </w:div>
        <w:div w:id="27874276">
          <w:marLeft w:val="360"/>
          <w:marRight w:val="0"/>
          <w:marTop w:val="200"/>
          <w:marBottom w:val="0"/>
          <w:divBdr>
            <w:top w:val="none" w:sz="0" w:space="0" w:color="auto"/>
            <w:left w:val="none" w:sz="0" w:space="0" w:color="auto"/>
            <w:bottom w:val="none" w:sz="0" w:space="0" w:color="auto"/>
            <w:right w:val="none" w:sz="0" w:space="0" w:color="auto"/>
          </w:divBdr>
        </w:div>
      </w:divsChild>
    </w:div>
    <w:div w:id="1966307804">
      <w:bodyDiv w:val="1"/>
      <w:marLeft w:val="0"/>
      <w:marRight w:val="0"/>
      <w:marTop w:val="0"/>
      <w:marBottom w:val="0"/>
      <w:divBdr>
        <w:top w:val="none" w:sz="0" w:space="0" w:color="auto"/>
        <w:left w:val="none" w:sz="0" w:space="0" w:color="auto"/>
        <w:bottom w:val="none" w:sz="0" w:space="0" w:color="auto"/>
        <w:right w:val="none" w:sz="0" w:space="0" w:color="auto"/>
      </w:divBdr>
    </w:div>
    <w:div w:id="2091341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60</TotalTime>
  <Pages>2</Pages>
  <Words>312</Words>
  <Characters>1780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Noor Hidayah Zakaria</dc:creator>
  <dc:description/>
  <cp:lastModifiedBy>Fakhira Anisa</cp:lastModifiedBy>
  <cp:revision>3</cp:revision>
  <dcterms:created xsi:type="dcterms:W3CDTF">2024-12-27T10:18:00Z</dcterms:created>
  <dcterms:modified xsi:type="dcterms:W3CDTF">2024-12-30T15:31:00Z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2024-12-24T00:00:00Z</vt:filetime>
  </property>
  <property fmtid="{D5CDD505-2E9C-101B-9397-08002B2CF9AE}" pid="3" name="Creator">
    <vt:lpwstr>Acrobat PDFMaker 24 for Word</vt:lpwstr>
  </property>
  <property fmtid="{D5CDD505-2E9C-101B-9397-08002B2CF9AE}" pid="4" name="LastSaved">
    <vt:filetime>2024-12-27T00:00:00Z</vt:filetime>
  </property>
  <property fmtid="{D5CDD505-2E9C-101B-9397-08002B2CF9AE}" pid="5" name="Producer">
    <vt:lpwstr>Adobe PDF Library 24.5.96</vt:lpwstr>
  </property>
  <property fmtid="{D5CDD505-2E9C-101B-9397-08002B2CF9AE}" pid="6" name="SourceModified">
    <vt:lpwstr/>
  </property>
</Properties>
</file>