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CAI601400 — Artificial Intelligence Lab Manual</w:t>
        <w:br/>
        <w:t>Lab 1 Report</w:t>
      </w:r>
    </w:p>
    <w:p>
      <w:pPr>
        <w:jc w:val="center"/>
      </w:pPr>
      <w:r>
        <w:t>Student: Rasikh Ali  |  Roll/ID: 42365  |  Date: 28 October 2026</w:t>
      </w:r>
    </w:p>
    <w:p>
      <w:pPr>
        <w:pStyle w:val="Heading1"/>
      </w:pPr>
      <w:r>
        <w:t>1. Problem and objectives</w:t>
      </w:r>
    </w:p>
    <w:p>
      <w:r>
        <w:t>This lab studies three different ideas: selected milestones in AI history, a small transparent rule-based scholarship screening example, and the limits of judging intelligence from conversation alone. It is a historical and evaluation exercise; no model is trained in this lab.</w:t>
      </w:r>
    </w:p>
    <w:p>
      <w:pPr>
        <w:pStyle w:val="Heading1"/>
      </w:pPr>
      <w:r>
        <w:t>2. AI milestone timeline</w:t>
      </w:r>
    </w:p>
    <w:p>
      <w:r>
        <w:t>Entries are chronological. Each significance statement is intentionally brief.</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Year/period</w:t>
            </w:r>
          </w:p>
        </w:tc>
        <w:tc>
          <w:tcPr>
            <w:tcW w:type="dxa" w:w="2484"/>
          </w:tcPr>
          <w:p>
            <w:r>
              <w:t>Event</w:t>
            </w:r>
          </w:p>
        </w:tc>
        <w:tc>
          <w:tcPr>
            <w:tcW w:type="dxa" w:w="2484"/>
          </w:tcPr>
          <w:p>
            <w:r>
              <w:t>Significance</w:t>
            </w:r>
          </w:p>
        </w:tc>
        <w:tc>
          <w:tcPr>
            <w:tcW w:type="dxa" w:w="2484"/>
          </w:tcPr>
          <w:p>
            <w:r>
              <w:t>Source</w:t>
            </w:r>
          </w:p>
        </w:tc>
      </w:tr>
      <w:tr>
        <w:tc>
          <w:tcPr>
            <w:tcW w:type="dxa" w:w="2484"/>
          </w:tcPr>
          <w:p>
            <w:r>
              <w:t>1950</w:t>
            </w:r>
          </w:p>
        </w:tc>
        <w:tc>
          <w:tcPr>
            <w:tcW w:type="dxa" w:w="2484"/>
          </w:tcPr>
          <w:p>
            <w:r>
              <w:t>Turing publishes “Computing Machinery and Intelligence”</w:t>
            </w:r>
          </w:p>
        </w:tc>
        <w:tc>
          <w:tcPr>
            <w:tcW w:type="dxa" w:w="2484"/>
          </w:tcPr>
          <w:p>
            <w:r>
              <w:t>Turing proposes the imitation game as an operational way to discuss machine intelligence.</w:t>
            </w:r>
          </w:p>
        </w:tc>
        <w:tc>
          <w:tcPr>
            <w:tcW w:type="dxa" w:w="2484"/>
          </w:tcPr>
          <w:p>
            <w:r>
              <w:t>Turing, A. M. (1950), Mind 59(236), 433–460. https://doi.org/10.1093/mind/lix.236.433</w:t>
            </w:r>
          </w:p>
        </w:tc>
      </w:tr>
      <w:tr>
        <w:tc>
          <w:tcPr>
            <w:tcW w:type="dxa" w:w="2484"/>
          </w:tcPr>
          <w:p>
            <w:r>
              <w:t>1956</w:t>
            </w:r>
          </w:p>
        </w:tc>
        <w:tc>
          <w:tcPr>
            <w:tcW w:type="dxa" w:w="2484"/>
          </w:tcPr>
          <w:p>
            <w:r>
              <w:t>Dartmouth Summer Research Project on Artificial Intelligence</w:t>
            </w:r>
          </w:p>
        </w:tc>
        <w:tc>
          <w:tcPr>
            <w:tcW w:type="dxa" w:w="2484"/>
          </w:tcPr>
          <w:p>
            <w:r>
              <w:t>The workshop helped establish AI as a named research field and shaped its early agenda.</w:t>
            </w:r>
          </w:p>
        </w:tc>
        <w:tc>
          <w:tcPr>
            <w:tcW w:type="dxa" w:w="2484"/>
          </w:tcPr>
          <w:p>
            <w:r>
              <w:t>Dartmouth, “The Founding and Future of AI.” https://ai.dartmouth.edu/our-story</w:t>
            </w:r>
          </w:p>
        </w:tc>
      </w:tr>
      <w:tr>
        <w:tc>
          <w:tcPr>
            <w:tcW w:type="dxa" w:w="2484"/>
          </w:tcPr>
          <w:p>
            <w:r>
              <w:t>1974–1980</w:t>
            </w:r>
          </w:p>
        </w:tc>
        <w:tc>
          <w:tcPr>
            <w:tcW w:type="dxa" w:w="2484"/>
          </w:tcPr>
          <w:p>
            <w:r>
              <w:t>First AI winter</w:t>
            </w:r>
          </w:p>
        </w:tc>
        <w:tc>
          <w:tcPr>
            <w:tcW w:type="dxa" w:w="2484"/>
          </w:tcPr>
          <w:p>
            <w:r>
              <w:t>After unmet expectations and reduced funding, enthusiasm and support for several AI research programmes declined.</w:t>
            </w:r>
          </w:p>
        </w:tc>
        <w:tc>
          <w:tcPr>
            <w:tcW w:type="dxa" w:w="2484"/>
          </w:tcPr>
          <w:p>
            <w:r>
              <w:t>Britannica, “Artificial intelligence” (historical overview). https://www.britannica.com/technology/artificial-intelligence</w:t>
            </w:r>
          </w:p>
        </w:tc>
      </w:tr>
      <w:tr>
        <w:tc>
          <w:tcPr>
            <w:tcW w:type="dxa" w:w="2484"/>
          </w:tcPr>
          <w:p>
            <w:r>
              <w:t>1987–1993</w:t>
            </w:r>
          </w:p>
        </w:tc>
        <w:tc>
          <w:tcPr>
            <w:tcW w:type="dxa" w:w="2484"/>
          </w:tcPr>
          <w:p>
            <w:r>
              <w:t>Second AI winter (commonly dated period)</w:t>
            </w:r>
          </w:p>
        </w:tc>
        <w:tc>
          <w:tcPr>
            <w:tcW w:type="dxa" w:w="2484"/>
          </w:tcPr>
          <w:p>
            <w:r>
              <w:t>The collapse of parts of the specialized AI hardware and software market contributed to another downturn in commercial expectations.</w:t>
            </w:r>
          </w:p>
        </w:tc>
        <w:tc>
          <w:tcPr>
            <w:tcW w:type="dxa" w:w="2484"/>
          </w:tcPr>
          <w:p>
            <w:r>
              <w:t>Computer History Museum, AI history resources. https://computerhistory.org/</w:t>
            </w:r>
          </w:p>
        </w:tc>
      </w:tr>
      <w:tr>
        <w:tc>
          <w:tcPr>
            <w:tcW w:type="dxa" w:w="2484"/>
          </w:tcPr>
          <w:p>
            <w:r>
              <w:t>1997</w:t>
            </w:r>
          </w:p>
        </w:tc>
        <w:tc>
          <w:tcPr>
            <w:tcW w:type="dxa" w:w="2484"/>
          </w:tcPr>
          <w:p>
            <w:r>
              <w:t>IBM Deep Blue defeats Garry Kasparov in a match</w:t>
            </w:r>
          </w:p>
        </w:tc>
        <w:tc>
          <w:tcPr>
            <w:tcW w:type="dxa" w:w="2484"/>
          </w:tcPr>
          <w:p>
            <w:r>
              <w:t>The result demonstrated the strength of specialized search and evaluation on a bounded, well-defined task.</w:t>
            </w:r>
          </w:p>
        </w:tc>
        <w:tc>
          <w:tcPr>
            <w:tcW w:type="dxa" w:w="2484"/>
          </w:tcPr>
          <w:p>
            <w:r>
              <w:t>IBM, “Deep Blue.” https://www.ibm.com/history/deep-blue</w:t>
            </w:r>
          </w:p>
        </w:tc>
      </w:tr>
      <w:tr>
        <w:tc>
          <w:tcPr>
            <w:tcW w:type="dxa" w:w="2484"/>
          </w:tcPr>
          <w:p>
            <w:r>
              <w:t>2012</w:t>
            </w:r>
          </w:p>
        </w:tc>
        <w:tc>
          <w:tcPr>
            <w:tcW w:type="dxa" w:w="2484"/>
          </w:tcPr>
          <w:p>
            <w:r>
              <w:t>AlexNet wins the ImageNet Large Scale Visual Recognition Challenge</w:t>
            </w:r>
          </w:p>
        </w:tc>
        <w:tc>
          <w:tcPr>
            <w:tcW w:type="dxa" w:w="2484"/>
          </w:tcPr>
          <w:p>
            <w:r>
              <w:t>Deep neural networks trained with large datasets and GPU compute delivered a major improvement in image classification.</w:t>
            </w:r>
          </w:p>
        </w:tc>
        <w:tc>
          <w:tcPr>
            <w:tcW w:type="dxa" w:w="2484"/>
          </w:tcPr>
          <w:p>
            <w:r>
              <w:t>IEEE Spectrum, “How AlexNet Transformed AI and Computer Vision Forever.” https://spectrum.ieee.org/alexnet-source-code</w:t>
            </w:r>
          </w:p>
        </w:tc>
      </w:tr>
    </w:tbl>
    <w:p>
      <w:r>
        <w:t>Note: “AI winter” dates vary by source because research funding, commercial markets, and public expectations did not decline on identical schedules. The 2012 AlexNet milestone is the required modern compute/data example: it depended on both a large labeled image dataset and GPU computation.</w:t>
      </w:r>
    </w:p>
    <w:p>
      <w:pPr>
        <w:pStyle w:val="Heading1"/>
      </w:pPr>
      <w:r>
        <w:t>3. Rule-based scholarship example</w:t>
      </w:r>
    </w:p>
    <w:p>
      <w:r>
        <w:t>The program evaluates a fictional applicant against four explicit conditions: (1) score &gt;= 70, (2) required documents are complete, (3) income verification is true, and (4) attendance eligibility is true. The last two conditions are the added named conditions: `income_verified` and `attendance_eligible`. These thresholds and checks are synthetic lab assumptions, not an official scholarship policy or a claim about any real institution.</w:t>
      </w:r>
    </w:p>
    <w:p>
      <w:r>
        <w:t>Implementation choice: a single `decide()` function checks conditions in a fixed order and returns both a Boolean decision and a human-readable reason. This is easy to audit, but the first failed condition masks any later failures; the program is not a complete policy engine.</w:t>
      </w:r>
    </w:p>
    <w:p>
      <w:pPr>
        <w:pStyle w:val="Heading2"/>
      </w:pPr>
      <w:r>
        <w:t>Four core test cases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Case</w:t>
            </w:r>
          </w:p>
        </w:tc>
        <w:tc>
          <w:tcPr>
            <w:tcW w:type="dxa" w:w="1987"/>
          </w:tcPr>
          <w:p>
            <w:r>
              <w:t>Input</w:t>
            </w:r>
          </w:p>
        </w:tc>
        <w:tc>
          <w:tcPr>
            <w:tcW w:type="dxa" w:w="1987"/>
          </w:tcPr>
          <w:p>
            <w:r>
              <w:t>Expected</w:t>
            </w:r>
          </w:p>
        </w:tc>
        <w:tc>
          <w:tcPr>
            <w:tcW w:type="dxa" w:w="1987"/>
          </w:tcPr>
          <w:p>
            <w:r>
              <w:t>Actual</w:t>
            </w:r>
          </w:p>
        </w:tc>
        <w:tc>
          <w:tcPr>
            <w:tcW w:type="dxa" w:w="1987"/>
          </w:tcPr>
          <w:p>
            <w:r>
              <w:t>Reason / observation</w:t>
            </w:r>
          </w:p>
        </w:tc>
      </w:tr>
      <w:tr>
        <w:tc>
          <w:tcPr>
            <w:tcW w:type="dxa" w:w="1987"/>
          </w:tcPr>
          <w:p>
            <w:r>
              <w:t>T1 — pass</w:t>
            </w:r>
          </w:p>
        </w:tc>
        <w:tc>
          <w:tcPr>
            <w:tcW w:type="dxa" w:w="1987"/>
          </w:tcPr>
          <w:p>
            <w:r>
              <w:t>score=84; documents_complete=True; income_verified=True; attendance_eligible=True</w:t>
            </w:r>
          </w:p>
        </w:tc>
        <w:tc>
          <w:tcPr>
            <w:tcW w:type="dxa" w:w="1987"/>
          </w:tcPr>
          <w:p>
            <w:r>
              <w:t>Eligible / PASS</w:t>
            </w:r>
          </w:p>
        </w:tc>
        <w:tc>
          <w:tcPr>
            <w:tcW w:type="dxa" w:w="1987"/>
          </w:tcPr>
          <w:p>
            <w:r>
              <w:t>Eligible / PASS</w:t>
            </w:r>
          </w:p>
        </w:tc>
        <w:tc>
          <w:tcPr>
            <w:tcW w:type="dxa" w:w="1987"/>
          </w:tcPr>
          <w:p>
            <w:r>
              <w:t>All four conditions pass.</w:t>
            </w:r>
          </w:p>
        </w:tc>
      </w:tr>
      <w:tr>
        <w:tc>
          <w:tcPr>
            <w:tcW w:type="dxa" w:w="1987"/>
          </w:tcPr>
          <w:p>
            <w:r>
              <w:t>T2 — income condition fails</w:t>
            </w:r>
          </w:p>
        </w:tc>
        <w:tc>
          <w:tcPr>
            <w:tcW w:type="dxa" w:w="1987"/>
          </w:tcPr>
          <w:p>
            <w:r>
              <w:t>score=82; documents_complete=True; income_verified=False; attendance_eligible=True</w:t>
            </w:r>
          </w:p>
        </w:tc>
        <w:tc>
          <w:tcPr>
            <w:tcW w:type="dxa" w:w="1987"/>
          </w:tcPr>
          <w:p>
            <w:r>
              <w:t>Ineligible / FAIL</w:t>
            </w:r>
          </w:p>
        </w:tc>
        <w:tc>
          <w:tcPr>
            <w:tcW w:type="dxa" w:w="1987"/>
          </w:tcPr>
          <w:p>
            <w:r>
              <w:t>Ineligible / FAIL</w:t>
            </w:r>
          </w:p>
        </w:tc>
        <w:tc>
          <w:tcPr>
            <w:tcW w:type="dxa" w:w="1987"/>
          </w:tcPr>
          <w:p>
            <w:r>
              <w:t>Income verification condition failed.</w:t>
            </w:r>
          </w:p>
        </w:tc>
      </w:tr>
      <w:tr>
        <w:tc>
          <w:tcPr>
            <w:tcW w:type="dxa" w:w="1987"/>
          </w:tcPr>
          <w:p>
            <w:r>
              <w:t>T3 — attendance condition fails</w:t>
            </w:r>
          </w:p>
        </w:tc>
        <w:tc>
          <w:tcPr>
            <w:tcW w:type="dxa" w:w="1987"/>
          </w:tcPr>
          <w:p>
            <w:r>
              <w:t>score=79; documents_complete=True; income_verified=True; attendance_eligible=False</w:t>
            </w:r>
          </w:p>
        </w:tc>
        <w:tc>
          <w:tcPr>
            <w:tcW w:type="dxa" w:w="1987"/>
          </w:tcPr>
          <w:p>
            <w:r>
              <w:t>Ineligible / FAIL</w:t>
            </w:r>
          </w:p>
        </w:tc>
        <w:tc>
          <w:tcPr>
            <w:tcW w:type="dxa" w:w="1987"/>
          </w:tcPr>
          <w:p>
            <w:r>
              <w:t>Ineligible / FAIL</w:t>
            </w:r>
          </w:p>
        </w:tc>
        <w:tc>
          <w:tcPr>
            <w:tcW w:type="dxa" w:w="1987"/>
          </w:tcPr>
          <w:p>
            <w:r>
              <w:t>Attendance condition failed.</w:t>
            </w:r>
          </w:p>
        </w:tc>
      </w:tr>
      <w:tr>
        <w:tc>
          <w:tcPr>
            <w:tcW w:type="dxa" w:w="1987"/>
          </w:tcPr>
          <w:p>
            <w:r>
              <w:t>T4 — boundary</w:t>
            </w:r>
          </w:p>
        </w:tc>
        <w:tc>
          <w:tcPr>
            <w:tcW w:type="dxa" w:w="1987"/>
          </w:tcPr>
          <w:p>
            <w:r>
              <w:t>score=70; documents_complete=True; income_verified=True; attendance_eligible=True</w:t>
            </w:r>
          </w:p>
        </w:tc>
        <w:tc>
          <w:tcPr>
            <w:tcW w:type="dxa" w:w="1987"/>
          </w:tcPr>
          <w:p>
            <w:r>
              <w:t>Eligible / PASS</w:t>
            </w:r>
          </w:p>
        </w:tc>
        <w:tc>
          <w:tcPr>
            <w:tcW w:type="dxa" w:w="1987"/>
          </w:tcPr>
          <w:p>
            <w:r>
              <w:t>Eligible / PASS</w:t>
            </w:r>
          </w:p>
        </w:tc>
        <w:tc>
          <w:tcPr>
            <w:tcW w:type="dxa" w:w="1987"/>
          </w:tcPr>
          <w:p>
            <w:r>
              <w:t>The inclusive threshold `score &gt;= 70` accepts exactly 70; remaining conditions pass.</w:t>
            </w:r>
          </w:p>
        </w:tc>
      </w:tr>
    </w:tbl>
    <w:p>
      <w:r>
        <w:t>Selection rationale: T1 confirms the ordinary success path; T2 and T3 isolate each newly added condition while keeping other fields valid; T4 tests the exact score boundary and confirms that the comparison is inclusive. The script prints input, expected result, actual result, reason, and a test match indicator for each of exactly four core cases. Document completeness is retained as a mandatory rule, although these four required cases do not separately exercise its failure path.</w:t>
      </w:r>
    </w:p>
    <w:p>
      <w:pPr>
        <w:pStyle w:val="Heading1"/>
      </w:pPr>
      <w:r>
        <w:t>4. Comparison and disagreement table</w:t>
      </w:r>
    </w:p>
    <w:p>
      <w:r>
        <w:t>The comparison script uses a fictional applicant who satisfies all explicit rules. The rule engine says eligible. A sample conversational claim says the applicant is ineligible because applicants must be under 20, even though no age condition exists in the defined rules. This deliberately illustrates how fluent language can introduce an unsupported premise; it is not a benchmark of a live language model.</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Observed output</w:t>
            </w:r>
          </w:p>
        </w:tc>
        <w:tc>
          <w:tcPr>
            <w:tcW w:type="dxa" w:w="2484"/>
          </w:tcPr>
          <w:p>
            <w:r>
              <w:t>Evidence used</w:t>
            </w:r>
          </w:p>
        </w:tc>
        <w:tc>
          <w:tcPr>
            <w:tcW w:type="dxa" w:w="2484"/>
          </w:tcPr>
          <w:p>
            <w:r>
              <w:t>Limitation</w:t>
            </w:r>
          </w:p>
        </w:tc>
      </w:tr>
      <w:tr>
        <w:tc>
          <w:tcPr>
            <w:tcW w:type="dxa" w:w="2484"/>
          </w:tcPr>
          <w:p>
            <w:r>
              <w:t>Explicit rule engine</w:t>
            </w:r>
          </w:p>
        </w:tc>
        <w:tc>
          <w:tcPr>
            <w:tcW w:type="dxa" w:w="2484"/>
          </w:tcPr>
          <w:p>
            <w:r>
              <w:t>ELIGIBLE</w:t>
            </w:r>
          </w:p>
        </w:tc>
        <w:tc>
          <w:tcPr>
            <w:tcW w:type="dxa" w:w="2484"/>
          </w:tcPr>
          <w:p>
            <w:r>
              <w:t>Score, document completeness, income verification, attendance condition</w:t>
            </w:r>
          </w:p>
        </w:tc>
        <w:tc>
          <w:tcPr>
            <w:tcW w:type="dxa" w:w="2484"/>
          </w:tcPr>
          <w:p>
            <w:r>
              <w:t>Only as valid as the chosen rules and input data.</w:t>
            </w:r>
          </w:p>
        </w:tc>
      </w:tr>
      <w:tr>
        <w:tc>
          <w:tcPr>
            <w:tcW w:type="dxa" w:w="2484"/>
          </w:tcPr>
          <w:p>
            <w:r>
              <w:t>Conversational claim</w:t>
            </w:r>
          </w:p>
        </w:tc>
        <w:tc>
          <w:tcPr>
            <w:tcW w:type="dxa" w:w="2484"/>
          </w:tcPr>
          <w:p>
            <w:r>
              <w:t>INELIGIBLE</w:t>
            </w:r>
          </w:p>
        </w:tc>
        <w:tc>
          <w:tcPr>
            <w:tcW w:type="dxa" w:w="2484"/>
          </w:tcPr>
          <w:p>
            <w:r>
              <w:t>Adds an age requirement that was never specified</w:t>
            </w:r>
          </w:p>
        </w:tc>
        <w:tc>
          <w:tcPr>
            <w:tcW w:type="dxa" w:w="2484"/>
          </w:tcPr>
          <w:p>
            <w:r>
              <w:t>Fluent wording can hide an unsupported or false premise.</w:t>
            </w:r>
          </w:p>
        </w:tc>
      </w:tr>
    </w:tbl>
    <w:p>
      <w:r>
        <w:t>Observed edge case: if an applicant scores 69 while every other field is true, the rule engine rejects the applicant at the first check and reports only the score failure. Likely cause: the function returns immediately on the first failed condition. Improvement: add a separate diagnostic function that collects all failed conditions, and have a human policy owner validate the rules before use.</w:t>
      </w:r>
    </w:p>
    <w:p>
      <w:pPr>
        <w:pStyle w:val="Heading1"/>
      </w:pPr>
      <w:r>
        <w:t>5. Conversational test versus general intelligence</w:t>
      </w:r>
    </w:p>
    <w:p>
      <w:r>
        <w:t>Turing’s 1950 imitation game observes whether a text-based machine can respond in ways that lead a human interrogator to misidentify it in a constrained conversation. It can provide evidence about conversational behaviour, but it does not by itself establish reliable factual knowledge, grounded understanding, robust planning, learning across settings, or safe action in the world. Passing one conversational exchange is therefore not proof of general intelligence.</w:t>
      </w:r>
    </w:p>
    <w:p>
      <w:r>
        <w:t>Scholarship example: a fluent system might confidently say, “Noor is ineligible because all applicants must be younger than 20.” If age was never part of the stated policy, the explanation sounds plausible but is unsupported. A conversational judge may be impressed by confidence and coherence while missing the invented requirement. This contrasts with the transparent rule engine, whose decision can be traced to explicit conditions—although those conditions themselves still need validation.</w:t>
      </w:r>
    </w:p>
    <w:p>
      <w:r>
        <w:t>Additional reliable-performance test: run a blinded, held-out set of fictional scholarship records with known expected decisions, including missing fields, contradictory inputs, boundary scores, and attempts to prompt the system to invent rules. Measure exact decision accuracy, unsupported-claim rate, consistency across repeated runs, and whether explanations cite only authorized policy clauses. Require human review of errors before any consequential use.</w:t>
      </w:r>
    </w:p>
    <w:p>
      <w:r>
        <w:t>Turing’s original article introduced the imitation game as a way to reformulate the question of machine thinking (Turing, 1950). The Stanford Encyclopedia of Philosophy’s discussion of the Turing Test explains that there are both empirical questions about performance and conceptual questions about what such performance proves. The test is consequently one useful lens, not a complete definition of intelligence.</w:t>
      </w:r>
    </w:p>
    <w:p>
      <w:pPr>
        <w:pStyle w:val="Heading1"/>
      </w:pPr>
      <w:r>
        <w:t>6. Required alternatives, limitations, and responsible practice</w:t>
      </w:r>
    </w:p>
    <w:p>
      <w:r>
        <w:t>Alternatives compared: (a) transparent if/then rules, which are inspectable and deterministic but brittle and dependent on human-authored policy; (b) a conversational system, which can explain scenarios flexibly but may hallucinate requirements or state incorrect claims confidently; and (c) a held-out task-performance evaluation, which tests correctness on explicit examples but still only measures the selected task distribution. No single option proves general intelligence.</w:t>
      </w:r>
    </w:p>
    <w:p>
      <w:r>
        <w:t>Responsible practice responses: use only fictional or consented data; minimize collected information; do not commit private records or credentials; document the synthetic nature of the thresholds; check for disparate impacts before any real deployment; provide an appeal and human review route; make decisions explainable; and never use this classroom example as an actual scholarship decision-maker.</w:t>
      </w:r>
    </w:p>
    <w:p>
      <w:pPr>
        <w:pStyle w:val="Heading1"/>
      </w:pPr>
      <w:r>
        <w:t>7. Reflection</w:t>
      </w:r>
    </w:p>
    <w:p>
      <w:r>
        <w:t>The lab demonstrates that a short rule engine is easy to reproduce and audit, while its policy assumptions and edge cases remain important. With more development time, I would add input validation, collect all failed reasons instead of stopping at the first, separate policy configuration from code, add unit tests for missing and invalid values, and evaluate a broader held-out set with fairness checks.</w:t>
      </w:r>
    </w:p>
    <w:p>
      <w:pPr>
        <w:pStyle w:val="Heading1"/>
      </w:pPr>
      <w:r>
        <w:t>References</w:t>
      </w:r>
    </w:p>
    <w:p>
      <w:pPr>
        <w:pStyle w:val="ListBullet"/>
      </w:pPr>
      <w:r>
        <w:t>Turing, A. M. (1950). Computing Machinery and Intelligence. Mind, 59(236), 433–460. https://doi.org/10.1093/mind/lix.236.433</w:t>
      </w:r>
    </w:p>
    <w:p>
      <w:pPr>
        <w:pStyle w:val="ListBullet"/>
      </w:pPr>
      <w:r>
        <w:t>Dartmouth. The Founding and Future of AI. https://ai.dartmouth.edu/our-story</w:t>
      </w:r>
    </w:p>
    <w:p>
      <w:pPr>
        <w:pStyle w:val="ListBullet"/>
      </w:pPr>
      <w:r>
        <w:t>Encyclopaedia Britannica. Artificial intelligence (historical overview). https://www.britannica.com/technology/artificial-intelligence</w:t>
      </w:r>
    </w:p>
    <w:p>
      <w:pPr>
        <w:pStyle w:val="ListBullet"/>
      </w:pPr>
      <w:r>
        <w:t>Computer History Museum. Computer history resources. https://computerhistory.org/</w:t>
      </w:r>
    </w:p>
    <w:p>
      <w:pPr>
        <w:pStyle w:val="ListBullet"/>
      </w:pPr>
      <w:r>
        <w:t>IBM. Deep Blue. https://www.ibm.com/history/deep-blue</w:t>
      </w:r>
    </w:p>
    <w:p>
      <w:pPr>
        <w:pStyle w:val="ListBullet"/>
      </w:pPr>
      <w:r>
        <w:t>IEEE Spectrum. How AlexNet Transformed AI and Computer Vision Forever. https://spectrum.ieee.org/alexnet-source-code</w:t>
      </w:r>
    </w:p>
    <w:p>
      <w:pPr>
        <w:pStyle w:val="ListBullet"/>
      </w:pPr>
      <w:r>
        <w:t>Stanford Encyclopedia of Philosophy. The Turing Test. https://plato.stanford.edu/entries/turing-test/</w:t>
      </w:r>
    </w:p>
    <w:p>
      <w:pPr>
        <w:pStyle w:val="Heading1"/>
      </w:pPr>
      <w:r>
        <w:t>Appendix: files and reproducibility</w:t>
      </w:r>
    </w:p>
    <w:p>
      <w:r>
        <w:t>Run `python lab1_rules.py` to reproduce the four core tests and `python lab1_compare.py` to reproduce the disagreement example. `outputs.txt` stores the captured outputs. The code uses no external datasets or borrowed code.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