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CAI601400 — Artificial Intelligence Lab 2</w:t>
        <w:br/>
        <w:t>Lab Report</w:t>
      </w:r>
    </w:p>
    <w:p>
      <w:pPr>
        <w:jc w:val="center"/>
      </w:pPr>
      <w:r>
        <w:t>Student: Rasikh Ali  |  Roll/ID: 42365  |  Date: 28 October 2026</w:t>
      </w:r>
    </w:p>
    <w:p>
      <w:pPr>
        <w:pStyle w:val="Heading1"/>
      </w:pPr>
      <w:r>
        <w:t>1. Problem and assumptions</w:t>
      </w:r>
    </w:p>
    <w:p>
      <w:r>
        <w:t>This lab defines PEAS specifications for two agents, classifies their task environments, and compares a memoryless reflex controller with a stateful controller. The climate-controller thresholds are synthetic lab assumptions, not a building standard. The example assumes a single room, temperature in Celsius, a binary occupancy sensor, and target modes HEAT, COOL, IDLE and COMFORT. Occupancy has priority over temperature. When unoccupied, temperature &lt; 18 C means HEAT; temperature &gt; 26 C means COOL; otherwise—including exactly 18 C and exactly 26 C—the target is IDLE. The stateful controller remembers its previous target, not whether the physical actuator actually reached it.</w:t>
      </w:r>
    </w:p>
    <w:p>
      <w:pPr>
        <w:pStyle w:val="Heading1"/>
      </w:pPr>
      <w:r>
        <w:t>2. PEAS specification A — delivery robot</w:t>
      </w:r>
    </w:p>
    <w:tbl>
      <w:tblPr>
        <w:tblStyle w:val="TableGrid"/>
        <w:tblW w:type="auto" w:w="0"/>
        <w:tblLook w:firstColumn="1" w:firstRow="1" w:lastColumn="0" w:lastRow="0" w:noHBand="0" w:noVBand="1" w:val="04A0"/>
      </w:tblPr>
      <w:tblGrid>
        <w:gridCol w:w="5112"/>
        <w:gridCol w:w="5112"/>
      </w:tblGrid>
      <w:tr>
        <w:tc>
          <w:tcPr>
            <w:tcW w:type="dxa" w:w="5112"/>
          </w:tcPr>
          <w:p>
            <w:r>
              <w:t>PEAS component</w:t>
            </w:r>
          </w:p>
        </w:tc>
        <w:tc>
          <w:tcPr>
            <w:tcW w:type="dxa" w:w="5112"/>
          </w:tcPr>
          <w:p>
            <w:r>
              <w:t>Concrete entries</w:t>
            </w:r>
          </w:p>
        </w:tc>
      </w:tr>
      <w:tr>
        <w:tc>
          <w:tcPr>
            <w:tcW w:type="dxa" w:w="5112"/>
          </w:tcPr>
          <w:p>
            <w:r>
              <w:t>Performance measure</w:t>
            </w:r>
          </w:p>
        </w:tc>
        <w:tc>
          <w:tcPr>
            <w:tcW w:type="dxa" w:w="5112"/>
          </w:tcPr>
          <w:p>
            <w:r>
              <w:t>Deliver the correct parcel to the correct recipient; meet delivery window; avoid collisions and injuries; minimize route time/energy; protect parcel condition.</w:t>
            </w:r>
          </w:p>
        </w:tc>
      </w:tr>
      <w:tr>
        <w:tc>
          <w:tcPr>
            <w:tcW w:type="dxa" w:w="5112"/>
          </w:tcPr>
          <w:p>
            <w:r>
              <w:t>Environment</w:t>
            </w:r>
          </w:p>
        </w:tc>
        <w:tc>
          <w:tcPr>
            <w:tcW w:type="dxa" w:w="5112"/>
          </w:tcPr>
          <w:p>
            <w:r>
              <w:t>Sidewalks and building corridors; pedestrians/cyclists; curbs, ramps and doors; weather and lighting; pickup/drop-off points; elevators or access-controlled entrances.</w:t>
            </w:r>
          </w:p>
        </w:tc>
      </w:tr>
      <w:tr>
        <w:tc>
          <w:tcPr>
            <w:tcW w:type="dxa" w:w="5112"/>
          </w:tcPr>
          <w:p>
            <w:r>
              <w:t>Actuators</w:t>
            </w:r>
          </w:p>
        </w:tc>
        <w:tc>
          <w:tcPr>
            <w:tcW w:type="dxa" w:w="5112"/>
          </w:tcPr>
          <w:p>
            <w:r>
              <w:t>Drive motors and steering; brakes; robotic arm or parcel locker; speaker/display for recipient alerts; indicator lights.</w:t>
            </w:r>
          </w:p>
        </w:tc>
      </w:tr>
      <w:tr>
        <w:tc>
          <w:tcPr>
            <w:tcW w:type="dxa" w:w="5112"/>
          </w:tcPr>
          <w:p>
            <w:r>
              <w:t>Sensors</w:t>
            </w:r>
          </w:p>
        </w:tc>
        <w:tc>
          <w:tcPr>
            <w:tcW w:type="dxa" w:w="5112"/>
          </w:tcPr>
          <w:p>
            <w:r>
              <w:t>RGB/depth cameras; lidar or ultrasonic proximity sensors; wheel encoders/IMU; GPS outdoors; door/elevator status and parcel-compartment sensors.</w:t>
            </w:r>
          </w:p>
        </w:tc>
      </w:tr>
    </w:tbl>
    <w:p>
      <w:r>
        <w:t>Constraint/trade-off: conservative obstacle avoidance improves safety but can increase delivery time and battery use. Operational assumption: the robot operates in a mapped, permitted delivery area, has onboard obstacle sensing and a remote human escalation channel, and must stop when localization or safety sensing becomes unreliable.</w:t>
      </w:r>
    </w:p>
    <w:p>
      <w:pPr>
        <w:pStyle w:val="Heading1"/>
      </w:pPr>
      <w:r>
        <w:t>3. PEAS specification B — LLM-based student-support agent</w:t>
      </w:r>
    </w:p>
    <w:tbl>
      <w:tblPr>
        <w:tblStyle w:val="TableGrid"/>
        <w:tblW w:type="auto" w:w="0"/>
        <w:tblLook w:firstColumn="1" w:firstRow="1" w:lastColumn="0" w:lastRow="0" w:noHBand="0" w:noVBand="1" w:val="04A0"/>
      </w:tblPr>
      <w:tblGrid>
        <w:gridCol w:w="5112"/>
        <w:gridCol w:w="5112"/>
      </w:tblGrid>
      <w:tr>
        <w:tc>
          <w:tcPr>
            <w:tcW w:type="dxa" w:w="5112"/>
          </w:tcPr>
          <w:p>
            <w:r>
              <w:t>PEAS component</w:t>
            </w:r>
          </w:p>
        </w:tc>
        <w:tc>
          <w:tcPr>
            <w:tcW w:type="dxa" w:w="5112"/>
          </w:tcPr>
          <w:p>
            <w:r>
              <w:t>Concrete entries</w:t>
            </w:r>
          </w:p>
        </w:tc>
      </w:tr>
      <w:tr>
        <w:tc>
          <w:tcPr>
            <w:tcW w:type="dxa" w:w="5112"/>
          </w:tcPr>
          <w:p>
            <w:r>
              <w:t>Performance measure</w:t>
            </w:r>
          </w:p>
        </w:tc>
        <w:tc>
          <w:tcPr>
            <w:tcW w:type="dxa" w:w="5112"/>
          </w:tcPr>
          <w:p>
            <w:r>
              <w:t>Correctness grounded in approved course information; helpful and understandable answers; timely responses; appropriate referrals for sensitive/high-stakes issues; privacy and low hallucination rate.</w:t>
            </w:r>
          </w:p>
        </w:tc>
      </w:tr>
      <w:tr>
        <w:tc>
          <w:tcPr>
            <w:tcW w:type="dxa" w:w="5112"/>
          </w:tcPr>
          <w:p>
            <w:r>
              <w:t>Environment</w:t>
            </w:r>
          </w:p>
        </w:tc>
        <w:tc>
          <w:tcPr>
            <w:tcW w:type="dxa" w:w="5112"/>
          </w:tcPr>
          <w:p>
            <w:r>
              <w:t>Student chat interface; course handbook and deadlines; LMS/course pages; tutoring and accessibility resources; academic calendar; human support staff.</w:t>
            </w:r>
          </w:p>
        </w:tc>
      </w:tr>
      <w:tr>
        <w:tc>
          <w:tcPr>
            <w:tcW w:type="dxa" w:w="5112"/>
          </w:tcPr>
          <w:p>
            <w:r>
              <w:t>Actuators</w:t>
            </w:r>
          </w:p>
        </w:tc>
        <w:tc>
          <w:tcPr>
            <w:tcW w:type="dxa" w:w="5112"/>
          </w:tcPr>
          <w:p>
            <w:r>
              <w:t>Generate chat replies; ask clarifying questions; summarize approved course content; draft (but not automatically submit) messages; create a support-ticket draft or refer a student to a human.</w:t>
            </w:r>
          </w:p>
        </w:tc>
      </w:tr>
      <w:tr>
        <w:tc>
          <w:tcPr>
            <w:tcW w:type="dxa" w:w="5112"/>
          </w:tcPr>
          <w:p>
            <w:r>
              <w:t>Sensors / inputs</w:t>
            </w:r>
          </w:p>
        </w:tc>
        <w:tc>
          <w:tcPr>
            <w:tcW w:type="dxa" w:w="5112"/>
          </w:tcPr>
          <w:p>
            <w:r>
              <w:t>Student text; uploaded course documents if enabled; read-only LMS/course FAQ search; approved calendar/deadline feed; explicit feedback such as thumbs-up/down.</w:t>
            </w:r>
          </w:p>
        </w:tc>
      </w:tr>
    </w:tbl>
    <w:p>
      <w:r>
        <w:t>Tool-access assumption: the agent can search a read-only, instructor-approved FAQ/handbook, read published course dates from an approved calendar feed, and draft—but not send—messages or support tickets. It cannot access private grades, alter enrolments, change marks, browse arbitrary student records, or make disciplinary/medical decisions. Tool access is limited to explicitly authorized sources.</w:t>
      </w:r>
    </w:p>
    <w:p>
      <w:r>
        <w:t>Constraint/trade-off: broader retrieval can improve coverage but increases privacy, stale-source and conflicting-instruction risks. Restricting tools and requiring citations improves control but may mean the agent must admit it cannot answer.</w:t>
      </w:r>
    </w:p>
    <w:p>
      <w:pPr>
        <w:pStyle w:val="Heading1"/>
      </w:pPr>
      <w:r>
        <w:t>4. Environment classification</w:t>
      </w:r>
    </w:p>
    <w:p>
      <w:r>
        <w:t>The labels below describe the real operating setting under the stated assumptions, not just a simplified simulator. Fully observable means the agent receives all task-relevant state; deterministic means actions uniquely determine outcomes. Both real systems are treated as partially observable and stochastic.</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System</w:t>
            </w:r>
          </w:p>
        </w:tc>
        <w:tc>
          <w:tcPr>
            <w:tcW w:type="dxa" w:w="2045"/>
          </w:tcPr>
          <w:p>
            <w:r>
              <w:t>Observability</w:t>
            </w:r>
          </w:p>
        </w:tc>
        <w:tc>
          <w:tcPr>
            <w:tcW w:type="dxa" w:w="2045"/>
          </w:tcPr>
          <w:p>
            <w:r>
              <w:t>Example observable / hidden variable</w:t>
            </w:r>
          </w:p>
        </w:tc>
        <w:tc>
          <w:tcPr>
            <w:tcW w:type="dxa" w:w="2045"/>
          </w:tcPr>
          <w:p>
            <w:r>
              <w:t>Outcome model</w:t>
            </w:r>
          </w:p>
        </w:tc>
        <w:tc>
          <w:tcPr>
            <w:tcW w:type="dxa" w:w="2045"/>
          </w:tcPr>
          <w:p>
            <w:r>
              <w:t>Justification</w:t>
            </w:r>
          </w:p>
        </w:tc>
      </w:tr>
      <w:tr>
        <w:tc>
          <w:tcPr>
            <w:tcW w:type="dxa" w:w="2045"/>
          </w:tcPr>
          <w:p>
            <w:r>
              <w:t>Delivery robot (real)</w:t>
            </w:r>
          </w:p>
        </w:tc>
        <w:tc>
          <w:tcPr>
            <w:tcW w:type="dxa" w:w="2045"/>
          </w:tcPr>
          <w:p>
            <w:r>
              <w:t>Partially observable</w:t>
            </w:r>
          </w:p>
        </w:tc>
        <w:tc>
          <w:tcPr>
            <w:tcW w:type="dxa" w:w="2045"/>
          </w:tcPr>
          <w:p>
            <w:r>
              <w:t>Observable: nearby obstacle detected by lidar. Hidden: a pedestrian's intent or a blind-corner obstacle.</w:t>
            </w:r>
          </w:p>
        </w:tc>
        <w:tc>
          <w:tcPr>
            <w:tcW w:type="dxa" w:w="2045"/>
          </w:tcPr>
          <w:p>
            <w:r>
              <w:t>Stochastic</w:t>
            </w:r>
          </w:p>
        </w:tc>
        <w:tc>
          <w:tcPr>
            <w:tcW w:type="dxa" w:w="2045"/>
          </w:tcPr>
          <w:p>
            <w:r>
              <w:t>Sensor occlusion/noise, moving people, wheel slip and weather make outcomes uncertain; the same drive command may produce different motion.</w:t>
            </w:r>
          </w:p>
        </w:tc>
      </w:tr>
      <w:tr>
        <w:tc>
          <w:tcPr>
            <w:tcW w:type="dxa" w:w="2045"/>
          </w:tcPr>
          <w:p>
            <w:r>
              <w:t>Student-support LLM agent (real)</w:t>
            </w:r>
          </w:p>
        </w:tc>
        <w:tc>
          <w:tcPr>
            <w:tcW w:type="dxa" w:w="2045"/>
          </w:tcPr>
          <w:p>
            <w:r>
              <w:t>Partially observable</w:t>
            </w:r>
          </w:p>
        </w:tc>
        <w:tc>
          <w:tcPr>
            <w:tcW w:type="dxa" w:w="2045"/>
          </w:tcPr>
          <w:p>
            <w:r>
              <w:t>Observable: student message and retrieved handbook page. Hidden: unstated student context, whether a source is out of date, or the student's actual understanding.</w:t>
            </w:r>
          </w:p>
        </w:tc>
        <w:tc>
          <w:tcPr>
            <w:tcW w:type="dxa" w:w="2045"/>
          </w:tcPr>
          <w:p>
            <w:r>
              <w:t>Stochastic</w:t>
            </w:r>
          </w:p>
        </w:tc>
        <w:tc>
          <w:tcPr>
            <w:tcW w:type="dxa" w:w="2045"/>
          </w:tcPr>
          <w:p>
            <w:r>
              <w:t>Generation may vary and retrieved text may be incomplete; a reply may be interpreted differently or fail to solve the student's problem.</w:t>
            </w:r>
          </w:p>
        </w:tc>
      </w:tr>
    </w:tbl>
    <w:p>
      <w:r>
        <w:t>Predictability examples: in a simplified deterministic robot simulator with fixed map, perfect localization and no moving obstacles, a command to move one cell may always yield the same next state. In the real setting, wheel slip or a pedestrian can change that outcome. For the student agent, a deterministic toy FAQ lookup that returns a fixed answer for a fixed query can be predictable; a real LLM response and student outcome are not guaranteed, even when the prompt is repeated.</w:t>
      </w:r>
    </w:p>
    <w:p>
      <w:r>
        <w:t>Simplification caveat: a simulator can be made fully observable and deterministic by exposing every state variable and fixing transition rules. Those are modeling choices, not valid assumptions about real streets or real student-support interactions. The LLM itself is not automatically the whole environment: the student, institutional sources, tool permissions and downstream effects are part of the environment.</w:t>
      </w:r>
    </w:p>
    <w:p>
      <w:pPr>
        <w:pStyle w:val="Heading1"/>
      </w:pPr>
      <w:r>
        <w:t>5. Reflex versus stateful controller</w:t>
      </w:r>
    </w:p>
    <w:p>
      <w:r>
        <w:t>The memoryless reflex baseline maps the current percept directly to a target and always sends the command. The stateful version stores `previous_target_mode`, computes the same target using the same thresholds and occupancy priority, and sends a command only when target != previous target. It returns the target, send/no-send flag and previous mode so that the transition is auditable. This reduces duplicate commands but assumes the actuator continues to hold the target; it does not confirm physical state.</w:t>
      </w:r>
    </w:p>
    <w:p>
      <w:pPr>
        <w:pStyle w:val="Heading2"/>
      </w:pPr>
      <w:r>
        <w:t>Complete mode-transition trace</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w:t>
            </w:r>
          </w:p>
        </w:tc>
        <w:tc>
          <w:tcPr>
            <w:tcW w:type="dxa" w:w="1704"/>
          </w:tcPr>
          <w:p>
            <w:r>
              <w:t>Previous mode</w:t>
            </w:r>
          </w:p>
        </w:tc>
        <w:tc>
          <w:tcPr>
            <w:tcW w:type="dxa" w:w="1704"/>
          </w:tcPr>
          <w:p>
            <w:r>
              <w:t>Percept</w:t>
            </w:r>
          </w:p>
        </w:tc>
        <w:tc>
          <w:tcPr>
            <w:tcW w:type="dxa" w:w="1704"/>
          </w:tcPr>
          <w:p>
            <w:r>
              <w:t>Target</w:t>
            </w:r>
          </w:p>
        </w:tc>
        <w:tc>
          <w:tcPr>
            <w:tcW w:type="dxa" w:w="1704"/>
          </w:tcPr>
          <w:p>
            <w:r>
              <w:t>Outcome</w:t>
            </w:r>
          </w:p>
        </w:tc>
        <w:tc>
          <w:tcPr>
            <w:tcW w:type="dxa" w:w="1704"/>
          </w:tcPr>
          <w:p>
            <w:r>
              <w:t>Reason</w:t>
            </w:r>
          </w:p>
        </w:tc>
      </w:tr>
      <w:tr>
        <w:tc>
          <w:tcPr>
            <w:tcW w:type="dxa" w:w="1704"/>
          </w:tcPr>
          <w:p>
            <w:r>
              <w:t>1</w:t>
            </w:r>
          </w:p>
        </w:tc>
        <w:tc>
          <w:tcPr>
            <w:tcW w:type="dxa" w:w="1704"/>
          </w:tcPr>
          <w:p>
            <w:r>
              <w:t>UNKNOWN</w:t>
            </w:r>
          </w:p>
        </w:tc>
        <w:tc>
          <w:tcPr>
            <w:tcW w:type="dxa" w:w="1704"/>
          </w:tcPr>
          <w:p>
            <w:r>
              <w:t>17.0 C, unoccupied</w:t>
            </w:r>
          </w:p>
        </w:tc>
        <w:tc>
          <w:tcPr>
            <w:tcW w:type="dxa" w:w="1704"/>
          </w:tcPr>
          <w:p>
            <w:r>
              <w:t>HEAT</w:t>
            </w:r>
          </w:p>
        </w:tc>
        <w:tc>
          <w:tcPr>
            <w:tcW w:type="dxa" w:w="1704"/>
          </w:tcPr>
          <w:p>
            <w:r>
              <w:t>SEND</w:t>
            </w:r>
          </w:p>
        </w:tc>
        <w:tc>
          <w:tcPr>
            <w:tcW w:type="dxa" w:w="1704"/>
          </w:tcPr>
          <w:p>
            <w:r>
              <w:t>Initial target differs from unknown state.</w:t>
            </w:r>
          </w:p>
        </w:tc>
      </w:tr>
      <w:tr>
        <w:tc>
          <w:tcPr>
            <w:tcW w:type="dxa" w:w="1704"/>
          </w:tcPr>
          <w:p>
            <w:r>
              <w:t>2</w:t>
            </w:r>
          </w:p>
        </w:tc>
        <w:tc>
          <w:tcPr>
            <w:tcW w:type="dxa" w:w="1704"/>
          </w:tcPr>
          <w:p>
            <w:r>
              <w:t>HEAT</w:t>
            </w:r>
          </w:p>
        </w:tc>
        <w:tc>
          <w:tcPr>
            <w:tcW w:type="dxa" w:w="1704"/>
          </w:tcPr>
          <w:p>
            <w:r>
              <w:t>17.0 C, unoccupied</w:t>
            </w:r>
          </w:p>
        </w:tc>
        <w:tc>
          <w:tcPr>
            <w:tcW w:type="dxa" w:w="1704"/>
          </w:tcPr>
          <w:p>
            <w:r>
              <w:t>HEAT</w:t>
            </w:r>
          </w:p>
        </w:tc>
        <w:tc>
          <w:tcPr>
            <w:tcW w:type="dxa" w:w="1704"/>
          </w:tcPr>
          <w:p>
            <w:r>
              <w:t>NO COMMAND</w:t>
            </w:r>
          </w:p>
        </w:tc>
        <w:tc>
          <w:tcPr>
            <w:tcW w:type="dxa" w:w="1704"/>
          </w:tcPr>
          <w:p>
            <w:r>
              <w:t>Repeated target; duplicate command suppressed.</w:t>
            </w:r>
          </w:p>
        </w:tc>
      </w:tr>
      <w:tr>
        <w:tc>
          <w:tcPr>
            <w:tcW w:type="dxa" w:w="1704"/>
          </w:tcPr>
          <w:p>
            <w:r>
              <w:t>3</w:t>
            </w:r>
          </w:p>
        </w:tc>
        <w:tc>
          <w:tcPr>
            <w:tcW w:type="dxa" w:w="1704"/>
          </w:tcPr>
          <w:p>
            <w:r>
              <w:t>HEAT</w:t>
            </w:r>
          </w:p>
        </w:tc>
        <w:tc>
          <w:tcPr>
            <w:tcW w:type="dxa" w:w="1704"/>
          </w:tcPr>
          <w:p>
            <w:r>
              <w:t>18.0 C, unoccupied</w:t>
            </w:r>
          </w:p>
        </w:tc>
        <w:tc>
          <w:tcPr>
            <w:tcW w:type="dxa" w:w="1704"/>
          </w:tcPr>
          <w:p>
            <w:r>
              <w:t>IDLE</w:t>
            </w:r>
          </w:p>
        </w:tc>
        <w:tc>
          <w:tcPr>
            <w:tcW w:type="dxa" w:w="1704"/>
          </w:tcPr>
          <w:p>
            <w:r>
              <w:t>SEND</w:t>
            </w:r>
          </w:p>
        </w:tc>
        <w:tc>
          <w:tcPr>
            <w:tcW w:type="dxa" w:w="1704"/>
          </w:tcPr>
          <w:p>
            <w:r>
              <w:t>Exact lower boundary is not below 18 C.</w:t>
            </w:r>
          </w:p>
        </w:tc>
      </w:tr>
      <w:tr>
        <w:tc>
          <w:tcPr>
            <w:tcW w:type="dxa" w:w="1704"/>
          </w:tcPr>
          <w:p>
            <w:r>
              <w:t>4</w:t>
            </w:r>
          </w:p>
        </w:tc>
        <w:tc>
          <w:tcPr>
            <w:tcW w:type="dxa" w:w="1704"/>
          </w:tcPr>
          <w:p>
            <w:r>
              <w:t>IDLE</w:t>
            </w:r>
          </w:p>
        </w:tc>
        <w:tc>
          <w:tcPr>
            <w:tcW w:type="dxa" w:w="1704"/>
          </w:tcPr>
          <w:p>
            <w:r>
              <w:t>26.0 C, unoccupied</w:t>
            </w:r>
          </w:p>
        </w:tc>
        <w:tc>
          <w:tcPr>
            <w:tcW w:type="dxa" w:w="1704"/>
          </w:tcPr>
          <w:p>
            <w:r>
              <w:t>IDLE</w:t>
            </w:r>
          </w:p>
        </w:tc>
        <w:tc>
          <w:tcPr>
            <w:tcW w:type="dxa" w:w="1704"/>
          </w:tcPr>
          <w:p>
            <w:r>
              <w:t>NO COMMAND</w:t>
            </w:r>
          </w:p>
        </w:tc>
        <w:tc>
          <w:tcPr>
            <w:tcW w:type="dxa" w:w="1704"/>
          </w:tcPr>
          <w:p>
            <w:r>
              <w:t>Exact upper boundary is not above 26 C.</w:t>
            </w:r>
          </w:p>
        </w:tc>
      </w:tr>
      <w:tr>
        <w:tc>
          <w:tcPr>
            <w:tcW w:type="dxa" w:w="1704"/>
          </w:tcPr>
          <w:p>
            <w:r>
              <w:t>5</w:t>
            </w:r>
          </w:p>
        </w:tc>
        <w:tc>
          <w:tcPr>
            <w:tcW w:type="dxa" w:w="1704"/>
          </w:tcPr>
          <w:p>
            <w:r>
              <w:t>IDLE</w:t>
            </w:r>
          </w:p>
        </w:tc>
        <w:tc>
          <w:tcPr>
            <w:tcW w:type="dxa" w:w="1704"/>
          </w:tcPr>
          <w:p>
            <w:r>
              <w:t>27.0 C, unoccupied</w:t>
            </w:r>
          </w:p>
        </w:tc>
        <w:tc>
          <w:tcPr>
            <w:tcW w:type="dxa" w:w="1704"/>
          </w:tcPr>
          <w:p>
            <w:r>
              <w:t>COOL</w:t>
            </w:r>
          </w:p>
        </w:tc>
        <w:tc>
          <w:tcPr>
            <w:tcW w:type="dxa" w:w="1704"/>
          </w:tcPr>
          <w:p>
            <w:r>
              <w:t>SEND</w:t>
            </w:r>
          </w:p>
        </w:tc>
        <w:tc>
          <w:tcPr>
            <w:tcW w:type="dxa" w:w="1704"/>
          </w:tcPr>
          <w:p>
            <w:r>
              <w:t>Temperature is above 26 C; mode changes.</w:t>
            </w:r>
          </w:p>
        </w:tc>
      </w:tr>
      <w:tr>
        <w:tc>
          <w:tcPr>
            <w:tcW w:type="dxa" w:w="1704"/>
          </w:tcPr>
          <w:p>
            <w:r>
              <w:t>6</w:t>
            </w:r>
          </w:p>
        </w:tc>
        <w:tc>
          <w:tcPr>
            <w:tcW w:type="dxa" w:w="1704"/>
          </w:tcPr>
          <w:p>
            <w:r>
              <w:t>COOL</w:t>
            </w:r>
          </w:p>
        </w:tc>
        <w:tc>
          <w:tcPr>
            <w:tcW w:type="dxa" w:w="1704"/>
          </w:tcPr>
          <w:p>
            <w:r>
              <w:t>27.0 C, occupied</w:t>
            </w:r>
          </w:p>
        </w:tc>
        <w:tc>
          <w:tcPr>
            <w:tcW w:type="dxa" w:w="1704"/>
          </w:tcPr>
          <w:p>
            <w:r>
              <w:t>COMFORT</w:t>
            </w:r>
          </w:p>
        </w:tc>
        <w:tc>
          <w:tcPr>
            <w:tcW w:type="dxa" w:w="1704"/>
          </w:tcPr>
          <w:p>
            <w:r>
              <w:t>SEND</w:t>
            </w:r>
          </w:p>
        </w:tc>
        <w:tc>
          <w:tcPr>
            <w:tcW w:type="dxa" w:w="1704"/>
          </w:tcPr>
          <w:p>
            <w:r>
              <w:t>Occupancy priority overrides the hot-temperature rule.</w:t>
            </w:r>
          </w:p>
        </w:tc>
      </w:tr>
      <w:tr>
        <w:tc>
          <w:tcPr>
            <w:tcW w:type="dxa" w:w="1704"/>
          </w:tcPr>
          <w:p>
            <w:r>
              <w:t>7</w:t>
            </w:r>
          </w:p>
        </w:tc>
        <w:tc>
          <w:tcPr>
            <w:tcW w:type="dxa" w:w="1704"/>
          </w:tcPr>
          <w:p>
            <w:r>
              <w:t>COMFORT</w:t>
            </w:r>
          </w:p>
        </w:tc>
        <w:tc>
          <w:tcPr>
            <w:tcW w:type="dxa" w:w="1704"/>
          </w:tcPr>
          <w:p>
            <w:r>
              <w:t>22.0 C, unoccupied</w:t>
            </w:r>
          </w:p>
        </w:tc>
        <w:tc>
          <w:tcPr>
            <w:tcW w:type="dxa" w:w="1704"/>
          </w:tcPr>
          <w:p>
            <w:r>
              <w:t>IDLE</w:t>
            </w:r>
          </w:p>
        </w:tc>
        <w:tc>
          <w:tcPr>
            <w:tcW w:type="dxa" w:w="1704"/>
          </w:tcPr>
          <w:p>
            <w:r>
              <w:t>SEND</w:t>
            </w:r>
          </w:p>
        </w:tc>
        <w:tc>
          <w:tcPr>
            <w:tcW w:type="dxa" w:w="1704"/>
          </w:tcPr>
          <w:p>
            <w:r>
              <w:t>Empty room returns to IDLE within the middle temperature band.</w:t>
            </w:r>
          </w:p>
        </w:tc>
      </w:tr>
    </w:tbl>
    <w:p>
      <w:pPr>
        <w:pStyle w:val="Heading1"/>
      </w:pPr>
      <w:r>
        <w:t>6. Actual results and edge-case analysis</w:t>
      </w:r>
    </w:p>
    <w:p>
      <w:r>
        <w:t>The captured run of `lab2_check.py` reports 7/7 checks passed. It verifies first-command behavior, repeated-command suppression, exact 18 C and 26 C boundaries, transition to COOL, occupancy priority, and an unoccupied room returning to IDLE. The full console trace is in `outputs.txt`.</w:t>
      </w:r>
    </w:p>
    <w:p>
      <w:r>
        <w:t>Edge case: after the controller sends COOL, a hardware fault could leave the room heating or leave the actuator off. If the next percept still targets COOL, the stateful controller emits NO COMMAND because its memory records the desired target, not confirmed actuator state. Likely cause: command history is used as a proxy for physical state. Improvement: add actuator acknowledgements and a timeout; if the confirmed mode differs from the target or feedback is missing, resend safely and raise a fault.</w:t>
      </w:r>
    </w:p>
    <w:p>
      <w:pPr>
        <w:pStyle w:val="Heading1"/>
      </w:pPr>
      <w:r>
        <w:t>7. Limitations, responsible practice and reflection</w:t>
      </w:r>
    </w:p>
    <w:p>
      <w:r>
        <w:t>Limitations: the controller uses a binary occupancy input and a single temperature reading, has no hysteresis, ignores humidity and equipment faults, and assumes commands succeed. Exact threshold behavior is deliberately explicit but can cause mode changes near thresholds in noisy readings. The LLM PEAS is a design specification rather than a deployed agent evaluation.</w:t>
      </w:r>
    </w:p>
    <w:p>
      <w:r>
        <w:t>Responsible practice: a delivery robot should yield safely, protect bystanders, minimize collected imagery and provide human escalation. A student-support agent should disclose its limits, cite approved sources, protect student data, avoid making binding academic decisions, and refer urgent or sensitive cases to qualified staff. Tool access should follow least privilege and be logged; drafts should require human confirmation before sending.</w:t>
      </w:r>
    </w:p>
    <w:p>
      <w:r>
        <w:t>With more development time, I would add sensor validity checks, hysteresis, actuator acknowledgement, fault recovery and unit tests for malformed inputs. I would also test the student-support specification against a held-out set of realistic questions, stale/conflicting documents, privacy-sensitive prompts and cases where the correct response is to abstain or refer to a human.</w:t>
      </w:r>
    </w:p>
    <w:p>
      <w:pPr>
        <w:pStyle w:val="Heading1"/>
      </w:pPr>
      <w:r>
        <w:t>References</w:t>
      </w:r>
    </w:p>
    <w:p>
      <w:pPr>
        <w:pStyle w:val="ListBullet"/>
      </w:pPr>
      <w:r>
        <w:t>Russell, S. J., &amp; Norvig, P. (2021). Artificial Intelligence: A Modern Approach (4th ed.). Pearson. (PEAS and task-environment framework.)</w:t>
      </w:r>
    </w:p>
    <w:p>
      <w:pPr>
        <w:pStyle w:val="ListBullet"/>
      </w:pPr>
      <w:r>
        <w:t>NIST. (2023). Artificial Intelligence Risk Management Framework (AI RMF 1.0). https://www.nist.gov/itl/ai-risk-management-framework</w:t>
      </w:r>
    </w:p>
    <w:p>
      <w:pPr>
        <w:pStyle w:val="ListBullet"/>
      </w:pPr>
      <w:r>
        <w:t>ISO 13482:2014. Robots and robotic devices — Safety requirements for personal care robots. https://www.iso.org/standard/53820.html</w:t>
      </w:r>
    </w:p>
    <w:p>
      <w:pPr>
        <w:pStyle w:val="Heading1"/>
      </w:pPr>
      <w:r>
        <w:t>Reproducibility</w:t>
      </w:r>
    </w:p>
    <w:p>
      <w:r>
        <w:t>Use Python 3.10 or newer. Run `python lab2_percepts.py`, `python lab2_model.py`, and `python lab2_check.py`. No external dataset or third-party runtime package is required. The captured outputs are included as `outputs.txt`.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