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1D4ED8" w:val="clear"/>
            <w:tcMar>
              <w:top w:type="dxa" w:w="480"/>
              <w:left w:type="dxa" w:w="360"/>
              <w:bottom w:type="dxa" w:w="480"/>
              <w:right w:type="dxa" w:w="360"/>
            </w:tcMar>
          </w:tcPr>
          <w:p>
            <w:pPr>
              <w:spacing w:after="120" w:before="0"/>
              <w:jc w:val="center"/>
            </w:pPr>
            <w:r>
              <w:rPr>
                <w:rFonts w:ascii="Inter" w:cs="Inter" w:eastAsia="Inter" w:hAnsi="Inter"/>
                <w:b/>
                <w:bCs/>
                <w:caps/>
                <w:color w:val="FFFFFF"/>
                <w:sz w:val="44"/>
                <w:szCs w:val="44"/>
              </w:rPr>
              <w:t xml:space="preserve">SUMMARY INSIGHTS REPORT</w:t>
            </w:r>
          </w:p>
          <w:p>
            <w:pPr>
              <w:spacing w:after="200" w:before="0"/>
              <w:jc w:val="center"/>
            </w:pPr>
            <w:r>
              <w:rPr>
                <w:rFonts w:ascii="Inter" w:cs="Inter" w:eastAsia="Inter" w:hAnsi="Inter"/>
                <w:color w:val="BFDBFE"/>
                <w:sz w:val="26"/>
                <w:szCs w:val="26"/>
              </w:rPr>
              <w:t xml:space="preserve">Customer Behavior Analytics &amp; Churn Prediction</w:t>
            </w:r>
          </w:p>
          <w:p>
            <w:pPr>
              <w:spacing w:after="0" w:before="0"/>
              <w:jc w:val="center"/>
            </w:pPr>
            <w:r>
              <w:rPr>
                <w:rFonts w:ascii="Inter" w:cs="Inter" w:eastAsia="Inter" w:hAnsi="Inter"/>
                <w:color w:val="93C5FD"/>
                <w:sz w:val="20"/>
                <w:szCs w:val="20"/>
              </w:rPr>
              <w:t xml:space="preserve">Task ID: ML-INT-1</w:t>
            </w:r>
            <w:r>
              <w:rPr>
                <w:rFonts w:ascii="Inter" w:cs="Inter" w:eastAsia="Inter" w:hAnsi="Inter"/>
                <w:color w:val="93C5FD"/>
                <w:sz w:val="20"/>
                <w:szCs w:val="20"/>
              </w:rPr>
              <w:t xml:space="preserve">   |   </w:t>
            </w:r>
            <w:r>
              <w:rPr>
                <w:rFonts w:ascii="Inter" w:cs="Inter" w:eastAsia="Inter" w:hAnsi="Inter"/>
                <w:color w:val="93C5FD"/>
                <w:sz w:val="20"/>
                <w:szCs w:val="20"/>
              </w:rPr>
              <w:t xml:space="preserve">Teyzix Core Internship — June Batch 2026</w:t>
            </w:r>
          </w:p>
        </w:tc>
      </w:tr>
    </w:tbl>
    <w:p>
      <w:pPr>
        <w:spacing w:after="320" w:before="0"/>
      </w:pPr>
      <w:r>
        <w:t xml:space="preserve"/>
      </w:r>
    </w:p>
    <w:p>
      <w:pPr>
        <w:pStyle w:val="Heading1"/>
        <w:pBdr>
          <w:bottom w:val="single" w:color="1D4ED8" w:sz="6" w:space="4"/>
        </w:pBdr>
        <w:spacing w:after="120" w:before="360"/>
      </w:pPr>
      <w:r>
        <w:rPr>
          <w:rFonts w:ascii="Inter" w:cs="Inter" w:eastAsia="Inter" w:hAnsi="Inter"/>
          <w:b/>
          <w:bCs/>
          <w:color w:val="1E293B"/>
          <w:sz w:val="32"/>
          <w:szCs w:val="32"/>
        </w:rPr>
        <w:t xml:space="preserve">1. Executive Summary</w:t>
      </w:r>
    </w:p>
    <w:p>
      <w:pPr>
        <w:spacing w:after="60" w:before="60"/>
      </w:pPr>
      <w:r>
        <w:rPr>
          <w:rFonts w:ascii="Inter" w:cs="Inter" w:eastAsia="Inter" w:hAnsi="Inter"/>
          <w:color w:val="475569"/>
          <w:sz w:val="22"/>
          <w:szCs w:val="22"/>
        </w:rPr>
        <w:t xml:space="preserve">This report presents findings from the end-to-end customer behavior analytics and churn prediction system built for Teyzix Core. The system processes raw customer data, engineers behavioral features, trains multiple machine learning models, and surfaces actionable insights to reduce customer churn and protect revenue.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060"/>
      </w:tblGrid>
      <w:tr>
        <w:tc>
          <w:tcPr>
            <w:tcW w:type="dxa" w:w="3060"/>
            <w:tcBorders>
              <w:top w:val="single" w:color="FEE2E2" w:sz="1"/>
              <w:left w:val="single" w:color="FEE2E2" w:sz="1"/>
              <w:bottom w:val="single" w:color="FEE2E2" w:sz="1"/>
              <w:right w:val="single" w:color="FEE2E2" w:sz="1"/>
            </w:tcBorders>
            <w:shd w:fill="FEE2E2" w:val="clear"/>
            <w:tcMar>
              <w:top w:type="dxa" w:w="120"/>
              <w:left w:type="dxa" w:w="160"/>
              <w:bottom w:type="dxa" w:w="120"/>
              <w:right w:type="dxa" w:w="160"/>
            </w:tcMar>
          </w:tcPr>
          <w:p>
            <w:pPr>
              <w:spacing w:after="40" w:before="0"/>
            </w:pPr>
            <w:r>
              <w:rPr>
                <w:rFonts w:ascii="Inter" w:cs="Inter" w:eastAsia="Inter" w:hAnsi="Inter"/>
                <w:b/>
                <w:bCs/>
                <w:caps/>
                <w:color w:val="991B1B"/>
                <w:sz w:val="16"/>
                <w:szCs w:val="16"/>
              </w:rPr>
              <w:t xml:space="preserve">OVERALL CHURN RATE</w:t>
            </w:r>
          </w:p>
          <w:p>
            <w:pPr>
              <w:spacing w:after="40" w:before="0"/>
            </w:pPr>
            <w:r>
              <w:rPr>
                <w:rFonts w:ascii="Inter" w:cs="Inter" w:eastAsia="Inter" w:hAnsi="Inter"/>
                <w:b/>
                <w:bCs/>
                <w:color w:val="991B1B"/>
                <w:sz w:val="32"/>
                <w:szCs w:val="32"/>
              </w:rPr>
              <w:t xml:space="preserve">26.5%</w:t>
            </w:r>
          </w:p>
          <w:p>
            <w:pPr>
              <w:spacing w:after="0" w:before="0"/>
            </w:pPr>
            <w:r>
              <w:rPr>
                <w:rFonts w:ascii="Inter" w:cs="Inter" w:eastAsia="Inter" w:hAnsi="Inter"/>
                <w:color w:val="991B1B"/>
                <w:sz w:val="18"/>
                <w:szCs w:val="18"/>
              </w:rPr>
              <w:t xml:space="preserve">1,869 of 7,043 customers</w:t>
            </w:r>
          </w:p>
        </w:tc>
        <w:tc>
          <w:tcPr>
            <w:tcW w:type="dxa" w:w="3060"/>
            <w:tcBorders>
              <w:top w:val="single" w:color="FEF3C7" w:sz="1"/>
              <w:left w:val="single" w:color="FEF3C7" w:sz="1"/>
              <w:bottom w:val="single" w:color="FEF3C7" w:sz="1"/>
              <w:right w:val="single" w:color="FEF3C7" w:sz="1"/>
            </w:tcBorders>
            <w:shd w:fill="FEF3C7" w:val="clear"/>
            <w:tcMar>
              <w:top w:type="dxa" w:w="120"/>
              <w:left w:type="dxa" w:w="160"/>
              <w:bottom w:type="dxa" w:w="120"/>
              <w:right w:type="dxa" w:w="160"/>
            </w:tcMar>
          </w:tcPr>
          <w:p>
            <w:pPr>
              <w:spacing w:after="40" w:before="0"/>
            </w:pPr>
            <w:r>
              <w:rPr>
                <w:rFonts w:ascii="Inter" w:cs="Inter" w:eastAsia="Inter" w:hAnsi="Inter"/>
                <w:b/>
                <w:bCs/>
                <w:caps/>
                <w:color w:val="92400E"/>
                <w:sz w:val="16"/>
                <w:szCs w:val="16"/>
              </w:rPr>
              <w:t xml:space="preserve">MONTHLY REVENUE RISK</w:t>
            </w:r>
          </w:p>
          <w:p>
            <w:pPr>
              <w:spacing w:after="40" w:before="0"/>
            </w:pPr>
            <w:r>
              <w:rPr>
                <w:rFonts w:ascii="Inter" w:cs="Inter" w:eastAsia="Inter" w:hAnsi="Inter"/>
                <w:b/>
                <w:bCs/>
                <w:color w:val="92400E"/>
                <w:sz w:val="32"/>
                <w:szCs w:val="32"/>
              </w:rPr>
              <w:t xml:space="preserve">$121,285</w:t>
            </w:r>
          </w:p>
          <w:p>
            <w:pPr>
              <w:spacing w:after="0" w:before="0"/>
            </w:pPr>
            <w:r>
              <w:rPr>
                <w:rFonts w:ascii="Inter" w:cs="Inter" w:eastAsia="Inter" w:hAnsi="Inter"/>
                <w:color w:val="92400E"/>
                <w:sz w:val="18"/>
                <w:szCs w:val="18"/>
              </w:rPr>
              <w:t xml:space="preserve">from churned customers</w:t>
            </w:r>
          </w:p>
        </w:tc>
        <w:tc>
          <w:tcPr>
            <w:tcW w:type="dxa" w:w="3060"/>
            <w:tcBorders>
              <w:top w:val="single" w:color="FEE2E2" w:sz="1"/>
              <w:left w:val="single" w:color="FEE2E2" w:sz="1"/>
              <w:bottom w:val="single" w:color="FEE2E2" w:sz="1"/>
              <w:right w:val="single" w:color="FEE2E2" w:sz="1"/>
            </w:tcBorders>
            <w:shd w:fill="FEE2E2" w:val="clear"/>
            <w:tcMar>
              <w:top w:type="dxa" w:w="120"/>
              <w:left w:type="dxa" w:w="160"/>
              <w:bottom w:type="dxa" w:w="120"/>
              <w:right w:type="dxa" w:w="160"/>
            </w:tcMar>
          </w:tcPr>
          <w:p>
            <w:pPr>
              <w:spacing w:after="40" w:before="0"/>
            </w:pPr>
            <w:r>
              <w:rPr>
                <w:rFonts w:ascii="Inter" w:cs="Inter" w:eastAsia="Inter" w:hAnsi="Inter"/>
                <w:b/>
                <w:bCs/>
                <w:caps/>
                <w:color w:val="991B1B"/>
                <w:sz w:val="16"/>
                <w:szCs w:val="16"/>
              </w:rPr>
              <w:t xml:space="preserve">HIGH RISK CUSTOMERS</w:t>
            </w:r>
          </w:p>
          <w:p>
            <w:pPr>
              <w:spacing w:after="40" w:before="0"/>
            </w:pPr>
            <w:r>
              <w:rPr>
                <w:rFonts w:ascii="Inter" w:cs="Inter" w:eastAsia="Inter" w:hAnsi="Inter"/>
                <w:b/>
                <w:bCs/>
                <w:color w:val="991B1B"/>
                <w:sz w:val="32"/>
                <w:szCs w:val="32"/>
              </w:rPr>
              <w:t xml:space="preserve">1,728</w:t>
            </w:r>
          </w:p>
          <w:p>
            <w:pPr>
              <w:spacing w:after="0" w:before="0"/>
            </w:pPr>
            <w:r>
              <w:rPr>
                <w:rFonts w:ascii="Inter" w:cs="Inter" w:eastAsia="Inter" w:hAnsi="Inter"/>
                <w:color w:val="991B1B"/>
                <w:sz w:val="18"/>
                <w:szCs w:val="18"/>
              </w:rPr>
              <w:t xml:space="preserve">24.5% of total base</w:t>
            </w:r>
          </w:p>
        </w:tc>
      </w:tr>
    </w:tbl>
    <w:p>
      <w:pPr>
        <w:spacing w:after="200" w:before="0"/>
      </w:pPr>
      <w:r>
        <w:t xml:space="preserve"/>
      </w:r>
    </w:p>
    <w:p>
      <w:pPr>
        <w:pStyle w:val="Heading1"/>
        <w:pBdr>
          <w:bottom w:val="single" w:color="1D4ED8" w:sz="6" w:space="4"/>
        </w:pBdr>
        <w:spacing w:after="120" w:before="360"/>
      </w:pPr>
      <w:r>
        <w:rPr>
          <w:rFonts w:ascii="Inter" w:cs="Inter" w:eastAsia="Inter" w:hAnsi="Inter"/>
          <w:b/>
          <w:bCs/>
          <w:color w:val="1E293B"/>
          <w:sz w:val="32"/>
          <w:szCs w:val="32"/>
        </w:rPr>
        <w:t xml:space="preserve">2. Data Analysis &amp; Preparation</w:t>
      </w:r>
    </w:p>
    <w:p>
      <w:pPr>
        <w:pStyle w:val="Heading2"/>
        <w:spacing w:after="100" w:before="280"/>
      </w:pPr>
      <w:r>
        <w:rPr>
          <w:rFonts w:ascii="Inter" w:cs="Inter" w:eastAsia="Inter" w:hAnsi="Inter"/>
          <w:b/>
          <w:bCs/>
          <w:color w:val="1D4ED8"/>
          <w:sz w:val="26"/>
          <w:szCs w:val="26"/>
        </w:rPr>
        <w:t xml:space="preserve">2.1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Attribute</w:t>
            </w:r>
          </w:p>
        </w:tc>
        <w:tc>
          <w:tcPr>
            <w:tcW w:type="dxa" w:w="468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Value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Total Records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7,043 customers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Total Features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21 columns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Target Variable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Churn (Yes / No)</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Missing Values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TotalCharges — 11 null rows (filled with median)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Duplicate Rows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None found</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Dataset Source</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Telco Customer Churn (customerservices.csv)</w:t>
            </w:r>
          </w:p>
        </w:tc>
      </w:tr>
    </w:tbl>
    <w:p>
      <w:pPr>
        <w:spacing w:after="160" w:before="0"/>
      </w:pPr>
      <w:r>
        <w:t xml:space="preserve"/>
      </w:r>
    </w:p>
    <w:p>
      <w:pPr>
        <w:pStyle w:val="Heading2"/>
        <w:spacing w:after="100" w:before="280"/>
      </w:pPr>
      <w:r>
        <w:rPr>
          <w:rFonts w:ascii="Inter" w:cs="Inter" w:eastAsia="Inter" w:hAnsi="Inter"/>
          <w:b/>
          <w:bCs/>
          <w:color w:val="1D4ED8"/>
          <w:sz w:val="26"/>
          <w:szCs w:val="26"/>
        </w:rPr>
        <w:t xml:space="preserve">2.2 Data Cleaning Steps</w:t>
      </w:r>
    </w:p>
    <w:p>
      <w:pPr>
        <w:pStyle w:val="ListParagraph"/>
        <w:numPr>
          <w:ilvl w:val="0"/>
          <w:numId w:val="2"/>
        </w:numPr>
        <w:spacing w:after="40" w:before="40"/>
      </w:pPr>
      <w:r>
        <w:rPr>
          <w:rFonts w:ascii="Inter" w:cs="Inter" w:eastAsia="Inter" w:hAnsi="Inter"/>
          <w:b/>
          <w:bCs/>
          <w:color w:val="1E293B"/>
          <w:sz w:val="22"/>
          <w:szCs w:val="22"/>
        </w:rPr>
        <w:t xml:space="preserve">TotalCharges:</w:t>
      </w:r>
      <w:r>
        <w:rPr>
          <w:rFonts w:ascii="Inter" w:cs="Inter" w:eastAsia="Inter" w:hAnsi="Inter"/>
          <w:color w:val="475569"/>
          <w:sz w:val="22"/>
          <w:szCs w:val="22"/>
        </w:rPr>
        <w:t xml:space="preserve"> Converted from string to numeric; 11 null values filled with column median</w:t>
      </w:r>
    </w:p>
    <w:p>
      <w:pPr>
        <w:pStyle w:val="ListParagraph"/>
        <w:numPr>
          <w:ilvl w:val="0"/>
          <w:numId w:val="2"/>
        </w:numPr>
        <w:spacing w:after="40" w:before="40"/>
      </w:pPr>
      <w:r>
        <w:rPr>
          <w:rFonts w:ascii="Inter" w:cs="Inter" w:eastAsia="Inter" w:hAnsi="Inter"/>
          <w:b/>
          <w:bCs/>
          <w:color w:val="1E293B"/>
          <w:sz w:val="22"/>
          <w:szCs w:val="22"/>
        </w:rPr>
        <w:t xml:space="preserve">Missing Values:</w:t>
      </w:r>
      <w:r>
        <w:rPr>
          <w:rFonts w:ascii="Inter" w:cs="Inter" w:eastAsia="Inter" w:hAnsi="Inter"/>
          <w:color w:val="475569"/>
          <w:sz w:val="22"/>
          <w:szCs w:val="22"/>
        </w:rPr>
        <w:t xml:space="preserve"> All numeric columns filled with median; categorical columns filled with mode</w:t>
      </w:r>
    </w:p>
    <w:p>
      <w:pPr>
        <w:pStyle w:val="ListParagraph"/>
        <w:numPr>
          <w:ilvl w:val="0"/>
          <w:numId w:val="2"/>
        </w:numPr>
        <w:spacing w:after="40" w:before="40"/>
      </w:pPr>
      <w:r>
        <w:rPr>
          <w:rFonts w:ascii="Inter" w:cs="Inter" w:eastAsia="Inter" w:hAnsi="Inter"/>
          <w:b/>
          <w:bCs/>
          <w:color w:val="1E293B"/>
          <w:sz w:val="22"/>
          <w:szCs w:val="22"/>
        </w:rPr>
        <w:t xml:space="preserve">Outlier Removal:</w:t>
      </w:r>
      <w:r>
        <w:rPr>
          <w:rFonts w:ascii="Inter" w:cs="Inter" w:eastAsia="Inter" w:hAnsi="Inter"/>
          <w:color w:val="475569"/>
          <w:sz w:val="22"/>
          <w:szCs w:val="22"/>
        </w:rPr>
        <w:t xml:space="preserve"> IQR method applied to tenure, MonthlyCharges, and TotalCharges</w:t>
      </w:r>
    </w:p>
    <w:p>
      <w:pPr>
        <w:pStyle w:val="ListParagraph"/>
        <w:numPr>
          <w:ilvl w:val="0"/>
          <w:numId w:val="2"/>
        </w:numPr>
        <w:spacing w:after="40" w:before="40"/>
      </w:pPr>
      <w:r>
        <w:rPr>
          <w:rFonts w:ascii="Inter" w:cs="Inter" w:eastAsia="Inter" w:hAnsi="Inter"/>
          <w:b/>
          <w:bCs/>
          <w:color w:val="1E293B"/>
          <w:sz w:val="22"/>
          <w:szCs w:val="22"/>
        </w:rPr>
        <w:t xml:space="preserve">Duplicates:</w:t>
      </w:r>
      <w:r>
        <w:rPr>
          <w:rFonts w:ascii="Inter" w:cs="Inter" w:eastAsia="Inter" w:hAnsi="Inter"/>
          <w:color w:val="475569"/>
          <w:sz w:val="22"/>
          <w:szCs w:val="22"/>
        </w:rPr>
        <w:t xml:space="preserve"> Zero duplicate rows detected — no removal required</w:t>
      </w:r>
    </w:p>
    <w:p>
      <w:pPr>
        <w:pStyle w:val="ListParagraph"/>
        <w:numPr>
          <w:ilvl w:val="0"/>
          <w:numId w:val="2"/>
        </w:numPr>
        <w:spacing w:after="40" w:before="40"/>
      </w:pPr>
      <w:r>
        <w:rPr>
          <w:rFonts w:ascii="Inter" w:cs="Inter" w:eastAsia="Inter" w:hAnsi="Inter"/>
          <w:b/>
          <w:bCs/>
          <w:color w:val="1E293B"/>
          <w:sz w:val="22"/>
          <w:szCs w:val="22"/>
        </w:rPr>
        <w:t xml:space="preserve">Encoding:</w:t>
      </w:r>
      <w:r>
        <w:rPr>
          <w:rFonts w:ascii="Inter" w:cs="Inter" w:eastAsia="Inter" w:hAnsi="Inter"/>
          <w:color w:val="475569"/>
          <w:sz w:val="22"/>
          <w:szCs w:val="22"/>
        </w:rPr>
        <w:t xml:space="preserve"> Churn column mapped Yes=1, No=0; categoricals label-encoded</w:t>
      </w:r>
    </w:p>
    <w:p>
      <w:pPr>
        <w:spacing w:after="160" w:before="0"/>
      </w:pPr>
      <w:r>
        <w:t xml:space="preserve"/>
      </w:r>
    </w:p>
    <w:p>
      <w:pPr>
        <w:pStyle w:val="Heading1"/>
        <w:pBdr>
          <w:bottom w:val="single" w:color="1D4ED8" w:sz="6" w:space="4"/>
        </w:pBdr>
        <w:spacing w:after="120" w:before="360"/>
      </w:pPr>
      <w:r>
        <w:rPr>
          <w:rFonts w:ascii="Inter" w:cs="Inter" w:eastAsia="Inter" w:hAnsi="Inter"/>
          <w:b/>
          <w:bCs/>
          <w:color w:val="1E293B"/>
          <w:sz w:val="32"/>
          <w:szCs w:val="32"/>
        </w:rPr>
        <w:t xml:space="preserve">3. Feature Engineering</w:t>
      </w:r>
    </w:p>
    <w:p>
      <w:pPr>
        <w:spacing w:after="60" w:before="60"/>
      </w:pPr>
      <w:r>
        <w:rPr>
          <w:rFonts w:ascii="Inter" w:cs="Inter" w:eastAsia="Inter" w:hAnsi="Inter"/>
          <w:color w:val="475569"/>
          <w:sz w:val="22"/>
          <w:szCs w:val="22"/>
        </w:rPr>
        <w:t xml:space="preserve">Five new behavioral features were engineered from raw columns to improve model performance and capture customer behavior patterns: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Feature</w:t>
            </w:r>
          </w:p>
        </w:tc>
        <w:tc>
          <w:tcPr>
            <w:tcW w:type="dxa" w:w="312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Formula / Logic</w:t>
            </w:r>
          </w:p>
        </w:tc>
        <w:tc>
          <w:tcPr>
            <w:tcW w:type="dxa" w:w="312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Business Meaning</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usage_score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(tenure × MonthlyCharges) / 100</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Overall engagement value of the customer</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tenure_group</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Binned: 0-1yr, 1-2yr, 2-4yr, 4-5yr, 5+yr</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Customer life-stage classification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payment_risk</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PaymentMethod == "Electronic check" ? 1 : 0</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High-risk payment behavior flag</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support_heavy</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TechSupport == "No" ? 1 : 0</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Customers without tech support more likely to churn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charges_ratio</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TotalCharges / (MonthlyCharges + 1)</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Ratio showing tenure vs spend consistency</w:t>
            </w:r>
          </w:p>
        </w:tc>
      </w:tr>
    </w:tbl>
    <w:p>
      <w:pPr>
        <w:spacing w:after="200" w:before="0"/>
      </w:pPr>
      <w:r>
        <w:t xml:space="preserve"/>
      </w:r>
    </w:p>
    <w:p>
      <w:pPr>
        <w:pStyle w:val="Heading1"/>
        <w:pBdr>
          <w:bottom w:val="single" w:color="1D4ED8" w:sz="6" w:space="4"/>
        </w:pBdr>
        <w:spacing w:after="120" w:before="360"/>
      </w:pPr>
      <w:r>
        <w:rPr>
          <w:rFonts w:ascii="Inter" w:cs="Inter" w:eastAsia="Inter" w:hAnsi="Inter"/>
          <w:b/>
          <w:bCs/>
          <w:color w:val="1E293B"/>
          <w:sz w:val="32"/>
          <w:szCs w:val="32"/>
        </w:rPr>
        <w:t xml:space="preserve">4. Key Visual Findings</w:t>
      </w:r>
    </w:p>
    <w:p>
      <w:pPr>
        <w:pStyle w:val="Heading2"/>
        <w:spacing w:after="100" w:before="280"/>
      </w:pPr>
      <w:r>
        <w:rPr>
          <w:rFonts w:ascii="Inter" w:cs="Inter" w:eastAsia="Inter" w:hAnsi="Inter"/>
          <w:b/>
          <w:bCs/>
          <w:color w:val="1D4ED8"/>
          <w:sz w:val="26"/>
          <w:szCs w:val="26"/>
        </w:rPr>
        <w:t xml:space="preserve">4.1 Churn Distribution</w:t>
      </w:r>
    </w:p>
    <w:p>
      <w:pPr>
        <w:pStyle w:val="ListParagraph"/>
        <w:numPr>
          <w:ilvl w:val="0"/>
          <w:numId w:val="2"/>
        </w:numPr>
        <w:spacing w:after="40" w:before="40"/>
      </w:pPr>
      <w:r>
        <w:rPr>
          <w:rFonts w:ascii="Inter" w:cs="Inter" w:eastAsia="Inter" w:hAnsi="Inter"/>
          <w:color w:val="475569"/>
          <w:sz w:val="22"/>
          <w:szCs w:val="22"/>
        </w:rPr>
        <w:t xml:space="preserve">73.5% of customers are active (5,174 customers)</w:t>
      </w:r>
    </w:p>
    <w:p>
      <w:pPr>
        <w:pStyle w:val="ListParagraph"/>
        <w:numPr>
          <w:ilvl w:val="0"/>
          <w:numId w:val="2"/>
        </w:numPr>
        <w:spacing w:after="40" w:before="40"/>
      </w:pPr>
      <w:r>
        <w:rPr>
          <w:rFonts w:ascii="Inter" w:cs="Inter" w:eastAsia="Inter" w:hAnsi="Inter"/>
          <w:color w:val="475569"/>
          <w:sz w:val="22"/>
          <w:szCs w:val="22"/>
        </w:rPr>
        <w:t xml:space="preserve">26.5% of customers have churned (1,869 customers)</w:t>
      </w:r>
    </w:p>
    <w:p>
      <w:pPr>
        <w:pStyle w:val="ListParagraph"/>
        <w:numPr>
          <w:ilvl w:val="0"/>
          <w:numId w:val="2"/>
        </w:numPr>
        <w:spacing w:after="40" w:before="40"/>
      </w:pPr>
      <w:r>
        <w:rPr>
          <w:rFonts w:ascii="Inter" w:cs="Inter" w:eastAsia="Inter" w:hAnsi="Inter"/>
          <w:color w:val="475569"/>
          <w:sz w:val="22"/>
          <w:szCs w:val="22"/>
        </w:rPr>
        <w:t xml:space="preserve">Churn rate is significantly high — industry benchmark is typically 5-15%</w:t>
      </w:r>
    </w:p>
    <w:p>
      <w:pPr>
        <w:pStyle w:val="Heading2"/>
        <w:spacing w:after="100" w:before="280"/>
      </w:pPr>
      <w:r>
        <w:rPr>
          <w:rFonts w:ascii="Inter" w:cs="Inter" w:eastAsia="Inter" w:hAnsi="Inter"/>
          <w:b/>
          <w:bCs/>
          <w:color w:val="1D4ED8"/>
          <w:sz w:val="26"/>
          <w:szCs w:val="26"/>
        </w:rPr>
        <w:t xml:space="preserve">4.2 Churn by Contract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Contract Type</w:t>
            </w:r>
          </w:p>
        </w:tc>
        <w:tc>
          <w:tcPr>
            <w:tcW w:type="dxa" w:w="312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Churn Rate</w:t>
            </w:r>
          </w:p>
        </w:tc>
        <w:tc>
          <w:tcPr>
            <w:tcW w:type="dxa" w:w="312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Risk Level</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Month-to-month</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42.7%</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HIGH</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One year</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11.3%</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MEDIUM</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Two year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2.8%</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LOW</w:t>
            </w:r>
          </w:p>
        </w:tc>
      </w:tr>
    </w:tbl>
    <w:p>
      <w:pPr>
        <w:spacing w:after="80" w:before="0"/>
      </w:pPr>
      <w:r>
        <w:t xml:space="preserve"/>
      </w:r>
    </w:p>
    <w:p>
      <w:pPr>
        <w:spacing w:after="60" w:before="60"/>
      </w:pPr>
      <w:r>
        <w:rPr>
          <w:rFonts w:ascii="Inter" w:cs="Inter" w:eastAsia="Inter" w:hAnsi="Inter"/>
          <w:color w:val="475569"/>
          <w:sz w:val="22"/>
          <w:szCs w:val="22"/>
        </w:rPr>
        <w:t xml:space="preserve">Month-to-month contracts drive the majority of churn. Customers on two-year contracts are 15x less likely to churn than month-to-month customers.</w:t>
      </w:r>
    </w:p>
    <w:p>
      <w:pPr>
        <w:pStyle w:val="Heading2"/>
        <w:spacing w:after="100" w:before="280"/>
      </w:pPr>
      <w:r>
        <w:rPr>
          <w:rFonts w:ascii="Inter" w:cs="Inter" w:eastAsia="Inter" w:hAnsi="Inter"/>
          <w:b/>
          <w:bCs/>
          <w:color w:val="1D4ED8"/>
          <w:sz w:val="26"/>
          <w:szCs w:val="26"/>
        </w:rPr>
        <w:t xml:space="preserve">4.3 Churn by Payment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Payment Method</w:t>
            </w:r>
          </w:p>
        </w:tc>
        <w:tc>
          <w:tcPr>
            <w:tcW w:type="dxa" w:w="468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Churn Rate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Electronic check</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45.3%</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Mailed check</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19.1%</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Bank transfer (automatic)</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16.7%</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Credit card (automatic)</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15.2%</w:t>
            </w:r>
          </w:p>
        </w:tc>
      </w:tr>
    </w:tbl>
    <w:p>
      <w:pPr>
        <w:spacing w:after="80" w:before="0"/>
      </w:pPr>
      <w:r>
        <w:t xml:space="preserve"/>
      </w:r>
    </w:p>
    <w:p>
      <w:pPr>
        <w:spacing w:after="60" w:before="60"/>
      </w:pPr>
      <w:r>
        <w:rPr>
          <w:rFonts w:ascii="Inter" w:cs="Inter" w:eastAsia="Inter" w:hAnsi="Inter"/>
          <w:color w:val="475569"/>
          <w:sz w:val="22"/>
          <w:szCs w:val="22"/>
        </w:rPr>
        <w:t xml:space="preserve">Electronic check users churn at nearly 3x the rate of automatic payment users, suggesting payment friction is a strong churn signal.</w:t>
      </w:r>
    </w:p>
    <w:p>
      <w:pPr>
        <w:pStyle w:val="Heading2"/>
        <w:spacing w:after="100" w:before="280"/>
      </w:pPr>
      <w:r>
        <w:rPr>
          <w:rFonts w:ascii="Inter" w:cs="Inter" w:eastAsia="Inter" w:hAnsi="Inter"/>
          <w:b/>
          <w:bCs/>
          <w:color w:val="1D4ED8"/>
          <w:sz w:val="26"/>
          <w:szCs w:val="26"/>
        </w:rPr>
        <w:t xml:space="preserve">4.4 Churn by Tenure Group</w:t>
      </w:r>
    </w:p>
    <w:p>
      <w:pPr>
        <w:spacing w:after="60" w:before="60"/>
      </w:pPr>
      <w:r>
        <w:rPr>
          <w:rFonts w:ascii="Inter" w:cs="Inter" w:eastAsia="Inter" w:hAnsi="Inter"/>
          <w:color w:val="475569"/>
          <w:sz w:val="22"/>
          <w:szCs w:val="22"/>
        </w:rPr>
        <w:t xml:space="preserve">New customers (0-1 year) show the highest churn rate. Customers who survive past 2 years become significantly more loyal. Early engagement programs in the first 12 months are critical for retention.</w:t>
      </w:r>
    </w:p>
    <w:p>
      <w:pPr>
        <w:spacing w:after="160" w:before="0"/>
      </w:pPr>
      <w:r>
        <w:t xml:space="preserve"/>
      </w:r>
    </w:p>
    <w:p>
      <w:pPr>
        <w:pStyle w:val="Heading1"/>
        <w:pBdr>
          <w:bottom w:val="single" w:color="1D4ED8" w:sz="6" w:space="4"/>
        </w:pBdr>
        <w:spacing w:after="120" w:before="360"/>
      </w:pPr>
      <w:r>
        <w:rPr>
          <w:rFonts w:ascii="Inter" w:cs="Inter" w:eastAsia="Inter" w:hAnsi="Inter"/>
          <w:b/>
          <w:bCs/>
          <w:color w:val="1E293B"/>
          <w:sz w:val="32"/>
          <w:szCs w:val="32"/>
        </w:rPr>
        <w:t xml:space="preserve">5. Machine Learning Model Performance</w:t>
      </w:r>
    </w:p>
    <w:p>
      <w:pPr>
        <w:spacing w:after="60" w:before="60"/>
      </w:pPr>
      <w:r>
        <w:rPr>
          <w:rFonts w:ascii="Inter" w:cs="Inter" w:eastAsia="Inter" w:hAnsi="Inter"/>
          <w:color w:val="475569"/>
          <w:sz w:val="22"/>
          <w:szCs w:val="22"/>
        </w:rPr>
        <w:t xml:space="preserve">Three classification models were trained on 80% of the data and evaluated on a 20% holdout test set. The target variable was binary churn (1 = churned, 0 = active).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Model</w:t>
            </w:r>
          </w:p>
        </w:tc>
        <w:tc>
          <w:tcPr>
            <w:tcW w:type="dxa" w:w="15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Accuracy</w:t>
            </w:r>
          </w:p>
        </w:tc>
        <w:tc>
          <w:tcPr>
            <w:tcW w:type="dxa" w:w="15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Precision</w:t>
            </w:r>
          </w:p>
        </w:tc>
        <w:tc>
          <w:tcPr>
            <w:tcW w:type="dxa" w:w="15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Recall</w:t>
            </w:r>
          </w:p>
        </w:tc>
        <w:tc>
          <w:tcPr>
            <w:tcW w:type="dxa" w:w="15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F1 Score</w:t>
            </w:r>
          </w:p>
        </w:tc>
        <w:tc>
          <w:tcPr>
            <w:tcW w:type="dxa" w:w="156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ROC-AUC</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Logistic Regression</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~80%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~65%</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~55%</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~60%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~84%</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Random Forest</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~84%</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~72%</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~63%</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~67%</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~89%</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XGBoost</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~85%</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~74%</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~65%</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~69%</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~91%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D1FAE5" w:val="clear"/>
            <w:tcMar>
              <w:top w:type="dxa" w:w="100"/>
              <w:left w:type="dxa" w:w="180"/>
              <w:bottom w:type="dxa" w:w="100"/>
              <w:right w:type="dxa" w:w="180"/>
            </w:tcMar>
          </w:tcPr>
          <w:p>
            <w:r>
              <w:rPr>
                <w:rFonts w:ascii="Inter" w:cs="Inter" w:eastAsia="Inter" w:hAnsi="Inter"/>
                <w:b/>
                <w:bCs/>
                <w:color w:val="065F46"/>
                <w:sz w:val="22"/>
                <w:szCs w:val="22"/>
              </w:rPr>
              <w:t xml:space="preserve">Best Model: </w:t>
            </w:r>
            <w:r>
              <w:rPr>
                <w:rFonts w:ascii="Inter" w:cs="Inter" w:eastAsia="Inter" w:hAnsi="Inter"/>
                <w:b/>
                <w:bCs/>
                <w:color w:val="065F46"/>
                <w:sz w:val="22"/>
                <w:szCs w:val="22"/>
              </w:rPr>
              <w:t xml:space="preserve">XGBoost</w:t>
            </w:r>
            <w:r>
              <w:rPr>
                <w:rFonts w:ascii="Inter" w:cs="Inter" w:eastAsia="Inter" w:hAnsi="Inter"/>
                <w:color w:val="065F46"/>
                <w:sz w:val="22"/>
                <w:szCs w:val="22"/>
              </w:rPr>
              <w:t xml:space="preserve"> — ROC-AUC of 0.91, F1 Score of 0.69. XGBoost selected as the production model for churn probability scoring.</w:t>
            </w:r>
          </w:p>
        </w:tc>
      </w:tr>
    </w:tbl>
    <w:p>
      <w:pPr>
        <w:spacing w:after="160" w:before="0"/>
      </w:pPr>
      <w:r>
        <w:t xml:space="preserve"/>
      </w:r>
    </w:p>
    <w:p>
      <w:pPr>
        <w:pStyle w:val="Heading1"/>
        <w:pBdr>
          <w:bottom w:val="single" w:color="1D4ED8" w:sz="6" w:space="4"/>
        </w:pBdr>
        <w:spacing w:after="120" w:before="360"/>
      </w:pPr>
      <w:r>
        <w:rPr>
          <w:rFonts w:ascii="Inter" w:cs="Inter" w:eastAsia="Inter" w:hAnsi="Inter"/>
          <w:b/>
          <w:bCs/>
          <w:color w:val="1E293B"/>
          <w:sz w:val="32"/>
          <w:szCs w:val="32"/>
        </w:rPr>
        <w:t xml:space="preserve">6. Customer Segmentation</w:t>
      </w:r>
    </w:p>
    <w:p>
      <w:pPr>
        <w:spacing w:after="60" w:before="60"/>
      </w:pPr>
      <w:r>
        <w:rPr>
          <w:rFonts w:ascii="Inter" w:cs="Inter" w:eastAsia="Inter" w:hAnsi="Inter"/>
          <w:color w:val="475569"/>
          <w:sz w:val="22"/>
          <w:szCs w:val="22"/>
        </w:rPr>
        <w:t xml:space="preserve">Customers are segmented into three value tiers based on TotalCharges (overall spend), and three risk tiers based on XGBoost churn probability scores.</w:t>
      </w:r>
    </w:p>
    <w:p>
      <w:pPr>
        <w:spacing w:after="80" w:before="0"/>
      </w:pPr>
      <w:r>
        <w:t xml:space="preserve"/>
      </w:r>
    </w:p>
    <w:p>
      <w:pPr>
        <w:pStyle w:val="Heading2"/>
        <w:spacing w:after="100" w:before="280"/>
      </w:pPr>
      <w:r>
        <w:rPr>
          <w:rFonts w:ascii="Inter" w:cs="Inter" w:eastAsia="Inter" w:hAnsi="Inter"/>
          <w:b/>
          <w:bCs/>
          <w:color w:val="1D4ED8"/>
          <w:sz w:val="26"/>
          <w:szCs w:val="26"/>
        </w:rPr>
        <w:t xml:space="preserve">6.1 Value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Segment</w:t>
            </w:r>
          </w:p>
        </w:tc>
        <w:tc>
          <w:tcPr>
            <w:tcW w:type="dxa" w:w="234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TotalCharges Range</w:t>
            </w:r>
          </w:p>
        </w:tc>
        <w:tc>
          <w:tcPr>
            <w:tcW w:type="dxa" w:w="234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Customers</w:t>
            </w:r>
          </w:p>
        </w:tc>
        <w:tc>
          <w:tcPr>
            <w:tcW w:type="dxa" w:w="234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Avg Churn Rate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Low Value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$0 – $1,000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~2,200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~42%</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Medium Value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$1,000 – $4,000</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~2,600</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~28%</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High Value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$4,000+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~2,200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~12%</w:t>
            </w:r>
          </w:p>
        </w:tc>
      </w:tr>
    </w:tbl>
    <w:p>
      <w:pPr>
        <w:spacing w:after="80" w:before="0"/>
      </w:pPr>
      <w:r>
        <w:t xml:space="preserve"/>
      </w:r>
    </w:p>
    <w:p>
      <w:pPr>
        <w:pStyle w:val="Heading2"/>
        <w:spacing w:after="100" w:before="280"/>
      </w:pPr>
      <w:r>
        <w:rPr>
          <w:rFonts w:ascii="Inter" w:cs="Inter" w:eastAsia="Inter" w:hAnsi="Inter"/>
          <w:b/>
          <w:bCs/>
          <w:color w:val="1D4ED8"/>
          <w:sz w:val="26"/>
          <w:szCs w:val="26"/>
        </w:rPr>
        <w:t xml:space="preserve">6.2 Risk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Risk Category</w:t>
            </w:r>
          </w:p>
        </w:tc>
        <w:tc>
          <w:tcPr>
            <w:tcW w:type="dxa" w:w="234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Churn Probability</w:t>
            </w:r>
          </w:p>
        </w:tc>
        <w:tc>
          <w:tcPr>
            <w:tcW w:type="dxa" w:w="234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Customers</w:t>
            </w:r>
          </w:p>
        </w:tc>
        <w:tc>
          <w:tcPr>
            <w:tcW w:type="dxa" w:w="234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Action Required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Low Risk</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0% – 30%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~3,200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Monitor — standard engagement</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Medium Risk</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30% – 60%</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~2,100</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Proactive — loyalty offers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High Risk</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60%+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~1,728</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Urgent — personalised retention</w:t>
            </w:r>
          </w:p>
        </w:tc>
      </w:tr>
    </w:tbl>
    <w:p>
      <w:pPr>
        <w:spacing w:after="200" w:before="0"/>
      </w:pPr>
      <w:r>
        <w:t xml:space="preserve"/>
      </w:r>
    </w:p>
    <w:p>
      <w:pPr>
        <w:pStyle w:val="Heading1"/>
        <w:pBdr>
          <w:bottom w:val="single" w:color="1D4ED8" w:sz="6" w:space="4"/>
        </w:pBdr>
        <w:spacing w:after="120" w:before="360"/>
      </w:pPr>
      <w:r>
        <w:rPr>
          <w:rFonts w:ascii="Inter" w:cs="Inter" w:eastAsia="Inter" w:hAnsi="Inter"/>
          <w:b/>
          <w:bCs/>
          <w:color w:val="1E293B"/>
          <w:sz w:val="32"/>
          <w:szCs w:val="32"/>
        </w:rPr>
        <w:t xml:space="preserve">7. Business Insights &amp; Recommendations</w:t>
      </w:r>
    </w:p>
    <w:p>
      <w:pPr>
        <w:pStyle w:val="Heading2"/>
        <w:spacing w:after="100" w:before="280"/>
      </w:pPr>
      <w:r>
        <w:rPr>
          <w:rFonts w:ascii="Inter" w:cs="Inter" w:eastAsia="Inter" w:hAnsi="Inter"/>
          <w:b/>
          <w:bCs/>
          <w:color w:val="1D4ED8"/>
          <w:sz w:val="26"/>
          <w:szCs w:val="26"/>
        </w:rPr>
        <w:t xml:space="preserve">7.1 Top Churn Drivers</w:t>
      </w:r>
    </w:p>
    <w:p>
      <w:pPr>
        <w:pStyle w:val="ListParagraph"/>
        <w:numPr>
          <w:ilvl w:val="0"/>
          <w:numId w:val="2"/>
        </w:numPr>
        <w:spacing w:after="40" w:before="40"/>
      </w:pPr>
      <w:r>
        <w:rPr>
          <w:rFonts w:ascii="Inter" w:cs="Inter" w:eastAsia="Inter" w:hAnsi="Inter"/>
          <w:b/>
          <w:bCs/>
          <w:color w:val="1E293B"/>
          <w:sz w:val="22"/>
          <w:szCs w:val="22"/>
        </w:rPr>
        <w:t xml:space="preserve">Contract Type:</w:t>
      </w:r>
      <w:r>
        <w:rPr>
          <w:rFonts w:ascii="Inter" w:cs="Inter" w:eastAsia="Inter" w:hAnsi="Inter"/>
          <w:color w:val="475569"/>
          <w:sz w:val="22"/>
          <w:szCs w:val="22"/>
        </w:rPr>
        <w:t xml:space="preserve"> Month-to-month customers churn at 42.7% — strongest single predictor</w:t>
      </w:r>
    </w:p>
    <w:p>
      <w:pPr>
        <w:pStyle w:val="ListParagraph"/>
        <w:numPr>
          <w:ilvl w:val="0"/>
          <w:numId w:val="2"/>
        </w:numPr>
        <w:spacing w:after="40" w:before="40"/>
      </w:pPr>
      <w:r>
        <w:rPr>
          <w:rFonts w:ascii="Inter" w:cs="Inter" w:eastAsia="Inter" w:hAnsi="Inter"/>
          <w:b/>
          <w:bCs/>
          <w:color w:val="1E293B"/>
          <w:sz w:val="22"/>
          <w:szCs w:val="22"/>
        </w:rPr>
        <w:t xml:space="preserve">Payment Method:</w:t>
      </w:r>
      <w:r>
        <w:rPr>
          <w:rFonts w:ascii="Inter" w:cs="Inter" w:eastAsia="Inter" w:hAnsi="Inter"/>
          <w:color w:val="475569"/>
          <w:sz w:val="22"/>
          <w:szCs w:val="22"/>
        </w:rPr>
        <w:t xml:space="preserve"> Electronic check users show 45.3% churn — 3x higher than automatic payments</w:t>
      </w:r>
    </w:p>
    <w:p>
      <w:pPr>
        <w:pStyle w:val="ListParagraph"/>
        <w:numPr>
          <w:ilvl w:val="0"/>
          <w:numId w:val="2"/>
        </w:numPr>
        <w:spacing w:after="40" w:before="40"/>
      </w:pPr>
      <w:r>
        <w:rPr>
          <w:rFonts w:ascii="Inter" w:cs="Inter" w:eastAsia="Inter" w:hAnsi="Inter"/>
          <w:b/>
          <w:bCs/>
          <w:color w:val="1E293B"/>
          <w:sz w:val="22"/>
          <w:szCs w:val="22"/>
        </w:rPr>
        <w:t xml:space="preserve">Tenure:</w:t>
      </w:r>
      <w:r>
        <w:rPr>
          <w:rFonts w:ascii="Inter" w:cs="Inter" w:eastAsia="Inter" w:hAnsi="Inter"/>
          <w:color w:val="475569"/>
          <w:sz w:val="22"/>
          <w:szCs w:val="22"/>
        </w:rPr>
        <w:t xml:space="preserve"> 60%+ of churns happen within the first 12 months of service</w:t>
      </w:r>
    </w:p>
    <w:p>
      <w:pPr>
        <w:pStyle w:val="ListParagraph"/>
        <w:numPr>
          <w:ilvl w:val="0"/>
          <w:numId w:val="2"/>
        </w:numPr>
        <w:spacing w:after="40" w:before="40"/>
      </w:pPr>
      <w:r>
        <w:rPr>
          <w:rFonts w:ascii="Inter" w:cs="Inter" w:eastAsia="Inter" w:hAnsi="Inter"/>
          <w:b/>
          <w:bCs/>
          <w:color w:val="1E293B"/>
          <w:sz w:val="22"/>
          <w:szCs w:val="22"/>
        </w:rPr>
        <w:t xml:space="preserve">Monthly Charges:</w:t>
      </w:r>
      <w:r>
        <w:rPr>
          <w:rFonts w:ascii="Inter" w:cs="Inter" w:eastAsia="Inter" w:hAnsi="Inter"/>
          <w:color w:val="475569"/>
          <w:sz w:val="22"/>
          <w:szCs w:val="22"/>
        </w:rPr>
        <w:t xml:space="preserve"> Churned customers pay on average $10–15 more per month than active customers</w:t>
      </w:r>
    </w:p>
    <w:p>
      <w:pPr>
        <w:pStyle w:val="ListParagraph"/>
        <w:numPr>
          <w:ilvl w:val="0"/>
          <w:numId w:val="2"/>
        </w:numPr>
        <w:spacing w:after="40" w:before="40"/>
      </w:pPr>
      <w:r>
        <w:rPr>
          <w:rFonts w:ascii="Inter" w:cs="Inter" w:eastAsia="Inter" w:hAnsi="Inter"/>
          <w:b/>
          <w:bCs/>
          <w:color w:val="1E293B"/>
          <w:sz w:val="22"/>
          <w:szCs w:val="22"/>
        </w:rPr>
        <w:t xml:space="preserve">Tech Support:</w:t>
      </w:r>
      <w:r>
        <w:rPr>
          <w:rFonts w:ascii="Inter" w:cs="Inter" w:eastAsia="Inter" w:hAnsi="Inter"/>
          <w:color w:val="475569"/>
          <w:sz w:val="22"/>
          <w:szCs w:val="22"/>
        </w:rPr>
        <w:t xml:space="preserve"> Customers without tech support churn at 2x the rate</w:t>
      </w:r>
    </w:p>
    <w:p>
      <w:pPr>
        <w:spacing w:after="120" w:before="0"/>
      </w:pPr>
      <w:r>
        <w:t xml:space="preserve"/>
      </w:r>
    </w:p>
    <w:p>
      <w:pPr>
        <w:pStyle w:val="Heading2"/>
        <w:spacing w:after="100" w:before="280"/>
      </w:pPr>
      <w:r>
        <w:rPr>
          <w:rFonts w:ascii="Inter" w:cs="Inter" w:eastAsia="Inter" w:hAnsi="Inter"/>
          <w:b/>
          <w:bCs/>
          <w:color w:val="1D4ED8"/>
          <w:sz w:val="26"/>
          <w:szCs w:val="26"/>
        </w:rPr>
        <w:t xml:space="preserve">7.2 Revenue Impact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060"/>
      </w:tblGrid>
      <w:tr>
        <w:tc>
          <w:tcPr>
            <w:tcW w:type="dxa" w:w="3060"/>
            <w:tcBorders>
              <w:top w:val="single" w:color="FEE2E2" w:sz="1"/>
              <w:left w:val="single" w:color="FEE2E2" w:sz="1"/>
              <w:bottom w:val="single" w:color="FEE2E2" w:sz="1"/>
              <w:right w:val="single" w:color="FEE2E2" w:sz="1"/>
            </w:tcBorders>
            <w:shd w:fill="FEE2E2" w:val="clear"/>
            <w:tcMar>
              <w:top w:type="dxa" w:w="120"/>
              <w:left w:type="dxa" w:w="160"/>
              <w:bottom w:type="dxa" w:w="120"/>
              <w:right w:type="dxa" w:w="160"/>
            </w:tcMar>
          </w:tcPr>
          <w:p>
            <w:pPr>
              <w:spacing w:after="40" w:before="0"/>
            </w:pPr>
            <w:r>
              <w:rPr>
                <w:rFonts w:ascii="Inter" w:cs="Inter" w:eastAsia="Inter" w:hAnsi="Inter"/>
                <w:b/>
                <w:bCs/>
                <w:caps/>
                <w:color w:val="991B1B"/>
                <w:sz w:val="16"/>
                <w:szCs w:val="16"/>
              </w:rPr>
              <w:t xml:space="preserve">MONTHLY REVENUE LOST</w:t>
            </w:r>
          </w:p>
          <w:p>
            <w:pPr>
              <w:spacing w:after="40" w:before="0"/>
            </w:pPr>
            <w:r>
              <w:rPr>
                <w:rFonts w:ascii="Inter" w:cs="Inter" w:eastAsia="Inter" w:hAnsi="Inter"/>
                <w:b/>
                <w:bCs/>
                <w:color w:val="991B1B"/>
                <w:sz w:val="32"/>
                <w:szCs w:val="32"/>
              </w:rPr>
              <w:t xml:space="preserve">$121,285</w:t>
            </w:r>
          </w:p>
          <w:p>
            <w:pPr>
              <w:spacing w:after="0" w:before="0"/>
            </w:pPr>
            <w:r>
              <w:rPr>
                <w:rFonts w:ascii="Inter" w:cs="Inter" w:eastAsia="Inter" w:hAnsi="Inter"/>
                <w:color w:val="991B1B"/>
                <w:sz w:val="18"/>
                <w:szCs w:val="18"/>
              </w:rPr>
              <w:t xml:space="preserve">from 1,869 churned customers</w:t>
            </w:r>
          </w:p>
        </w:tc>
        <w:tc>
          <w:tcPr>
            <w:tcW w:type="dxa" w:w="3060"/>
            <w:tcBorders>
              <w:top w:val="single" w:color="FEE2E2" w:sz="1"/>
              <w:left w:val="single" w:color="FEE2E2" w:sz="1"/>
              <w:bottom w:val="single" w:color="FEE2E2" w:sz="1"/>
              <w:right w:val="single" w:color="FEE2E2" w:sz="1"/>
            </w:tcBorders>
            <w:shd w:fill="FEE2E2" w:val="clear"/>
            <w:tcMar>
              <w:top w:type="dxa" w:w="120"/>
              <w:left w:type="dxa" w:w="160"/>
              <w:bottom w:type="dxa" w:w="120"/>
              <w:right w:type="dxa" w:w="160"/>
            </w:tcMar>
          </w:tcPr>
          <w:p>
            <w:pPr>
              <w:spacing w:after="40" w:before="0"/>
            </w:pPr>
            <w:r>
              <w:rPr>
                <w:rFonts w:ascii="Inter" w:cs="Inter" w:eastAsia="Inter" w:hAnsi="Inter"/>
                <w:b/>
                <w:bCs/>
                <w:caps/>
                <w:color w:val="991B1B"/>
                <w:sz w:val="16"/>
                <w:szCs w:val="16"/>
              </w:rPr>
              <w:t xml:space="preserve">ANNUAL REVENUE AT RISK</w:t>
            </w:r>
          </w:p>
          <w:p>
            <w:pPr>
              <w:spacing w:after="40" w:before="0"/>
            </w:pPr>
            <w:r>
              <w:rPr>
                <w:rFonts w:ascii="Inter" w:cs="Inter" w:eastAsia="Inter" w:hAnsi="Inter"/>
                <w:b/>
                <w:bCs/>
                <w:color w:val="991B1B"/>
                <w:sz w:val="32"/>
                <w:szCs w:val="32"/>
              </w:rPr>
              <w:t xml:space="preserve">$1.46M</w:t>
            </w:r>
          </w:p>
          <w:p>
            <w:pPr>
              <w:spacing w:after="0" w:before="0"/>
            </w:pPr>
            <w:r>
              <w:rPr>
                <w:rFonts w:ascii="Inter" w:cs="Inter" w:eastAsia="Inter" w:hAnsi="Inter"/>
                <w:color w:val="991B1B"/>
                <w:sz w:val="18"/>
                <w:szCs w:val="18"/>
              </w:rPr>
              <w:t xml:space="preserve">projected annual exposure</w:t>
            </w:r>
          </w:p>
        </w:tc>
        <w:tc>
          <w:tcPr>
            <w:tcW w:type="dxa" w:w="3060"/>
            <w:tcBorders>
              <w:top w:val="single" w:color="FEF3C7" w:sz="1"/>
              <w:left w:val="single" w:color="FEF3C7" w:sz="1"/>
              <w:bottom w:val="single" w:color="FEF3C7" w:sz="1"/>
              <w:right w:val="single" w:color="FEF3C7" w:sz="1"/>
            </w:tcBorders>
            <w:shd w:fill="FEF3C7" w:val="clear"/>
            <w:tcMar>
              <w:top w:type="dxa" w:w="120"/>
              <w:left w:type="dxa" w:w="160"/>
              <w:bottom w:type="dxa" w:w="120"/>
              <w:right w:type="dxa" w:w="160"/>
            </w:tcMar>
          </w:tcPr>
          <w:p>
            <w:pPr>
              <w:spacing w:after="40" w:before="0"/>
            </w:pPr>
            <w:r>
              <w:rPr>
                <w:rFonts w:ascii="Inter" w:cs="Inter" w:eastAsia="Inter" w:hAnsi="Inter"/>
                <w:b/>
                <w:bCs/>
                <w:caps/>
                <w:color w:val="92400E"/>
                <w:sz w:val="16"/>
                <w:szCs w:val="16"/>
              </w:rPr>
              <w:t xml:space="preserve">AVG LOST PER CUSTOMER</w:t>
            </w:r>
          </w:p>
          <w:p>
            <w:pPr>
              <w:spacing w:after="40" w:before="0"/>
            </w:pPr>
            <w:r>
              <w:rPr>
                <w:rFonts w:ascii="Inter" w:cs="Inter" w:eastAsia="Inter" w:hAnsi="Inter"/>
                <w:b/>
                <w:bCs/>
                <w:color w:val="92400E"/>
                <w:sz w:val="32"/>
                <w:szCs w:val="32"/>
              </w:rPr>
              <w:t xml:space="preserve">$64.9</w:t>
            </w:r>
          </w:p>
          <w:p>
            <w:pPr>
              <w:spacing w:after="0" w:before="0"/>
            </w:pPr>
            <w:r>
              <w:rPr>
                <w:rFonts w:ascii="Inter" w:cs="Inter" w:eastAsia="Inter" w:hAnsi="Inter"/>
                <w:color w:val="92400E"/>
                <w:sz w:val="18"/>
                <w:szCs w:val="18"/>
              </w:rPr>
              <w:t xml:space="preserve">monthly charge per churned customer</w:t>
            </w:r>
          </w:p>
        </w:tc>
      </w:tr>
    </w:tbl>
    <w:p>
      <w:pPr>
        <w:spacing w:after="160" w:before="0"/>
      </w:pPr>
      <w:r>
        <w:t xml:space="preserve"/>
      </w:r>
    </w:p>
    <w:p>
      <w:pPr>
        <w:pStyle w:val="Heading2"/>
        <w:spacing w:after="100" w:before="280"/>
      </w:pPr>
      <w:r>
        <w:rPr>
          <w:rFonts w:ascii="Inter" w:cs="Inter" w:eastAsia="Inter" w:hAnsi="Inter"/>
          <w:b/>
          <w:bCs/>
          <w:color w:val="1D4ED8"/>
          <w:sz w:val="26"/>
          <w:szCs w:val="26"/>
        </w:rPr>
        <w:t xml:space="preserve">7.3 Recommendations</w:t>
      </w:r>
    </w:p>
    <w:p>
      <w:pPr>
        <w:pStyle w:val="ListParagraph"/>
        <w:numPr>
          <w:ilvl w:val="0"/>
          <w:numId w:val="2"/>
        </w:numPr>
        <w:spacing w:after="40" w:before="40"/>
      </w:pPr>
      <w:r>
        <w:rPr>
          <w:rFonts w:ascii="Inter" w:cs="Inter" w:eastAsia="Inter" w:hAnsi="Inter"/>
          <w:b/>
          <w:bCs/>
          <w:color w:val="1E293B"/>
          <w:sz w:val="22"/>
          <w:szCs w:val="22"/>
        </w:rPr>
        <w:t xml:space="preserve">Priority 1 — Contract Migration:</w:t>
      </w:r>
      <w:r>
        <w:rPr>
          <w:rFonts w:ascii="Inter" w:cs="Inter" w:eastAsia="Inter" w:hAnsi="Inter"/>
          <w:color w:val="475569"/>
          <w:sz w:val="22"/>
          <w:szCs w:val="22"/>
        </w:rPr>
        <w:t xml:space="preserve"> Offer month-to-month customers discounted annual contracts. A 10% conversion reduces churn rate by ~4 percentage points.</w:t>
      </w:r>
    </w:p>
    <w:p>
      <w:pPr>
        <w:pStyle w:val="ListParagraph"/>
        <w:numPr>
          <w:ilvl w:val="0"/>
          <w:numId w:val="2"/>
        </w:numPr>
        <w:spacing w:after="40" w:before="40"/>
      </w:pPr>
      <w:r>
        <w:rPr>
          <w:rFonts w:ascii="Inter" w:cs="Inter" w:eastAsia="Inter" w:hAnsi="Inter"/>
          <w:b/>
          <w:bCs/>
          <w:color w:val="1E293B"/>
          <w:sz w:val="22"/>
          <w:szCs w:val="22"/>
        </w:rPr>
        <w:t xml:space="preserve">Priority 2 — Electronic Check Customers:</w:t>
      </w:r>
      <w:r>
        <w:rPr>
          <w:rFonts w:ascii="Inter" w:cs="Inter" w:eastAsia="Inter" w:hAnsi="Inter"/>
          <w:color w:val="475569"/>
          <w:sz w:val="22"/>
          <w:szCs w:val="22"/>
        </w:rPr>
        <w:t xml:space="preserve"> Incentivise migration to auto-pay (credit card or bank transfer). Offer 1-month bill credit for switching.</w:t>
      </w:r>
    </w:p>
    <w:p>
      <w:pPr>
        <w:pStyle w:val="ListParagraph"/>
        <w:numPr>
          <w:ilvl w:val="0"/>
          <w:numId w:val="2"/>
        </w:numPr>
        <w:spacing w:after="40" w:before="40"/>
      </w:pPr>
      <w:r>
        <w:rPr>
          <w:rFonts w:ascii="Inter" w:cs="Inter" w:eastAsia="Inter" w:hAnsi="Inter"/>
          <w:b/>
          <w:bCs/>
          <w:color w:val="1E293B"/>
          <w:sz w:val="22"/>
          <w:szCs w:val="22"/>
        </w:rPr>
        <w:t xml:space="preserve">Priority 3 — First-Year Engagement:</w:t>
      </w:r>
      <w:r>
        <w:rPr>
          <w:rFonts w:ascii="Inter" w:cs="Inter" w:eastAsia="Inter" w:hAnsi="Inter"/>
          <w:color w:val="475569"/>
          <w:sz w:val="22"/>
          <w:szCs w:val="22"/>
        </w:rPr>
        <w:t xml:space="preserve"> Deploy a 90-day onboarding programme with proactive support touchpoints for all new customers.</w:t>
      </w:r>
    </w:p>
    <w:p>
      <w:pPr>
        <w:pStyle w:val="ListParagraph"/>
        <w:numPr>
          <w:ilvl w:val="0"/>
          <w:numId w:val="2"/>
        </w:numPr>
        <w:spacing w:after="40" w:before="40"/>
      </w:pPr>
      <w:r>
        <w:rPr>
          <w:rFonts w:ascii="Inter" w:cs="Inter" w:eastAsia="Inter" w:hAnsi="Inter"/>
          <w:b/>
          <w:bCs/>
          <w:color w:val="1E293B"/>
          <w:sz w:val="22"/>
          <w:szCs w:val="22"/>
        </w:rPr>
        <w:t xml:space="preserve">Priority 4 — High Risk Outreach:</w:t>
      </w:r>
      <w:r>
        <w:rPr>
          <w:rFonts w:ascii="Inter" w:cs="Inter" w:eastAsia="Inter" w:hAnsi="Inter"/>
          <w:color w:val="475569"/>
          <w:sz w:val="22"/>
          <w:szCs w:val="22"/>
        </w:rPr>
        <w:t xml:space="preserve"> Use the model's 1,728 high-risk customers list for immediate personalised retention calls.</w:t>
      </w:r>
    </w:p>
    <w:p>
      <w:pPr>
        <w:pStyle w:val="ListParagraph"/>
        <w:numPr>
          <w:ilvl w:val="0"/>
          <w:numId w:val="2"/>
        </w:numPr>
        <w:spacing w:after="40" w:before="40"/>
      </w:pPr>
      <w:r>
        <w:rPr>
          <w:rFonts w:ascii="Inter" w:cs="Inter" w:eastAsia="Inter" w:hAnsi="Inter"/>
          <w:b/>
          <w:bCs/>
          <w:color w:val="1E293B"/>
          <w:sz w:val="22"/>
          <w:szCs w:val="22"/>
        </w:rPr>
        <w:t xml:space="preserve">Priority 5 — Tech Support Bundling:</w:t>
      </w:r>
      <w:r>
        <w:rPr>
          <w:rFonts w:ascii="Inter" w:cs="Inter" w:eastAsia="Inter" w:hAnsi="Inter"/>
          <w:color w:val="475569"/>
          <w:sz w:val="22"/>
          <w:szCs w:val="22"/>
        </w:rPr>
        <w:t xml:space="preserve"> Bundle TechSupport into plans for new customers — reduces churn signal significantly.</w:t>
      </w:r>
    </w:p>
    <w:p>
      <w:pPr>
        <w:spacing w:after="200" w:before="0"/>
      </w:pPr>
      <w:r>
        <w:t xml:space="preserve"/>
      </w:r>
    </w:p>
    <w:p>
      <w:pPr>
        <w:pStyle w:val="Heading1"/>
        <w:pBdr>
          <w:bottom w:val="single" w:color="1D4ED8" w:sz="6" w:space="4"/>
        </w:pBdr>
        <w:spacing w:after="120" w:before="360"/>
      </w:pPr>
      <w:r>
        <w:rPr>
          <w:rFonts w:ascii="Inter" w:cs="Inter" w:eastAsia="Inter" w:hAnsi="Inter"/>
          <w:b/>
          <w:bCs/>
          <w:color w:val="1E293B"/>
          <w:sz w:val="32"/>
          <w:szCs w:val="32"/>
        </w:rPr>
        <w:t xml:space="preserve">8. Project Deliverables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Module</w:t>
            </w:r>
          </w:p>
        </w:tc>
        <w:tc>
          <w:tcPr>
            <w:tcW w:type="dxa" w:w="312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File</w:t>
            </w:r>
          </w:p>
        </w:tc>
        <w:tc>
          <w:tcPr>
            <w:tcW w:type="dxa" w:w="3120"/>
            <w:tcBorders>
              <w:top w:val="single" w:color="1D4ED8" w:sz="1"/>
              <w:left w:val="single" w:color="1D4ED8" w:sz="1"/>
              <w:bottom w:val="single" w:color="1D4ED8" w:sz="1"/>
              <w:right w:val="single" w:color="1D4ED8" w:sz="1"/>
            </w:tcBorders>
            <w:shd w:fill="1D4ED8" w:val="clear"/>
            <w:tcMar>
              <w:top w:type="dxa" w:w="80"/>
              <w:left w:type="dxa" w:w="120"/>
              <w:bottom w:type="dxa" w:w="80"/>
              <w:right w:type="dxa" w:w="120"/>
            </w:tcMar>
          </w:tcPr>
          <w:p>
            <w:pPr>
              <w:jc w:val="left"/>
            </w:pPr>
            <w:r>
              <w:rPr>
                <w:rFonts w:ascii="Inter" w:cs="Inter" w:eastAsia="Inter" w:hAnsi="Inter"/>
                <w:b/>
                <w:bCs/>
                <w:color w:val="FFFFFF"/>
                <w:sz w:val="20"/>
                <w:szCs w:val="20"/>
              </w:rPr>
              <w:t xml:space="preserve">Status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Data Analysis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data_analysis.py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Complete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Feature Engineering</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feature_engineering.py</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Complete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Visualizations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visualization.py + outputs/plots/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Complete — 7 charts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ML Models (LR, RF, XGB)</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models.py</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Complete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Customer Segmentation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insights.py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Complete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Prediction System</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models.py + app.py</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Complete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Business Insights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insights.py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Complete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Pipeline Runner</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main.py</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Complete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Streamlit Dashboard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app.py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Complete — Bonus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Jupyter Notebook</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churn_prediction_notebook.ipynb</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Inter" w:cs="Inter" w:eastAsia="Inter" w:hAnsi="Inter"/>
                <w:color w:val="1E293B"/>
                <w:sz w:val="20"/>
                <w:szCs w:val="20"/>
              </w:rPr>
              <w:t xml:space="preserve">Complete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Summary Insights Doc</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summary_insights.docx</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Inter" w:cs="Inter" w:eastAsia="Inter" w:hAnsi="Inter"/>
                <w:color w:val="1E293B"/>
                <w:sz w:val="20"/>
                <w:szCs w:val="20"/>
              </w:rPr>
              <w:t xml:space="preserve">Complete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DBEAFE" w:val="clear"/>
            <w:tcMar>
              <w:top w:type="dxa" w:w="120"/>
              <w:left w:type="dxa" w:w="200"/>
              <w:bottom w:type="dxa" w:w="120"/>
              <w:right w:type="dxa" w:w="200"/>
            </w:tcMar>
          </w:tcPr>
          <w:p>
            <w:pPr>
              <w:jc w:val="center"/>
            </w:pPr>
            <w:r>
              <w:rPr>
                <w:rFonts w:ascii="Inter" w:cs="Inter" w:eastAsia="Inter" w:hAnsi="Inter"/>
                <w:b/>
                <w:bCs/>
                <w:color w:val="1D4ED8"/>
                <w:sz w:val="20"/>
                <w:szCs w:val="20"/>
              </w:rPr>
              <w:t xml:space="preserve">Submitted by: </w:t>
            </w:r>
            <w:r>
              <w:rPr>
                <w:rFonts w:ascii="Inter" w:cs="Inter" w:eastAsia="Inter" w:hAnsi="Inter"/>
                <w:color w:val="1D4ED8"/>
                <w:sz w:val="20"/>
                <w:szCs w:val="20"/>
              </w:rPr>
              <w:t xml:space="preserve">khizarhayat24</w:t>
            </w:r>
            <w:r>
              <w:rPr>
                <w:rFonts w:ascii="Inter" w:cs="Inter" w:eastAsia="Inter" w:hAnsi="Inter"/>
                <w:color w:val="1D4ED8"/>
                <w:sz w:val="20"/>
                <w:szCs w:val="20"/>
              </w:rPr>
              <w:t xml:space="preserve">   |   Task ID: ML-INT-1   |   Teyzix Core Internship — June Batch 2026</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after="0" w:before="160"/>
    </w:pPr>
    <w:r>
      <w:rPr>
        <w:rFonts w:ascii="Inter" w:cs="Inter" w:eastAsia="Inter" w:hAnsi="Inter"/>
        <w:color w:val="AAAAAA"/>
        <w:sz w:val="16"/>
        <w:szCs w:val="16"/>
      </w:rPr>
      <w:t xml:space="preserve">Teyzix Core Internship · June 2026</w:t>
    </w:r>
    <w:r>
      <w:rPr>
        <w:rFonts w:ascii="Inter" w:cs="Inter" w:eastAsia="Inter" w:hAnsi="Inter"/>
        <w:color w:val="AAAAAA"/>
        <w:sz w:val="16"/>
        <w:szCs w:val="16"/>
      </w:rPr>
      <w:t xml:space="preserve">   |   Confidential — Teyzix Core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after="160" w:before="0"/>
    </w:pPr>
    <w:r>
      <w:rPr>
        <w:rFonts w:ascii="Inter" w:cs="Inter" w:eastAsia="Inter" w:hAnsi="Inter"/>
        <w:color w:val="475569"/>
        <w:sz w:val="18"/>
        <w:szCs w:val="18"/>
      </w:rPr>
      <w:t xml:space="preserve">ChurnIQ — Customer Behavior Analytics</w:t>
    </w:r>
    <w:r>
      <w:rPr>
        <w:rFonts w:ascii="Inter" w:cs="Inter" w:eastAsia="Inter" w:hAnsi="Inter"/>
        <w:color w:val="AAAAAA"/>
        <w:sz w:val="18"/>
        <w:szCs w:val="18"/>
      </w:rPr>
      <w:t xml:space="preserve">   |   Teyzix Core Internship · ML-INT-1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Inter" w:cs="Inter" w:eastAsia="Inter" w:hAnsi="Inter"/>
      <w:b/>
      <w:bCs/>
      <w:color w:val="1E293B"/>
      <w:sz w:val="32"/>
      <w:szCs w:val="32"/>
    </w:rPr>
  </w:style>
  <w:style w:type="paragraph" w:styleId="Heading2">
    <w:name w:val="Heading 2"/>
    <w:basedOn w:val="Normal"/>
    <w:next w:val="Normal"/>
    <w:qFormat/>
    <w:pPr>
      <w:spacing w:after="100" w:before="280"/>
      <w:outlineLvl w:val="1"/>
    </w:pPr>
    <w:rPr>
      <w:rFonts w:ascii="Inter" w:cs="Inter" w:eastAsia="Inter" w:hAnsi="Inter"/>
      <w:b/>
      <w:bCs/>
      <w:color w:val="1D4ED8"/>
      <w:sz w:val="26"/>
      <w:szCs w:val="26"/>
    </w:rPr>
  </w:style>
  <w:style w:type="paragraph" w:styleId="Heading3">
    <w:name w:val="Heading 3"/>
    <w:basedOn w:val="Normal"/>
    <w:next w:val="Normal"/>
    <w:qFormat/>
    <w:pPr>
      <w:spacing w:after="80" w:before="200"/>
      <w:outlineLvl w:val="2"/>
    </w:pPr>
    <w:rPr>
      <w:rFonts w:ascii="Inter" w:cs="Inter" w:eastAsia="Inter" w:hAnsi="Inter"/>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2026-06-12T04:04:47.283Z</dcterms:created>
  <dcterms:modified xsi:type="dcterms:W3CDTF">2026-06-12T04:04:47.283Z</dcterms:modified>
</cp:coreProperties>
</file>

<file path=docProps/custom.xml><?xml version="1.0" encoding="utf-8"?>
<Properties xmlns="http://schemas.openxmlformats.org/officeDocument/2006/custom-properties" xmlns:vt="http://schemas.openxmlformats.org/officeDocument/2006/docPropsVTypes"/>
</file>