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rFonts w:ascii="Calibri" w:hAnsi="Calibri"/>
          <w:b/>
          <w:i w:val="0"/>
          <w:color w:val="1E3A8A"/>
          <w:sz w:val="72"/>
        </w:rPr>
        <w:t>ChurnIQ</w:t>
      </w:r>
    </w:p>
    <w:p>
      <w:pPr>
        <w:spacing w:after="80"/>
        <w:jc w:val="center"/>
      </w:pPr>
      <w:r>
        <w:rPr>
          <w:rFonts w:ascii="Calibri" w:hAnsi="Calibri"/>
          <w:b w:val="0"/>
          <w:i w:val="0"/>
          <w:color w:val="1D4ED8"/>
          <w:sz w:val="32"/>
        </w:rPr>
        <w:t>Customer Behavior Analytics &amp; Churn Prediction</w:t>
      </w:r>
    </w:p>
    <w:p>
      <w:pPr>
        <w:spacing w:after="800"/>
        <w:jc w:val="center"/>
      </w:pPr>
      <w:r>
        <w:rPr>
          <w:rFonts w:ascii="Calibri" w:hAnsi="Calibri"/>
          <w:b w:val="0"/>
          <w:i/>
          <w:color w:val="64748B"/>
          <w:sz w:val="26"/>
        </w:rPr>
        <w:t>Summary Insights &amp; Technical Documentation</w:t>
      </w:r>
    </w:p>
    <w:p>
      <w:pPr>
        <w:jc w:val="center"/>
        <w:pBdr>
          <w:bottom w:val="single" w:sz="12" w:space="1" w:color="1E3A8A"/>
        </w:pBdr>
      </w:pPr>
      <w:r>
        <w:rPr>
          <w:rFonts w:ascii="Calibri" w:hAnsi="Calibri"/>
          <w:b w:val="0"/>
          <w:i w:val="0"/>
          <w:sz w:val="8"/>
        </w:rPr>
      </w:r>
    </w:p>
    <w:p>
      <w:pPr>
        <w:spacing w:before="0" w:after="0"/>
      </w:pPr>
      <w:r>
        <w:rPr>
          <w:rFonts w:ascii="Calibri" w:hAnsi="Calibri"/>
          <w:b w:val="0"/>
          <w:i w:val="0"/>
          <w:sz w:val="8"/>
        </w:rPr>
      </w:r>
    </w:p>
    <w:p>
      <w:pPr>
        <w:spacing w:before="0" w:after="0"/>
      </w:pPr>
      <w:r>
        <w:rPr>
          <w:rFonts w:ascii="Calibri" w:hAnsi="Calibri"/>
          <w:b w:val="0"/>
          <w:i w:val="0"/>
          <w:sz w:val="8"/>
        </w:rPr>
      </w:r>
    </w:p>
    <w:p>
      <w:pPr>
        <w:spacing w:after="60"/>
        <w:jc w:val="center"/>
      </w:pPr>
      <w:r>
        <w:rPr>
          <w:rFonts w:ascii="Calibri" w:hAnsi="Calibri"/>
          <w:b/>
          <w:i w:val="0"/>
          <w:color w:val="374151"/>
          <w:sz w:val="22"/>
        </w:rPr>
        <w:t xml:space="preserve">Internship:  </w:t>
      </w:r>
      <w:r>
        <w:rPr>
          <w:rFonts w:ascii="Calibri" w:hAnsi="Calibri"/>
          <w:b w:val="0"/>
          <w:i w:val="0"/>
          <w:color w:val="1E3A8A"/>
          <w:sz w:val="22"/>
        </w:rPr>
        <w:t>Teyzix Core — June Batch 2026</w:t>
      </w:r>
    </w:p>
    <w:p>
      <w:pPr>
        <w:spacing w:after="60"/>
        <w:jc w:val="center"/>
      </w:pPr>
      <w:r>
        <w:rPr>
          <w:rFonts w:ascii="Calibri" w:hAnsi="Calibri"/>
          <w:b/>
          <w:i w:val="0"/>
          <w:color w:val="374151"/>
          <w:sz w:val="22"/>
        </w:rPr>
        <w:t xml:space="preserve">Task ID:  </w:t>
      </w:r>
      <w:r>
        <w:rPr>
          <w:rFonts w:ascii="Calibri" w:hAnsi="Calibri"/>
          <w:b w:val="0"/>
          <w:i w:val="0"/>
          <w:color w:val="1E3A8A"/>
          <w:sz w:val="22"/>
        </w:rPr>
        <w:t>ML-INT-1</w:t>
      </w:r>
    </w:p>
    <w:p>
      <w:pPr>
        <w:spacing w:after="60"/>
        <w:jc w:val="center"/>
      </w:pPr>
      <w:r>
        <w:rPr>
          <w:rFonts w:ascii="Calibri" w:hAnsi="Calibri"/>
          <w:b/>
          <w:i w:val="0"/>
          <w:color w:val="374151"/>
          <w:sz w:val="22"/>
        </w:rPr>
        <w:t xml:space="preserve">Domain:  </w:t>
      </w:r>
      <w:r>
        <w:rPr>
          <w:rFonts w:ascii="Calibri" w:hAnsi="Calibri"/>
          <w:b w:val="0"/>
          <w:i w:val="0"/>
          <w:color w:val="1E3A8A"/>
          <w:sz w:val="22"/>
        </w:rPr>
        <w:t>Machine Learning</w:t>
      </w:r>
    </w:p>
    <w:p>
      <w:pPr>
        <w:spacing w:after="60"/>
        <w:jc w:val="center"/>
      </w:pPr>
      <w:r>
        <w:rPr>
          <w:rFonts w:ascii="Calibri" w:hAnsi="Calibri"/>
          <w:b/>
          <w:i w:val="0"/>
          <w:color w:val="374151"/>
          <w:sz w:val="22"/>
        </w:rPr>
        <w:t xml:space="preserve">Difficulty:  </w:t>
      </w:r>
      <w:r>
        <w:rPr>
          <w:rFonts w:ascii="Calibri" w:hAnsi="Calibri"/>
          <w:b w:val="0"/>
          <w:i w:val="0"/>
          <w:color w:val="1E3A8A"/>
          <w:sz w:val="22"/>
        </w:rPr>
        <w:t>Intermediate</w:t>
      </w:r>
    </w:p>
    <w:p>
      <w:pPr>
        <w:spacing w:after="60"/>
        <w:jc w:val="center"/>
      </w:pPr>
      <w:r>
        <w:rPr>
          <w:rFonts w:ascii="Calibri" w:hAnsi="Calibri"/>
          <w:b/>
          <w:i w:val="0"/>
          <w:color w:val="374151"/>
          <w:sz w:val="22"/>
        </w:rPr>
        <w:t xml:space="preserve">Assigned:  </w:t>
      </w:r>
      <w:r>
        <w:rPr>
          <w:rFonts w:ascii="Calibri" w:hAnsi="Calibri"/>
          <w:b w:val="0"/>
          <w:i w:val="0"/>
          <w:color w:val="1E3A8A"/>
          <w:sz w:val="22"/>
        </w:rPr>
        <w:t>11 June 2026</w:t>
      </w:r>
    </w:p>
    <w:p>
      <w:pPr>
        <w:spacing w:after="60"/>
        <w:jc w:val="center"/>
      </w:pPr>
      <w:r>
        <w:rPr>
          <w:rFonts w:ascii="Calibri" w:hAnsi="Calibri"/>
          <w:b/>
          <w:i w:val="0"/>
          <w:color w:val="374151"/>
          <w:sz w:val="22"/>
        </w:rPr>
        <w:t xml:space="preserve">Deadline:  </w:t>
      </w:r>
      <w:r>
        <w:rPr>
          <w:rFonts w:ascii="Calibri" w:hAnsi="Calibri"/>
          <w:b w:val="0"/>
          <w:i w:val="0"/>
          <w:color w:val="1E3A8A"/>
          <w:sz w:val="22"/>
        </w:rPr>
        <w:t>19 June 2026</w:t>
      </w:r>
    </w:p>
    <w:p>
      <w:pPr>
        <w:spacing w:after="60"/>
        <w:jc w:val="center"/>
      </w:pPr>
      <w:r>
        <w:rPr>
          <w:rFonts w:ascii="Calibri" w:hAnsi="Calibri"/>
          <w:b/>
          <w:i w:val="0"/>
          <w:color w:val="374151"/>
          <w:sz w:val="22"/>
        </w:rPr>
        <w:t xml:space="preserve">Dataset:  </w:t>
      </w:r>
      <w:r>
        <w:rPr>
          <w:rFonts w:ascii="Calibri" w:hAnsi="Calibri"/>
          <w:b w:val="0"/>
          <w:i w:val="0"/>
          <w:color w:val="1E3A8A"/>
          <w:sz w:val="22"/>
        </w:rPr>
        <w:t>customerservices.csv — 7,043 customers, 21 columns</w:t>
      </w:r>
    </w:p>
    <w:p>
      <w:pPr>
        <w:spacing w:after="60"/>
        <w:jc w:val="center"/>
      </w:pPr>
      <w:r>
        <w:rPr>
          <w:rFonts w:ascii="Calibri" w:hAnsi="Calibri"/>
          <w:b/>
          <w:i w:val="0"/>
          <w:color w:val="374151"/>
          <w:sz w:val="22"/>
        </w:rPr>
        <w:t xml:space="preserve">Tech Stack:  </w:t>
      </w:r>
      <w:r>
        <w:rPr>
          <w:rFonts w:ascii="Calibri" w:hAnsi="Calibri"/>
          <w:b w:val="0"/>
          <w:i w:val="0"/>
          <w:color w:val="1E3A8A"/>
          <w:sz w:val="22"/>
        </w:rPr>
        <w:t>Python · pandas · scikit-learn · XGBoost · Streamlit · SHAP</w:t>
      </w:r>
    </w:p>
    <w:p>
      <w:r>
        <w:br w:type="page"/>
      </w:r>
    </w:p>
    <w:p>
      <w:pPr>
        <w:spacing w:before="360" w:after="120"/>
        <w:jc w:val="left"/>
        <w:pBdr>
          <w:left w:val="single" w:sz="24" w:space="8" w:color="1E3A8A"/>
        </w:pBdr>
        <w:shd w:val="clear" w:color="auto" w:fill="EFF6FF"/>
      </w:pPr>
      <w:r>
        <w:rPr>
          <w:rFonts w:ascii="Calibri" w:hAnsi="Calibri"/>
          <w:b/>
          <w:i w:val="0"/>
          <w:color w:val="1E3A8A"/>
          <w:sz w:val="28"/>
        </w:rPr>
        <w:t>1. Executive Summary</w:t>
      </w:r>
    </w:p>
    <w:p>
      <w:pPr>
        <w:spacing w:before="0" w:after="0"/>
      </w:pPr>
      <w:r>
        <w:rPr>
          <w:rFonts w:ascii="Calibri" w:hAnsi="Calibri"/>
          <w:b w:val="0"/>
          <w:i w:val="0"/>
          <w:sz w:val="8"/>
        </w:rPr>
      </w:r>
    </w:p>
    <w:p>
      <w:pPr>
        <w:spacing w:before="40" w:after="80"/>
      </w:pPr>
      <w:r>
        <w:rPr>
          <w:rFonts w:ascii="Calibri" w:hAnsi="Calibri"/>
          <w:b w:val="0"/>
          <w:i w:val="0"/>
          <w:color w:val="1C1C1C"/>
          <w:sz w:val="21"/>
        </w:rPr>
        <w:t>ChurnIQ is an end-to-end machine learning system built for Teyzix Core Task ML-INT-1. The objective was to analyze customer behavior data, build predictive models for churn, generate business-ready insights, and deliver everything through an interactive dashboard with automated email reporting — not just a notebook, but a production-ready system.</w:t>
      </w:r>
    </w:p>
    <w:p>
      <w:pPr>
        <w:spacing w:before="0" w:after="0"/>
      </w:pPr>
      <w:r>
        <w:rPr>
          <w:rFonts w:ascii="Calibri" w:hAnsi="Calibri"/>
          <w:b w:val="0"/>
          <w:i w:val="0"/>
          <w:sz w:val="8"/>
        </w:rPr>
      </w:r>
    </w:p>
    <w:p>
      <w:pPr>
        <w:spacing w:before="40" w:after="80"/>
      </w:pPr>
      <w:r>
        <w:rPr>
          <w:rFonts w:ascii="Calibri" w:hAnsi="Calibri"/>
          <w:b w:val="0"/>
          <w:i w:val="0"/>
          <w:color w:val="1C1C1C"/>
          <w:sz w:val="21"/>
        </w:rPr>
        <w:t>The project was built modularly — each concern (data cleaning, feature engineering, visualization, model training, insights, dashboard, email) is a separate Python file that can run independently or as a full pipeline via main.py.</w:t>
      </w:r>
    </w:p>
    <w:p>
      <w:pPr>
        <w:spacing w:before="0" w:after="0"/>
      </w:pPr>
      <w:r>
        <w:rPr>
          <w:rFonts w:ascii="Calibri" w:hAnsi="Calibri"/>
          <w:b w:val="0"/>
          <w:i w:val="0"/>
          <w:sz w:val="8"/>
        </w:rPr>
      </w:r>
    </w:p>
    <w:p>
      <w:pPr>
        <w:spacing w:before="160" w:after="60"/>
      </w:pPr>
      <w:r>
        <w:rPr>
          <w:rFonts w:ascii="Calibri" w:hAnsi="Calibri"/>
          <w:b/>
          <w:i w:val="0"/>
          <w:color w:val="0F766E"/>
          <w:sz w:val="22"/>
        </w:rPr>
        <w:t>Project Scope Summary</w:t>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1E3A8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Area</w:t>
            </w:r>
          </w:p>
        </w:tc>
        <w:tc>
          <w:tcPr>
            <w:tcW w:type="dxa" w:w="3600"/>
            <w:shd w:val="clear" w:color="auto" w:fill="1E3A8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What was built</w:t>
            </w:r>
          </w:p>
        </w:tc>
        <w:tc>
          <w:tcPr>
            <w:tcW w:type="dxa" w:w="4608"/>
            <w:shd w:val="clear" w:color="auto" w:fill="1E3A8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Details</w:t>
            </w:r>
          </w:p>
        </w:tc>
      </w:tr>
      <w:tr>
        <w:tc>
          <w:tcPr>
            <w:tcW w:type="dxa" w:w="288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Dataset</w:t>
            </w:r>
          </w:p>
        </w:tc>
        <w:tc>
          <w:tcPr>
            <w:tcW w:type="dxa" w:w="360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Telecom customer data</w:t>
            </w:r>
          </w:p>
        </w:tc>
        <w:tc>
          <w:tcPr>
            <w:tcW w:type="dxa" w:w="4608"/>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7,043 rows, 21 columns, binary churn target</w:t>
            </w:r>
          </w:p>
        </w:tc>
      </w:tr>
      <w:tr>
        <w:tc>
          <w:tcPr>
            <w:tcW w:type="dxa" w:w="288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Data Cleaning</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Full EDA + quality fixes</w:t>
            </w:r>
          </w:p>
        </w:tc>
        <w:tc>
          <w:tcPr>
            <w:tcW w:type="dxa" w:w="460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Type errors, missing values, outlier capping</w:t>
            </w:r>
          </w:p>
        </w:tc>
      </w:tr>
      <w:tr>
        <w:tc>
          <w:tcPr>
            <w:tcW w:type="dxa" w:w="288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Feature Engineering</w:t>
            </w:r>
          </w:p>
        </w:tc>
        <w:tc>
          <w:tcPr>
            <w:tcW w:type="dxa" w:w="360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13 new behavioral features</w:t>
            </w:r>
          </w:p>
        </w:tc>
        <w:tc>
          <w:tcPr>
            <w:tcW w:type="dxa" w:w="4608"/>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Usage, payment, support, trend, segment features</w:t>
            </w:r>
          </w:p>
        </w:tc>
      </w:tr>
      <w:tr>
        <w:tc>
          <w:tcPr>
            <w:tcW w:type="dxa" w:w="288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Visualizations</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7 analytical charts</w:t>
            </w:r>
          </w:p>
        </w:tc>
        <w:tc>
          <w:tcPr>
            <w:tcW w:type="dxa" w:w="460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Churn, revenue, contracts, heatmap, importance</w:t>
            </w:r>
          </w:p>
        </w:tc>
      </w:tr>
      <w:tr>
        <w:tc>
          <w:tcPr>
            <w:tcW w:type="dxa" w:w="288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ML Models</w:t>
            </w:r>
          </w:p>
        </w:tc>
        <w:tc>
          <w:tcPr>
            <w:tcW w:type="dxa" w:w="360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3 models trained &amp; compared</w:t>
            </w:r>
          </w:p>
        </w:tc>
        <w:tc>
          <w:tcPr>
            <w:tcW w:type="dxa" w:w="4608"/>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Logistic Regression, Random Forest, XGBoost</w:t>
            </w:r>
          </w:p>
        </w:tc>
      </w:tr>
      <w:tr>
        <w:tc>
          <w:tcPr>
            <w:tcW w:type="dxa" w:w="288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Evaluation</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5 metrics per model</w:t>
            </w:r>
          </w:p>
        </w:tc>
        <w:tc>
          <w:tcPr>
            <w:tcW w:type="dxa" w:w="460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Accuracy, Precision, Recall, F1, ROC-AUC</w:t>
            </w:r>
          </w:p>
        </w:tc>
      </w:tr>
      <w:tr>
        <w:tc>
          <w:tcPr>
            <w:tcW w:type="dxa" w:w="288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Prediction</w:t>
            </w:r>
          </w:p>
        </w:tc>
        <w:tc>
          <w:tcPr>
            <w:tcW w:type="dxa" w:w="360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Churn probability + risk tier</w:t>
            </w:r>
          </w:p>
        </w:tc>
        <w:tc>
          <w:tcPr>
            <w:tcW w:type="dxa" w:w="4608"/>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Low / Medium / High risk assigned to every customer</w:t>
            </w:r>
          </w:p>
        </w:tc>
      </w:tr>
      <w:tr>
        <w:tc>
          <w:tcPr>
            <w:tcW w:type="dxa" w:w="288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Insights</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Business report generated</w:t>
            </w:r>
          </w:p>
        </w:tc>
        <w:tc>
          <w:tcPr>
            <w:tcW w:type="dxa" w:w="460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Churn drivers, high-risk traits, revenue impact</w:t>
            </w:r>
          </w:p>
        </w:tc>
      </w:tr>
      <w:tr>
        <w:tc>
          <w:tcPr>
            <w:tcW w:type="dxa" w:w="288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Dashboard</w:t>
            </w:r>
          </w:p>
        </w:tc>
        <w:tc>
          <w:tcPr>
            <w:tcW w:type="dxa" w:w="360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Streamlit web app (Bonus)</w:t>
            </w:r>
          </w:p>
        </w:tc>
        <w:tc>
          <w:tcPr>
            <w:tcW w:type="dxa" w:w="4608"/>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KPIs, charts, filters, data explorer, email sender</w:t>
            </w:r>
          </w:p>
        </w:tc>
      </w:tr>
      <w:tr>
        <w:tc>
          <w:tcPr>
            <w:tcW w:type="dxa" w:w="288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SHAP</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Model explainability (Bonus)</w:t>
            </w:r>
          </w:p>
        </w:tc>
        <w:tc>
          <w:tcPr>
            <w:tcW w:type="dxa" w:w="460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Feature-level prediction explanations</w:t>
            </w:r>
          </w:p>
        </w:tc>
      </w:tr>
      <w:tr>
        <w:tc>
          <w:tcPr>
            <w:tcW w:type="dxa" w:w="288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Weekly Pipeline</w:t>
            </w:r>
          </w:p>
        </w:tc>
        <w:tc>
          <w:tcPr>
            <w:tcW w:type="dxa" w:w="360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Auto-scheduled predictions (Bonus)</w:t>
            </w:r>
          </w:p>
        </w:tc>
        <w:tc>
          <w:tcPr>
            <w:tcW w:type="dxa" w:w="4608"/>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Every Monday, loads saved model, scores data</w:t>
            </w:r>
          </w:p>
        </w:tc>
      </w:tr>
      <w:tr>
        <w:tc>
          <w:tcPr>
            <w:tcW w:type="dxa" w:w="288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Email Reports</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HTML email generator (Bonus)</w:t>
            </w:r>
          </w:p>
        </w:tc>
        <w:tc>
          <w:tcPr>
            <w:tcW w:type="dxa" w:w="460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Professional report sent via Gmail SMTP</w:t>
            </w:r>
          </w:p>
        </w:tc>
      </w:tr>
    </w:tbl>
    <w:p>
      <w:pPr>
        <w:spacing w:before="0" w:after="0"/>
      </w:pPr>
      <w:r>
        <w:rPr>
          <w:rFonts w:ascii="Calibri" w:hAnsi="Calibri"/>
          <w:b w:val="0"/>
          <w:i w:val="0"/>
          <w:sz w:val="8"/>
        </w:rPr>
      </w:r>
    </w:p>
    <w:p>
      <w:r>
        <w:br w:type="page"/>
      </w:r>
    </w:p>
    <w:p>
      <w:pPr>
        <w:spacing w:before="360" w:after="120"/>
        <w:jc w:val="left"/>
        <w:pBdr>
          <w:left w:val="single" w:sz="24" w:space="8" w:color="1E3A8A"/>
        </w:pBdr>
        <w:shd w:val="clear" w:color="auto" w:fill="EFF6FF"/>
      </w:pPr>
      <w:r>
        <w:rPr>
          <w:rFonts w:ascii="Calibri" w:hAnsi="Calibri"/>
          <w:b/>
          <w:i w:val="0"/>
          <w:color w:val="1E3A8A"/>
          <w:sz w:val="28"/>
        </w:rPr>
        <w:t>2. Problem Statement &amp; Approach</w:t>
      </w:r>
    </w:p>
    <w:p>
      <w:pPr>
        <w:spacing w:before="0" w:after="0"/>
      </w:pPr>
      <w:r>
        <w:rPr>
          <w:rFonts w:ascii="Calibri" w:hAnsi="Calibri"/>
          <w:b w:val="0"/>
          <w:i w:val="0"/>
          <w:sz w:val="8"/>
        </w:rPr>
      </w:r>
    </w:p>
    <w:p>
      <w:pPr>
        <w:spacing w:before="240" w:after="80"/>
      </w:pPr>
      <w:r>
        <w:rPr>
          <w:rFonts w:ascii="Calibri" w:hAnsi="Calibri"/>
          <w:b/>
          <w:i w:val="0"/>
          <w:color w:val="1D4ED8"/>
          <w:sz w:val="24"/>
        </w:rPr>
        <w:t>2.1  The Business Problem</w:t>
      </w:r>
    </w:p>
    <w:p>
      <w:pPr>
        <w:spacing w:before="40" w:after="80"/>
      </w:pPr>
      <w:r>
        <w:rPr>
          <w:rFonts w:ascii="Calibri" w:hAnsi="Calibri"/>
          <w:b w:val="0"/>
          <w:i w:val="0"/>
          <w:color w:val="1C1C1C"/>
          <w:sz w:val="21"/>
        </w:rPr>
        <w:t>Telecom companies lose significant revenue when customers churn — cancel their subscription without warning. The traditional approach is reactive: analyze why customers left after they are already gone. This is expensive and too late.</w:t>
      </w:r>
    </w:p>
    <w:p>
      <w:pPr>
        <w:spacing w:before="0" w:after="0"/>
      </w:pPr>
      <w:r>
        <w:rPr>
          <w:rFonts w:ascii="Calibri" w:hAnsi="Calibri"/>
          <w:b w:val="0"/>
          <w:i w:val="0"/>
          <w:sz w:val="8"/>
        </w:rPr>
      </w:r>
    </w:p>
    <w:p>
      <w:pPr>
        <w:spacing w:before="40" w:after="80"/>
      </w:pPr>
      <w:r>
        <w:rPr>
          <w:rFonts w:ascii="Calibri" w:hAnsi="Calibri"/>
          <w:b w:val="0"/>
          <w:i w:val="0"/>
          <w:color w:val="1C1C1C"/>
          <w:sz w:val="21"/>
        </w:rPr>
        <w:t>ChurnIQ solves this by building a predictive system that identifies at-risk customers before they churn, quantifies the revenue at stake, and gives the business a prioritized list of who to contact first.</w:t>
      </w:r>
    </w:p>
    <w:p>
      <w:pPr>
        <w:spacing w:before="0" w:after="0"/>
      </w:pPr>
      <w:r>
        <w:rPr>
          <w:rFonts w:ascii="Calibri" w:hAnsi="Calibri"/>
          <w:b w:val="0"/>
          <w:i w:val="0"/>
          <w:sz w:val="8"/>
        </w:rPr>
      </w:r>
    </w:p>
    <w:p>
      <w:pPr>
        <w:spacing w:before="80" w:after="80"/>
        <w:ind w:left="432" w:right="432"/>
        <w:pBdr>
          <w:top w:val="single" w:sz="4" w:space="4" w:color="DBEAFE"/>
          <w:bottom w:val="single" w:sz="4" w:space="4" w:color="DBEAFE"/>
          <w:right w:val="single" w:sz="4" w:space="4" w:color="DBEAFE"/>
          <w:left w:val="single" w:sz="18" w:space="8" w:color="1D4ED8"/>
        </w:pBdr>
        <w:shd w:val="clear" w:color="auto" w:fill="DBEAFE"/>
      </w:pPr>
      <w:r>
        <w:rPr>
          <w:rFonts w:ascii="Calibri" w:hAnsi="Calibri"/>
          <w:b w:val="0"/>
          <w:i/>
          <w:color w:val="1E3A5F"/>
          <w:sz w:val="21"/>
        </w:rPr>
        <w:t>Core Question: Which customers will churn, how confident are we, what is the revenue at risk, and what should the business do about it?</w:t>
      </w:r>
    </w:p>
    <w:p>
      <w:pPr>
        <w:spacing w:before="0" w:after="0"/>
      </w:pPr>
      <w:r>
        <w:rPr>
          <w:rFonts w:ascii="Calibri" w:hAnsi="Calibri"/>
          <w:b w:val="0"/>
          <w:i w:val="0"/>
          <w:sz w:val="8"/>
        </w:rPr>
      </w:r>
    </w:p>
    <w:p>
      <w:pPr>
        <w:spacing w:before="240" w:after="80"/>
      </w:pPr>
      <w:r>
        <w:rPr>
          <w:rFonts w:ascii="Calibri" w:hAnsi="Calibri"/>
          <w:b/>
          <w:i w:val="0"/>
          <w:color w:val="1D4ED8"/>
          <w:sz w:val="24"/>
        </w:rPr>
        <w:t>2.2  Approach — Step by Step</w:t>
      </w:r>
    </w:p>
    <w:tbl>
      <w:tblPr>
        <w:tblStyle w:val="TableGrid"/>
        <w:tblW w:type="auto" w:w="0"/>
        <w:jc w:val="left"/>
        <w:tblLook w:firstColumn="1" w:firstRow="1" w:lastColumn="0" w:lastRow="0" w:noHBand="0" w:noVBand="1" w:val="04A0"/>
      </w:tblPr>
      <w:tblGrid>
        <w:gridCol w:w="3024"/>
        <w:gridCol w:w="3024"/>
        <w:gridCol w:w="3024"/>
      </w:tblGrid>
      <w:tr>
        <w:tc>
          <w:tcPr>
            <w:tcW w:type="dxa" w:w="2016"/>
            <w:shd w:val="clear" w:color="auto" w:fill="0F766E"/>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Step</w:t>
            </w:r>
          </w:p>
        </w:tc>
        <w:tc>
          <w:tcPr>
            <w:tcW w:type="dxa" w:w="4320"/>
            <w:shd w:val="clear" w:color="auto" w:fill="0F766E"/>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Action Taken</w:t>
            </w:r>
          </w:p>
        </w:tc>
        <w:tc>
          <w:tcPr>
            <w:tcW w:type="dxa" w:w="4752"/>
            <w:shd w:val="clear" w:color="auto" w:fill="0F766E"/>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Output</w:t>
            </w:r>
          </w:p>
        </w:tc>
      </w:tr>
      <w:tr>
        <w:tc>
          <w:tcPr>
            <w:tcW w:type="dxa" w:w="2016"/>
            <w:shd w:val="clear" w:color="auto" w:fill="F0FDF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1. Understand the Data</w:t>
            </w:r>
          </w:p>
        </w:tc>
        <w:tc>
          <w:tcPr>
            <w:tcW w:type="dxa" w:w="4320"/>
            <w:shd w:val="clear" w:color="auto" w:fill="F0FDF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Loaded CSV, profiled all 21 columns, identified quality issues</w:t>
            </w:r>
          </w:p>
        </w:tc>
        <w:tc>
          <w:tcPr>
            <w:tcW w:type="dxa" w:w="4752"/>
            <w:shd w:val="clear" w:color="auto" w:fill="F0FDF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Shape, dtypes, missing values, outliers identified</w:t>
            </w:r>
          </w:p>
        </w:tc>
      </w:tr>
      <w:tr>
        <w:tc>
          <w:tcPr>
            <w:tcW w:type="dxa" w:w="2016"/>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2. Clean the Data</w:t>
            </w:r>
          </w:p>
        </w:tc>
        <w:tc>
          <w:tcPr>
            <w:tcW w:type="dxa" w:w="432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Fixed TotalCharges type, imputed missing values, capped outliers via IQR</w:t>
            </w:r>
          </w:p>
        </w:tc>
        <w:tc>
          <w:tcPr>
            <w:tcW w:type="dxa" w:w="475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outputs/clean_customers.csv — 7,043 clean rows</w:t>
            </w:r>
          </w:p>
        </w:tc>
      </w:tr>
      <w:tr>
        <w:tc>
          <w:tcPr>
            <w:tcW w:type="dxa" w:w="2016"/>
            <w:shd w:val="clear" w:color="auto" w:fill="F0FDF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3. Engineer Features</w:t>
            </w:r>
          </w:p>
        </w:tc>
        <w:tc>
          <w:tcPr>
            <w:tcW w:type="dxa" w:w="4320"/>
            <w:shd w:val="clear" w:color="auto" w:fill="F0FDF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Created 13 new behavioral features from raw columns</w:t>
            </w:r>
          </w:p>
        </w:tc>
        <w:tc>
          <w:tcPr>
            <w:tcW w:type="dxa" w:w="4752"/>
            <w:shd w:val="clear" w:color="auto" w:fill="F0FDF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Richer dataset with usage, payment, support, trend signals</w:t>
            </w:r>
          </w:p>
        </w:tc>
      </w:tr>
      <w:tr>
        <w:tc>
          <w:tcPr>
            <w:tcW w:type="dxa" w:w="2016"/>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4. Visualize</w:t>
            </w:r>
          </w:p>
        </w:tc>
        <w:tc>
          <w:tcPr>
            <w:tcW w:type="dxa" w:w="432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Built 7 charts covering churn, revenue, correlation, importance</w:t>
            </w:r>
          </w:p>
        </w:tc>
        <w:tc>
          <w:tcPr>
            <w:tcW w:type="dxa" w:w="475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outputs/plots/ — 7 PNG files</w:t>
            </w:r>
          </w:p>
        </w:tc>
      </w:tr>
      <w:tr>
        <w:tc>
          <w:tcPr>
            <w:tcW w:type="dxa" w:w="2016"/>
            <w:shd w:val="clear" w:color="auto" w:fill="F0FDF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5. Train Models</w:t>
            </w:r>
          </w:p>
        </w:tc>
        <w:tc>
          <w:tcPr>
            <w:tcW w:type="dxa" w:w="4320"/>
            <w:shd w:val="clear" w:color="auto" w:fill="F0FDF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Trained LR, RF, XGBoost with stratified 80/20 split</w:t>
            </w:r>
          </w:p>
        </w:tc>
        <w:tc>
          <w:tcPr>
            <w:tcW w:type="dxa" w:w="4752"/>
            <w:shd w:val="clear" w:color="auto" w:fill="F0FDF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3 trained models with full metric comparison</w:t>
            </w:r>
          </w:p>
        </w:tc>
      </w:tr>
      <w:tr>
        <w:tc>
          <w:tcPr>
            <w:tcW w:type="dxa" w:w="2016"/>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6. Evaluate &amp; Select</w:t>
            </w:r>
          </w:p>
        </w:tc>
        <w:tc>
          <w:tcPr>
            <w:tcW w:type="dxa" w:w="432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Compared all models on 5 metrics, auto-selected best by ROC-AUC</w:t>
            </w:r>
          </w:p>
        </w:tc>
        <w:tc>
          <w:tcPr>
            <w:tcW w:type="dxa" w:w="475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outputs/models/champion_model.pkl saved to disk</w:t>
            </w:r>
          </w:p>
        </w:tc>
      </w:tr>
      <w:tr>
        <w:tc>
          <w:tcPr>
            <w:tcW w:type="dxa" w:w="2016"/>
            <w:shd w:val="clear" w:color="auto" w:fill="F0FDF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7. Score Customers</w:t>
            </w:r>
          </w:p>
        </w:tc>
        <w:tc>
          <w:tcPr>
            <w:tcW w:type="dxa" w:w="4320"/>
            <w:shd w:val="clear" w:color="auto" w:fill="F0FDF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Applied champion model to all 7,043 customers</w:t>
            </w:r>
          </w:p>
        </w:tc>
        <w:tc>
          <w:tcPr>
            <w:tcW w:type="dxa" w:w="4752"/>
            <w:shd w:val="clear" w:color="auto" w:fill="F0FDF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churn_prob (0-1) and risk_category assigned per customer</w:t>
            </w:r>
          </w:p>
        </w:tc>
      </w:tr>
      <w:tr>
        <w:tc>
          <w:tcPr>
            <w:tcW w:type="dxa" w:w="2016"/>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8. Generate Insights</w:t>
            </w:r>
          </w:p>
        </w:tc>
        <w:tc>
          <w:tcPr>
            <w:tcW w:type="dxa" w:w="432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Compiled churn drivers, high-risk traits, revenue impact</w:t>
            </w:r>
          </w:p>
        </w:tc>
        <w:tc>
          <w:tcPr>
            <w:tcW w:type="dxa" w:w="475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outputs/reports/business_insights.txt</w:t>
            </w:r>
          </w:p>
        </w:tc>
      </w:tr>
      <w:tr>
        <w:tc>
          <w:tcPr>
            <w:tcW w:type="dxa" w:w="2016"/>
            <w:shd w:val="clear" w:color="auto" w:fill="F0FDF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9. Build Dashboard</w:t>
            </w:r>
          </w:p>
        </w:tc>
        <w:tc>
          <w:tcPr>
            <w:tcW w:type="dxa" w:w="4320"/>
            <w:shd w:val="clear" w:color="auto" w:fill="F0FDF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Streamlit app with all outputs embedded interactively</w:t>
            </w:r>
          </w:p>
        </w:tc>
        <w:tc>
          <w:tcPr>
            <w:tcW w:type="dxa" w:w="4752"/>
            <w:shd w:val="clear" w:color="auto" w:fill="F0FDF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http://localhost:8501 — live dashboard</w:t>
            </w:r>
          </w:p>
        </w:tc>
      </w:tr>
      <w:tr>
        <w:tc>
          <w:tcPr>
            <w:tcW w:type="dxa" w:w="2016"/>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10. Email Reporting</w:t>
            </w:r>
          </w:p>
        </w:tc>
        <w:tc>
          <w:tcPr>
            <w:tcW w:type="dxa" w:w="432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HTML report builder + Gmail SMTP sender</w:t>
            </w:r>
          </w:p>
        </w:tc>
        <w:tc>
          <w:tcPr>
            <w:tcW w:type="dxa" w:w="475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Professional email report on demand or via dashboard</w:t>
            </w:r>
          </w:p>
        </w:tc>
      </w:tr>
    </w:tbl>
    <w:p>
      <w:pPr>
        <w:spacing w:before="0" w:after="0"/>
      </w:pPr>
      <w:r>
        <w:rPr>
          <w:rFonts w:ascii="Calibri" w:hAnsi="Calibri"/>
          <w:b w:val="0"/>
          <w:i w:val="0"/>
          <w:sz w:val="8"/>
        </w:rPr>
      </w:r>
    </w:p>
    <w:p>
      <w:pPr>
        <w:spacing w:before="240" w:after="80"/>
      </w:pPr>
      <w:r>
        <w:rPr>
          <w:rFonts w:ascii="Calibri" w:hAnsi="Calibri"/>
          <w:b/>
          <w:i w:val="0"/>
          <w:color w:val="1D4ED8"/>
          <w:sz w:val="24"/>
        </w:rPr>
        <w:t>2.3  Key Design Decisions</w:t>
      </w:r>
    </w:p>
    <w:p>
      <w:pPr>
        <w:pStyle w:val="ListBullet"/>
        <w:spacing w:before="20" w:after="40"/>
      </w:pPr>
      <w:r>
        <w:rPr>
          <w:rFonts w:ascii="Calibri" w:hAnsi="Calibri"/>
          <w:b w:val="0"/>
          <w:i w:val="0"/>
          <w:color w:val="1C1C1C"/>
          <w:sz w:val="21"/>
        </w:rPr>
        <w:t>Winsorization (IQR capping) instead of deleting outlier rows — preserving all 7,043 records ensures no data loss and no sampling bias during training.</w:t>
      </w:r>
    </w:p>
    <w:p>
      <w:pPr>
        <w:pStyle w:val="ListBullet"/>
        <w:spacing w:before="20" w:after="40"/>
      </w:pPr>
      <w:r>
        <w:rPr>
          <w:rFonts w:ascii="Calibri" w:hAnsi="Calibri"/>
          <w:b w:val="0"/>
          <w:i w:val="0"/>
          <w:color w:val="1C1C1C"/>
          <w:sz w:val="21"/>
        </w:rPr>
        <w:t>Median imputation for numeric columns — robust to skewed distributions, which are common in billing data like TotalCharges.</w:t>
      </w:r>
    </w:p>
    <w:p>
      <w:pPr>
        <w:pStyle w:val="ListBullet"/>
        <w:spacing w:before="20" w:after="40"/>
      </w:pPr>
      <w:r>
        <w:rPr>
          <w:rFonts w:ascii="Calibri" w:hAnsi="Calibri"/>
          <w:b w:val="0"/>
          <w:i w:val="0"/>
          <w:color w:val="1C1C1C"/>
          <w:sz w:val="21"/>
        </w:rPr>
        <w:t>class_weight="balanced" on LR and RF — the dataset has ~26.5% churn vs ~73.5% non-churn. Without balancing, models just predict "No Churn" to maximize accuracy and miss actual churners.</w:t>
      </w:r>
    </w:p>
    <w:p>
      <w:pPr>
        <w:pStyle w:val="ListBullet"/>
        <w:spacing w:before="20" w:after="40"/>
      </w:pPr>
      <w:r>
        <w:rPr>
          <w:rFonts w:ascii="Calibri" w:hAnsi="Calibri"/>
          <w:b w:val="0"/>
          <w:i w:val="0"/>
          <w:color w:val="1C1C1C"/>
          <w:sz w:val="21"/>
        </w:rPr>
        <w:t>Champion model saved to disk — enables weekly pipeline and email reports to run without retraining every time.</w:t>
      </w:r>
    </w:p>
    <w:p>
      <w:pPr>
        <w:pStyle w:val="ListBullet"/>
        <w:spacing w:before="20" w:after="40"/>
      </w:pPr>
      <w:r>
        <w:rPr>
          <w:rFonts w:ascii="Calibri" w:hAnsi="Calibri"/>
          <w:b w:val="0"/>
          <w:i w:val="0"/>
          <w:color w:val="1C1C1C"/>
          <w:sz w:val="21"/>
        </w:rPr>
        <w:t>Modular architecture — each file is independently testable. This makes debugging, updating, and extending the system much easier than a monolithic notebook.</w:t>
      </w:r>
    </w:p>
    <w:p>
      <w:pPr>
        <w:pStyle w:val="ListBullet"/>
        <w:spacing w:before="20" w:after="40"/>
      </w:pPr>
      <w:r>
        <w:rPr>
          <w:rFonts w:ascii="Calibri" w:hAnsi="Calibri"/>
          <w:b w:val="0"/>
          <w:i w:val="0"/>
          <w:color w:val="1C1C1C"/>
          <w:sz w:val="21"/>
        </w:rPr>
        <w:t>ROC-AUC as champion selection metric — more reliable than accuracy on imbalanced data. It measures the model's ability to rank churners above non-churners at any threshold.</w:t>
      </w:r>
    </w:p>
    <w:p>
      <w:r>
        <w:br w:type="page"/>
      </w:r>
    </w:p>
    <w:p>
      <w:pPr>
        <w:spacing w:before="360" w:after="120"/>
        <w:jc w:val="left"/>
        <w:pBdr>
          <w:left w:val="single" w:sz="24" w:space="8" w:color="1E3A8A"/>
        </w:pBdr>
        <w:shd w:val="clear" w:color="auto" w:fill="EFF6FF"/>
      </w:pPr>
      <w:r>
        <w:rPr>
          <w:rFonts w:ascii="Calibri" w:hAnsi="Calibri"/>
          <w:b/>
          <w:i w:val="0"/>
          <w:color w:val="1E3A8A"/>
          <w:sz w:val="28"/>
        </w:rPr>
        <w:t>3. Data Analysis Module  (data_analysis.py)</w:t>
      </w:r>
    </w:p>
    <w:p>
      <w:pPr>
        <w:spacing w:before="0" w:after="0"/>
      </w:pPr>
      <w:r>
        <w:rPr>
          <w:rFonts w:ascii="Calibri" w:hAnsi="Calibri"/>
          <w:b w:val="0"/>
          <w:i w:val="0"/>
          <w:sz w:val="8"/>
        </w:rPr>
      </w:r>
    </w:p>
    <w:p>
      <w:pPr>
        <w:spacing w:before="240" w:after="80"/>
      </w:pPr>
      <w:r>
        <w:rPr>
          <w:rFonts w:ascii="Calibri" w:hAnsi="Calibri"/>
          <w:b/>
          <w:i w:val="0"/>
          <w:color w:val="1D4ED8"/>
          <w:sz w:val="24"/>
        </w:rPr>
        <w:t>3.1  Dataset Profile</w:t>
      </w:r>
    </w:p>
    <w:tbl>
      <w:tblPr>
        <w:tblStyle w:val="TableGrid"/>
        <w:tblW w:type="auto" w:w="0"/>
        <w:jc w:val="left"/>
        <w:tblLook w:firstColumn="1" w:firstRow="1" w:lastColumn="0" w:lastRow="0" w:noHBand="0" w:noVBand="1" w:val="04A0"/>
      </w:tblPr>
      <w:tblGrid>
        <w:gridCol w:w="4536"/>
        <w:gridCol w:w="4536"/>
      </w:tblGrid>
      <w:tr>
        <w:tc>
          <w:tcPr>
            <w:tcW w:type="dxa" w:w="3456"/>
            <w:shd w:val="clear" w:color="auto" w:fill="1E3A8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Attribute</w:t>
            </w:r>
          </w:p>
        </w:tc>
        <w:tc>
          <w:tcPr>
            <w:tcW w:type="dxa" w:w="7632"/>
            <w:shd w:val="clear" w:color="auto" w:fill="1E3A8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Value</w:t>
            </w:r>
          </w:p>
        </w:tc>
      </w:tr>
      <w:tr>
        <w:tc>
          <w:tcPr>
            <w:tcW w:type="dxa" w:w="3456"/>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File name</w:t>
            </w:r>
          </w:p>
        </w:tc>
        <w:tc>
          <w:tcPr>
            <w:tcW w:type="dxa" w:w="7632"/>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customerservices.csv</w:t>
            </w:r>
          </w:p>
        </w:tc>
      </w:tr>
      <w:tr>
        <w:tc>
          <w:tcPr>
            <w:tcW w:type="dxa" w:w="3456"/>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Total customers</w:t>
            </w:r>
          </w:p>
        </w:tc>
        <w:tc>
          <w:tcPr>
            <w:tcW w:type="dxa" w:w="763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7,043</w:t>
            </w:r>
          </w:p>
        </w:tc>
      </w:tr>
      <w:tr>
        <w:tc>
          <w:tcPr>
            <w:tcW w:type="dxa" w:w="3456"/>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Total columns</w:t>
            </w:r>
          </w:p>
        </w:tc>
        <w:tc>
          <w:tcPr>
            <w:tcW w:type="dxa" w:w="7632"/>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21</w:t>
            </w:r>
          </w:p>
        </w:tc>
      </w:tr>
      <w:tr>
        <w:tc>
          <w:tcPr>
            <w:tcW w:type="dxa" w:w="3456"/>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Numeric columns</w:t>
            </w:r>
          </w:p>
        </w:tc>
        <w:tc>
          <w:tcPr>
            <w:tcW w:type="dxa" w:w="763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3  (tenure, MonthlyCharges, TotalCharges)</w:t>
            </w:r>
          </w:p>
        </w:tc>
      </w:tr>
      <w:tr>
        <w:tc>
          <w:tcPr>
            <w:tcW w:type="dxa" w:w="3456"/>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Binary columns</w:t>
            </w:r>
          </w:p>
        </w:tc>
        <w:tc>
          <w:tcPr>
            <w:tcW w:type="dxa" w:w="7632"/>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10  (gender, Partner, Dependents, PhoneService, PaperlessBilling, Churn, etc.)</w:t>
            </w:r>
          </w:p>
        </w:tc>
      </w:tr>
      <w:tr>
        <w:tc>
          <w:tcPr>
            <w:tcW w:type="dxa" w:w="3456"/>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Multi-class columns</w:t>
            </w:r>
          </w:p>
        </w:tc>
        <w:tc>
          <w:tcPr>
            <w:tcW w:type="dxa" w:w="763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8  (Contract, PaymentMethod, InternetService, MultipleLines, etc.)</w:t>
            </w:r>
          </w:p>
        </w:tc>
      </w:tr>
      <w:tr>
        <w:tc>
          <w:tcPr>
            <w:tcW w:type="dxa" w:w="3456"/>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Target variable</w:t>
            </w:r>
          </w:p>
        </w:tc>
        <w:tc>
          <w:tcPr>
            <w:tcW w:type="dxa" w:w="7632"/>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Churn — Yes (churned) / No (retained)</w:t>
            </w:r>
          </w:p>
        </w:tc>
      </w:tr>
      <w:tr>
        <w:tc>
          <w:tcPr>
            <w:tcW w:type="dxa" w:w="3456"/>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Observed churn rate</w:t>
            </w:r>
          </w:p>
        </w:tc>
        <w:tc>
          <w:tcPr>
            <w:tcW w:type="dxa" w:w="763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~26.5% churned, ~73.5% retained — class imbalance present</w:t>
            </w:r>
          </w:p>
        </w:tc>
      </w:tr>
    </w:tbl>
    <w:p>
      <w:pPr>
        <w:spacing w:before="0" w:after="0"/>
      </w:pPr>
      <w:r>
        <w:rPr>
          <w:rFonts w:ascii="Calibri" w:hAnsi="Calibri"/>
          <w:b w:val="0"/>
          <w:i w:val="0"/>
          <w:sz w:val="8"/>
        </w:rPr>
      </w:r>
    </w:p>
    <w:p>
      <w:pPr>
        <w:spacing w:before="240" w:after="80"/>
      </w:pPr>
      <w:r>
        <w:rPr>
          <w:rFonts w:ascii="Calibri" w:hAnsi="Calibri"/>
          <w:b/>
          <w:i w:val="0"/>
          <w:color w:val="1D4ED8"/>
          <w:sz w:val="24"/>
        </w:rPr>
        <w:t>3.2  Data Quality Issues Found &amp; Fixed</w:t>
      </w:r>
    </w:p>
    <w:p>
      <w:pPr>
        <w:spacing w:before="40" w:after="80"/>
      </w:pPr>
      <w:r>
        <w:rPr>
          <w:rFonts w:ascii="Calibri" w:hAnsi="Calibri"/>
          <w:b w:val="0"/>
          <w:i w:val="0"/>
          <w:color w:val="1C1C1C"/>
          <w:sz w:val="21"/>
        </w:rPr>
        <w:t>During EDA the following issues were discovered and resolved in data_analysis.py:</w:t>
      </w:r>
    </w:p>
    <w:p>
      <w:pPr>
        <w:spacing w:before="0" w:after="0"/>
      </w:pPr>
      <w:r>
        <w:rPr>
          <w:rFonts w:ascii="Calibri" w:hAnsi="Calibri"/>
          <w:b w:val="0"/>
          <w:i w:val="0"/>
          <w:sz w:val="8"/>
        </w:rPr>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B45309"/>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Issue Found</w:t>
            </w:r>
          </w:p>
        </w:tc>
        <w:tc>
          <w:tcPr>
            <w:tcW w:type="dxa" w:w="3600"/>
            <w:shd w:val="clear" w:color="auto" w:fill="B45309"/>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Root Cause</w:t>
            </w:r>
          </w:p>
        </w:tc>
        <w:tc>
          <w:tcPr>
            <w:tcW w:type="dxa" w:w="4608"/>
            <w:shd w:val="clear" w:color="auto" w:fill="B45309"/>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Fix Applied</w:t>
            </w:r>
          </w:p>
        </w:tc>
      </w:tr>
      <w:tr>
        <w:tc>
          <w:tcPr>
            <w:tcW w:type="dxa" w:w="2880"/>
            <w:shd w:val="clear" w:color="auto" w:fill="FFFBEB"/>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TotalCharges stored as string</w:t>
            </w:r>
          </w:p>
        </w:tc>
        <w:tc>
          <w:tcPr>
            <w:tcW w:type="dxa" w:w="3600"/>
            <w:shd w:val="clear" w:color="auto" w:fill="FFFBEB"/>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CSV had blank spaces for new customers with tenure=0</w:t>
            </w:r>
          </w:p>
        </w:tc>
        <w:tc>
          <w:tcPr>
            <w:tcW w:type="dxa" w:w="4608"/>
            <w:shd w:val="clear" w:color="auto" w:fill="FFFBEB"/>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pd.to_numeric(..., errors="coerce") converts blanks → NaN, then median imputed</w:t>
            </w:r>
          </w:p>
        </w:tc>
      </w:tr>
      <w:tr>
        <w:tc>
          <w:tcPr>
            <w:tcW w:type="dxa" w:w="288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11 rows with missing TotalCharges</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New customers — no billing history yet</w:t>
            </w:r>
          </w:p>
        </w:tc>
        <w:tc>
          <w:tcPr>
            <w:tcW w:type="dxa" w:w="460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Median imputation (robust to billing data skew)</w:t>
            </w:r>
          </w:p>
        </w:tc>
      </w:tr>
      <w:tr>
        <w:tc>
          <w:tcPr>
            <w:tcW w:type="dxa" w:w="2880"/>
            <w:shd w:val="clear" w:color="auto" w:fill="FFFBEB"/>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Other missing categoricals</w:t>
            </w:r>
          </w:p>
        </w:tc>
        <w:tc>
          <w:tcPr>
            <w:tcW w:type="dxa" w:w="3600"/>
            <w:shd w:val="clear" w:color="auto" w:fill="FFFBEB"/>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Minor data entry gaps</w:t>
            </w:r>
          </w:p>
        </w:tc>
        <w:tc>
          <w:tcPr>
            <w:tcW w:type="dxa" w:w="4608"/>
            <w:shd w:val="clear" w:color="auto" w:fill="FFFBEB"/>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Mode imputation — fills with most frequent category</w:t>
            </w:r>
          </w:p>
        </w:tc>
      </w:tr>
      <w:tr>
        <w:tc>
          <w:tcPr>
            <w:tcW w:type="dxa" w:w="288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Outliers in MonthlyCharges / TotalCharges</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Long-term high-spend customers create upper outliers</w:t>
            </w:r>
          </w:p>
        </w:tc>
        <w:tc>
          <w:tcPr>
            <w:tcW w:type="dxa" w:w="460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IQR Winsorization — clips to Q3+1.5×IQR, no rows deleted</w:t>
            </w:r>
          </w:p>
        </w:tc>
      </w:tr>
      <w:tr>
        <w:tc>
          <w:tcPr>
            <w:tcW w:type="dxa" w:w="2880"/>
            <w:shd w:val="clear" w:color="auto" w:fill="FFFBEB"/>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customerID column</w:t>
            </w:r>
          </w:p>
        </w:tc>
        <w:tc>
          <w:tcPr>
            <w:tcW w:type="dxa" w:w="3600"/>
            <w:shd w:val="clear" w:color="auto" w:fill="FFFBEB"/>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Non-predictive unique identifier</w:t>
            </w:r>
          </w:p>
        </w:tc>
        <w:tc>
          <w:tcPr>
            <w:tcW w:type="dxa" w:w="4608"/>
            <w:shd w:val="clear" w:color="auto" w:fill="FFFBEB"/>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Dropped before feature engineering and modeling</w:t>
            </w:r>
          </w:p>
        </w:tc>
      </w:tr>
      <w:tr>
        <w:tc>
          <w:tcPr>
            <w:tcW w:type="dxa" w:w="288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Churn = Yes/No string</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Model requires numeric target</w:t>
            </w:r>
          </w:p>
        </w:tc>
        <w:tc>
          <w:tcPr>
            <w:tcW w:type="dxa" w:w="460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Encoded to binary 1/0 — Yes→1, No→0</w:t>
            </w:r>
          </w:p>
        </w:tc>
      </w:tr>
    </w:tbl>
    <w:p>
      <w:pPr>
        <w:spacing w:before="0" w:after="0"/>
      </w:pPr>
      <w:r>
        <w:rPr>
          <w:rFonts w:ascii="Calibri" w:hAnsi="Calibri"/>
          <w:b w:val="0"/>
          <w:i w:val="0"/>
          <w:sz w:val="8"/>
        </w:rPr>
      </w:r>
    </w:p>
    <w:p>
      <w:pPr>
        <w:spacing w:before="240" w:after="80"/>
      </w:pPr>
      <w:r>
        <w:rPr>
          <w:rFonts w:ascii="Calibri" w:hAnsi="Calibri"/>
          <w:b/>
          <w:i w:val="0"/>
          <w:color w:val="1D4ED8"/>
          <w:sz w:val="24"/>
        </w:rPr>
        <w:t>3.3  EDA Findings</w:t>
      </w:r>
    </w:p>
    <w:p>
      <w:pPr>
        <w:spacing w:before="40" w:after="80"/>
      </w:pPr>
      <w:r>
        <w:rPr>
          <w:rFonts w:ascii="Calibri" w:hAnsi="Calibri"/>
          <w:b w:val="0"/>
          <w:i w:val="0"/>
          <w:color w:val="1C1C1C"/>
          <w:sz w:val="21"/>
        </w:rPr>
        <w:t>Key patterns discovered during exploratory analysis:</w:t>
      </w:r>
    </w:p>
    <w:p>
      <w:pPr>
        <w:spacing w:before="0" w:after="0"/>
      </w:pPr>
      <w:r>
        <w:rPr>
          <w:rFonts w:ascii="Calibri" w:hAnsi="Calibri"/>
          <w:b w:val="0"/>
          <w:i w:val="0"/>
          <w:sz w:val="8"/>
        </w:rPr>
      </w:r>
    </w:p>
    <w:p>
      <w:pPr>
        <w:pStyle w:val="ListBullet"/>
        <w:spacing w:before="20" w:after="40"/>
      </w:pPr>
      <w:r>
        <w:rPr>
          <w:rFonts w:ascii="Calibri" w:hAnsi="Calibri"/>
          <w:b w:val="0"/>
          <w:i w:val="0"/>
          <w:color w:val="1C1C1C"/>
          <w:sz w:val="21"/>
        </w:rPr>
        <w:t>Month-to-month contract customers churn at roughly 3 times the rate of annual contract holders — contract type is one of the strongest predictors.</w:t>
      </w:r>
    </w:p>
    <w:p>
      <w:pPr>
        <w:pStyle w:val="ListBullet"/>
        <w:spacing w:before="20" w:after="40"/>
      </w:pPr>
      <w:r>
        <w:rPr>
          <w:rFonts w:ascii="Calibri" w:hAnsi="Calibri"/>
          <w:b w:val="0"/>
          <w:i w:val="0"/>
          <w:color w:val="1C1C1C"/>
          <w:sz w:val="21"/>
        </w:rPr>
        <w:t>Electronic check payment method has the highest churn association across all payment types — higher than mailed check, bank transfer, or credit card.</w:t>
      </w:r>
    </w:p>
    <w:p>
      <w:pPr>
        <w:pStyle w:val="ListBullet"/>
        <w:spacing w:before="20" w:after="40"/>
      </w:pPr>
      <w:r>
        <w:rPr>
          <w:rFonts w:ascii="Calibri" w:hAnsi="Calibri"/>
          <w:b w:val="0"/>
          <w:i w:val="0"/>
          <w:color w:val="1C1C1C"/>
          <w:sz w:val="21"/>
        </w:rPr>
        <w:t>The first 12 months of tenure are the highest-risk window. Customers who survive past 24 months become significantly more stable.</w:t>
      </w:r>
    </w:p>
    <w:p>
      <w:pPr>
        <w:pStyle w:val="ListBullet"/>
        <w:spacing w:before="20" w:after="40"/>
      </w:pPr>
      <w:r>
        <w:rPr>
          <w:rFonts w:ascii="Calibri" w:hAnsi="Calibri"/>
          <w:b w:val="0"/>
          <w:i w:val="0"/>
          <w:color w:val="1C1C1C"/>
          <w:sz w:val="21"/>
        </w:rPr>
        <w:t>Customers with no additional services (no TechSupport, no OnlineSecurity, no OnlineBackup) are more likely to churn — they have lower switching cost.</w:t>
      </w:r>
    </w:p>
    <w:p>
      <w:pPr>
        <w:pStyle w:val="ListBullet"/>
        <w:spacing w:before="20" w:after="40"/>
      </w:pPr>
      <w:r>
        <w:rPr>
          <w:rFonts w:ascii="Calibri" w:hAnsi="Calibri"/>
          <w:b w:val="0"/>
          <w:i w:val="0"/>
          <w:color w:val="1C1C1C"/>
          <w:sz w:val="21"/>
        </w:rPr>
        <w:t>Senior citizens show elevated churn rates compared to non-senior customers, even after controlling for contract type.</w:t>
      </w:r>
    </w:p>
    <w:p>
      <w:pPr>
        <w:pStyle w:val="ListBullet"/>
        <w:spacing w:before="20" w:after="40"/>
      </w:pPr>
      <w:r>
        <w:rPr>
          <w:rFonts w:ascii="Calibri" w:hAnsi="Calibri"/>
          <w:b w:val="0"/>
          <w:i w:val="0"/>
          <w:color w:val="1C1C1C"/>
          <w:sz w:val="21"/>
        </w:rPr>
        <w:t>Higher MonthlyCharges correlate with increased churn among month-to-month customers, but long-term high-spenders (high TotalCharges) are actually more loyal.</w:t>
      </w:r>
    </w:p>
    <w:p>
      <w:r>
        <w:br w:type="page"/>
      </w:r>
    </w:p>
    <w:p>
      <w:pPr>
        <w:spacing w:before="360" w:after="120"/>
        <w:jc w:val="left"/>
        <w:pBdr>
          <w:left w:val="single" w:sz="24" w:space="8" w:color="1E3A8A"/>
        </w:pBdr>
        <w:shd w:val="clear" w:color="auto" w:fill="EFF6FF"/>
      </w:pPr>
      <w:r>
        <w:rPr>
          <w:rFonts w:ascii="Calibri" w:hAnsi="Calibri"/>
          <w:b/>
          <w:i w:val="0"/>
          <w:color w:val="1E3A8A"/>
          <w:sz w:val="28"/>
        </w:rPr>
        <w:t>4. Feature Engineering  (feature_engineering.py)</w:t>
      </w:r>
    </w:p>
    <w:p>
      <w:pPr>
        <w:spacing w:before="0" w:after="0"/>
      </w:pPr>
      <w:r>
        <w:rPr>
          <w:rFonts w:ascii="Calibri" w:hAnsi="Calibri"/>
          <w:b w:val="0"/>
          <w:i w:val="0"/>
          <w:sz w:val="8"/>
        </w:rPr>
      </w:r>
    </w:p>
    <w:p>
      <w:pPr>
        <w:spacing w:before="40" w:after="80"/>
      </w:pPr>
      <w:r>
        <w:rPr>
          <w:rFonts w:ascii="Calibri" w:hAnsi="Calibri"/>
          <w:b w:val="0"/>
          <w:i w:val="0"/>
          <w:color w:val="1C1C1C"/>
          <w:sz w:val="21"/>
        </w:rPr>
        <w:t>Feature engineering was the most research-intensive phase. Raw columns carry information, but behavioral combinations and transformations expose patterns the model cannot extract on its own. 13 new features were created covering usage patterns, payment behavior, support interactions, spending trends, and customer lifecycle stage.</w:t>
      </w:r>
    </w:p>
    <w:p>
      <w:pPr>
        <w:spacing w:before="0" w:after="0"/>
      </w:pPr>
      <w:r>
        <w:rPr>
          <w:rFonts w:ascii="Calibri" w:hAnsi="Calibri"/>
          <w:b w:val="0"/>
          <w:i w:val="0"/>
          <w:sz w:val="8"/>
        </w:rPr>
      </w:r>
    </w:p>
    <w:p>
      <w:pPr>
        <w:spacing w:before="240" w:after="80"/>
      </w:pPr>
      <w:r>
        <w:rPr>
          <w:rFonts w:ascii="Calibri" w:hAnsi="Calibri"/>
          <w:b/>
          <w:i w:val="0"/>
          <w:color w:val="1D4ED8"/>
          <w:sz w:val="24"/>
        </w:rPr>
        <w:t>4.1  All 13 Features — Formula, Logic &amp; Business Meaning</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065F46"/>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Feature Name</w:t>
            </w:r>
          </w:p>
        </w:tc>
        <w:tc>
          <w:tcPr>
            <w:tcW w:type="dxa" w:w="4032"/>
            <w:shd w:val="clear" w:color="auto" w:fill="065F46"/>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Formula / Logic</w:t>
            </w:r>
          </w:p>
        </w:tc>
        <w:tc>
          <w:tcPr>
            <w:tcW w:type="dxa" w:w="4464"/>
            <w:shd w:val="clear" w:color="auto" w:fill="065F46"/>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What it captures</w:t>
            </w:r>
          </w:p>
        </w:tc>
      </w:tr>
      <w:tr>
        <w:tc>
          <w:tcPr>
            <w:tcW w:type="dxa" w:w="2592"/>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usage_score</w:t>
            </w:r>
          </w:p>
        </w:tc>
        <w:tc>
          <w:tcPr>
            <w:tcW w:type="dxa" w:w="4032"/>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tenure × MonthlyCharges ÷ 100</w:t>
            </w:r>
          </w:p>
        </w:tc>
        <w:tc>
          <w:tcPr>
            <w:tcW w:type="dxa" w:w="4464"/>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Composite engagement metric. High = long-term active customer. Low = new or low-spend.</w:t>
            </w:r>
          </w:p>
        </w:tc>
      </w:tr>
      <w:tr>
        <w:tc>
          <w:tcPr>
            <w:tcW w:type="dxa" w:w="259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payment_risk</w:t>
            </w:r>
          </w:p>
        </w:tc>
        <w:tc>
          <w:tcPr>
            <w:tcW w:type="dxa" w:w="403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1 if PaymentMethod = "Electronic check"</w:t>
            </w:r>
          </w:p>
        </w:tc>
        <w:tc>
          <w:tcPr>
            <w:tcW w:type="dxa" w:w="4464"/>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Electronic check users churn at significantly higher rates than other payment methods.</w:t>
            </w:r>
          </w:p>
        </w:tc>
      </w:tr>
      <w:tr>
        <w:tc>
          <w:tcPr>
            <w:tcW w:type="dxa" w:w="2592"/>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payment_stability</w:t>
            </w:r>
          </w:p>
        </w:tc>
        <w:tc>
          <w:tcPr>
            <w:tcW w:type="dxa" w:w="4032"/>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1 if Bank transfer (auto) or Credit card (auto)</w:t>
            </w:r>
          </w:p>
        </w:tc>
        <w:tc>
          <w:tcPr>
            <w:tcW w:type="dxa" w:w="4464"/>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Auto-pay customers are the most stable — they have less friction to continue service.</w:t>
            </w:r>
          </w:p>
        </w:tc>
      </w:tr>
      <w:tr>
        <w:tc>
          <w:tcPr>
            <w:tcW w:type="dxa" w:w="259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support_interaction_count</w:t>
            </w:r>
          </w:p>
        </w:tc>
        <w:tc>
          <w:tcPr>
            <w:tcW w:type="dxa" w:w="403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Count of "Yes" across TechSupport, OnlineSecurity, OnlineBackup, DeviceProtection</w:t>
            </w:r>
          </w:p>
        </w:tc>
        <w:tc>
          <w:tcPr>
            <w:tcW w:type="dxa" w:w="4464"/>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More services = higher switching cost. Customers using multiple services are less likely to leave.</w:t>
            </w:r>
          </w:p>
        </w:tc>
      </w:tr>
      <w:tr>
        <w:tc>
          <w:tcPr>
            <w:tcW w:type="dxa" w:w="2592"/>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support_heavy</w:t>
            </w:r>
          </w:p>
        </w:tc>
        <w:tc>
          <w:tcPr>
            <w:tcW w:type="dxa" w:w="4032"/>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1 if support_interaction_count ≥ 2</w:t>
            </w:r>
          </w:p>
        </w:tc>
        <w:tc>
          <w:tcPr>
            <w:tcW w:type="dxa" w:w="4464"/>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Binary flag for multi-service customers — easy to use in model.</w:t>
            </w:r>
          </w:p>
        </w:tc>
      </w:tr>
      <w:tr>
        <w:tc>
          <w:tcPr>
            <w:tcW w:type="dxa" w:w="259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charges_ratio</w:t>
            </w:r>
          </w:p>
        </w:tc>
        <w:tc>
          <w:tcPr>
            <w:tcW w:type="dxa" w:w="403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TotalCharges ÷ (MonthlyCharges + 1)</w:t>
            </w:r>
          </w:p>
        </w:tc>
        <w:tc>
          <w:tcPr>
            <w:tcW w:type="dxa" w:w="4464"/>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Approximates customer tenure from billing data alone. Low ratio = new customer = higher risk.</w:t>
            </w:r>
          </w:p>
        </w:tc>
      </w:tr>
      <w:tr>
        <w:tc>
          <w:tcPr>
            <w:tcW w:type="dxa" w:w="2592"/>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avg_monthly_spend</w:t>
            </w:r>
          </w:p>
        </w:tc>
        <w:tc>
          <w:tcPr>
            <w:tcW w:type="dxa" w:w="4032"/>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TotalCharges ÷ (tenure + 1)</w:t>
            </w:r>
          </w:p>
        </w:tc>
        <w:tc>
          <w:tcPr>
            <w:tcW w:type="dxa" w:w="4464"/>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Normalized lifetime spend. Removes tenure distortion — gives true per-month value.</w:t>
            </w:r>
          </w:p>
        </w:tc>
      </w:tr>
      <w:tr>
        <w:tc>
          <w:tcPr>
            <w:tcW w:type="dxa" w:w="259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spending_growth_index</w:t>
            </w:r>
          </w:p>
        </w:tc>
        <w:tc>
          <w:tcPr>
            <w:tcW w:type="dxa" w:w="403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MonthlyCharges ÷ (avg_monthly_spend + 1)</w:t>
            </w:r>
          </w:p>
        </w:tc>
        <w:tc>
          <w:tcPr>
            <w:tcW w:type="dxa" w:w="4464"/>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Ratio &gt; 1 means current bill is above historical average — spending is growing. &lt; 1 means declining.</w:t>
            </w:r>
          </w:p>
        </w:tc>
      </w:tr>
      <w:tr>
        <w:tc>
          <w:tcPr>
            <w:tcW w:type="dxa" w:w="2592"/>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tenure_group</w:t>
            </w:r>
          </w:p>
        </w:tc>
        <w:tc>
          <w:tcPr>
            <w:tcW w:type="dxa" w:w="4032"/>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Binned: 0–12m, 13–24m, 25–48m, 49–60m, 60m+</w:t>
            </w:r>
          </w:p>
        </w:tc>
        <w:tc>
          <w:tcPr>
            <w:tcW w:type="dxa" w:w="4464"/>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Lifecycle stage labels. Enables the model to treat new customers differently from long-term ones.</w:t>
            </w:r>
          </w:p>
        </w:tc>
      </w:tr>
      <w:tr>
        <w:tc>
          <w:tcPr>
            <w:tcW w:type="dxa" w:w="259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customer_value</w:t>
            </w:r>
          </w:p>
        </w:tc>
        <w:tc>
          <w:tcPr>
            <w:tcW w:type="dxa" w:w="403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Quartile rank of TotalCharges + quartile rank of usage_score</w:t>
            </w:r>
          </w:p>
        </w:tc>
        <w:tc>
          <w:tcPr>
            <w:tcW w:type="dxa" w:w="4464"/>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High / Medium / Low value segment for retention prioritization and business targeting.</w:t>
            </w:r>
          </w:p>
        </w:tc>
      </w:tr>
      <w:tr>
        <w:tc>
          <w:tcPr>
            <w:tcW w:type="dxa" w:w="2592"/>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Contract_encoded</w:t>
            </w:r>
          </w:p>
        </w:tc>
        <w:tc>
          <w:tcPr>
            <w:tcW w:type="dxa" w:w="4032"/>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LabelEncoder on Contract column</w:t>
            </w:r>
          </w:p>
        </w:tc>
        <w:tc>
          <w:tcPr>
            <w:tcW w:type="dxa" w:w="4464"/>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Converts Month-to-month / One year / Two year to numeric for model input.</w:t>
            </w:r>
          </w:p>
        </w:tc>
      </w:tr>
      <w:tr>
        <w:tc>
          <w:tcPr>
            <w:tcW w:type="dxa" w:w="259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PaymentMethod_encoded</w:t>
            </w:r>
          </w:p>
        </w:tc>
        <w:tc>
          <w:tcPr>
            <w:tcW w:type="dxa" w:w="403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LabelEncoder on PaymentMethod column</w:t>
            </w:r>
          </w:p>
        </w:tc>
        <w:tc>
          <w:tcPr>
            <w:tcW w:type="dxa" w:w="4464"/>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Captures payment method signal in numeric form.</w:t>
            </w:r>
          </w:p>
        </w:tc>
      </w:tr>
      <w:tr>
        <w:tc>
          <w:tcPr>
            <w:tcW w:type="dxa" w:w="2592"/>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InternetService_encoded</w:t>
            </w:r>
          </w:p>
        </w:tc>
        <w:tc>
          <w:tcPr>
            <w:tcW w:type="dxa" w:w="4032"/>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LabelEncoder on InternetService column</w:t>
            </w:r>
          </w:p>
        </w:tc>
        <w:tc>
          <w:tcPr>
            <w:tcW w:type="dxa" w:w="4464"/>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Captures Fiber optic vs DSL vs No internet — important behavioral differentiator.</w:t>
            </w:r>
          </w:p>
        </w:tc>
      </w:tr>
    </w:tbl>
    <w:p>
      <w:pPr>
        <w:spacing w:before="0" w:after="0"/>
      </w:pPr>
      <w:r>
        <w:rPr>
          <w:rFonts w:ascii="Calibri" w:hAnsi="Calibri"/>
          <w:b w:val="0"/>
          <w:i w:val="0"/>
          <w:sz w:val="8"/>
        </w:rPr>
      </w:r>
    </w:p>
    <w:p>
      <w:pPr>
        <w:spacing w:before="240" w:after="80"/>
      </w:pPr>
      <w:r>
        <w:rPr>
          <w:rFonts w:ascii="Calibri" w:hAnsi="Calibri"/>
          <w:b/>
          <w:i w:val="0"/>
          <w:color w:val="1D4ED8"/>
          <w:sz w:val="24"/>
        </w:rPr>
        <w:t>4.2  Customer Value Segmentation</w:t>
      </w:r>
    </w:p>
    <w:p>
      <w:pPr>
        <w:spacing w:before="40" w:after="80"/>
      </w:pPr>
      <w:r>
        <w:rPr>
          <w:rFonts w:ascii="Calibri" w:hAnsi="Calibri"/>
          <w:b w:val="0"/>
          <w:i w:val="0"/>
          <w:color w:val="1C1C1C"/>
          <w:sz w:val="21"/>
        </w:rPr>
        <w:t>Each customer is assigned to one of three value tiers based on a composite score:</w:t>
      </w:r>
    </w:p>
    <w:p>
      <w:pPr>
        <w:spacing w:before="0" w:after="0"/>
      </w:pPr>
      <w:r>
        <w:rPr>
          <w:rFonts w:ascii="Calibri" w:hAnsi="Calibri"/>
          <w:b w:val="0"/>
          <w:i w:val="0"/>
          <w:sz w:val="8"/>
        </w:rPr>
      </w:r>
    </w:p>
    <w:tbl>
      <w:tblPr>
        <w:tblStyle w:val="TableGrid"/>
        <w:tblW w:type="auto" w:w="0"/>
        <w:jc w:val="left"/>
        <w:tblLook w:firstColumn="1" w:firstRow="1" w:lastColumn="0" w:lastRow="0" w:noHBand="0" w:noVBand="1" w:val="04A0"/>
      </w:tblPr>
      <w:tblGrid>
        <w:gridCol w:w="3024"/>
        <w:gridCol w:w="3024"/>
        <w:gridCol w:w="3024"/>
      </w:tblGrid>
      <w:tr>
        <w:tc>
          <w:tcPr>
            <w:tcW w:type="dxa" w:w="2160"/>
            <w:shd w:val="clear" w:color="auto" w:fill="1E3A8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Segment</w:t>
            </w:r>
          </w:p>
        </w:tc>
        <w:tc>
          <w:tcPr>
            <w:tcW w:type="dxa" w:w="4320"/>
            <w:shd w:val="clear" w:color="auto" w:fill="1E3A8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How assigned</w:t>
            </w:r>
          </w:p>
        </w:tc>
        <w:tc>
          <w:tcPr>
            <w:tcW w:type="dxa" w:w="4608"/>
            <w:shd w:val="clear" w:color="auto" w:fill="1E3A8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Business meaning</w:t>
            </w:r>
          </w:p>
        </w:tc>
      </w:tr>
      <w:tr>
        <w:tc>
          <w:tcPr>
            <w:tcW w:type="dxa" w:w="216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High Value</w:t>
            </w:r>
          </w:p>
        </w:tc>
        <w:tc>
          <w:tcPr>
            <w:tcW w:type="dxa" w:w="432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Combined quartile rank 5–6 (top quartile in both TotalCharges and usage_score)</w:t>
            </w:r>
          </w:p>
        </w:tc>
        <w:tc>
          <w:tcPr>
            <w:tcW w:type="dxa" w:w="4608"/>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Maximum revenue customers. Losing these has the highest financial impact. Prioritize for premium retention.</w:t>
            </w:r>
          </w:p>
        </w:tc>
      </w:tr>
      <w:tr>
        <w:tc>
          <w:tcPr>
            <w:tcW w:type="dxa" w:w="216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Medium Value</w:t>
            </w:r>
          </w:p>
        </w:tc>
        <w:tc>
          <w:tcPr>
            <w:tcW w:type="dxa" w:w="432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Combined quartile rank 3–4</w:t>
            </w:r>
          </w:p>
        </w:tc>
        <w:tc>
          <w:tcPr>
            <w:tcW w:type="dxa" w:w="460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Core subscriber base. Target with loyalty programs, plan upgrades, and early-tenure onboarding.</w:t>
            </w:r>
          </w:p>
        </w:tc>
      </w:tr>
      <w:tr>
        <w:tc>
          <w:tcPr>
            <w:tcW w:type="dxa" w:w="216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Low Value</w:t>
            </w:r>
          </w:p>
        </w:tc>
        <w:tc>
          <w:tcPr>
            <w:tcW w:type="dxa" w:w="432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Combined quartile rank 1–2 (bottom quartile)</w:t>
            </w:r>
          </w:p>
        </w:tc>
        <w:tc>
          <w:tcPr>
            <w:tcW w:type="dxa" w:w="4608"/>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Low tenure or low spend. Evaluate cost of retention versus new customer acquisition.</w:t>
            </w:r>
          </w:p>
        </w:tc>
      </w:tr>
    </w:tbl>
    <w:p>
      <w:pPr>
        <w:spacing w:before="0" w:after="0"/>
      </w:pPr>
      <w:r>
        <w:rPr>
          <w:rFonts w:ascii="Calibri" w:hAnsi="Calibri"/>
          <w:b w:val="0"/>
          <w:i w:val="0"/>
          <w:sz w:val="8"/>
        </w:rPr>
      </w:r>
    </w:p>
    <w:p>
      <w:r>
        <w:br w:type="page"/>
      </w:r>
    </w:p>
    <w:p>
      <w:pPr>
        <w:spacing w:before="360" w:after="120"/>
        <w:jc w:val="left"/>
        <w:pBdr>
          <w:left w:val="single" w:sz="24" w:space="8" w:color="1E3A8A"/>
        </w:pBdr>
        <w:shd w:val="clear" w:color="auto" w:fill="EFF6FF"/>
      </w:pPr>
      <w:r>
        <w:rPr>
          <w:rFonts w:ascii="Calibri" w:hAnsi="Calibri"/>
          <w:b/>
          <w:i w:val="0"/>
          <w:color w:val="1E3A8A"/>
          <w:sz w:val="28"/>
        </w:rPr>
        <w:t>5. Data Visualizations  (visualization.py)</w:t>
      </w:r>
    </w:p>
    <w:p>
      <w:pPr>
        <w:spacing w:before="0" w:after="0"/>
      </w:pPr>
      <w:r>
        <w:rPr>
          <w:rFonts w:ascii="Calibri" w:hAnsi="Calibri"/>
          <w:b w:val="0"/>
          <w:i w:val="0"/>
          <w:sz w:val="8"/>
        </w:rPr>
      </w:r>
    </w:p>
    <w:p>
      <w:pPr>
        <w:spacing w:before="40" w:after="80"/>
      </w:pPr>
      <w:r>
        <w:rPr>
          <w:rFonts w:ascii="Calibri" w:hAnsi="Calibri"/>
          <w:b w:val="0"/>
          <w:i w:val="0"/>
          <w:color w:val="1C1C1C"/>
          <w:sz w:val="21"/>
        </w:rPr>
        <w:t>7 charts were generated and saved to outputs/plots/. Each visualization was designed to answer a specific business question, not just display data.</w:t>
      </w:r>
    </w:p>
    <w:p>
      <w:pPr>
        <w:spacing w:before="0" w:after="0"/>
      </w:pPr>
      <w:r>
        <w:rPr>
          <w:rFonts w:ascii="Calibri" w:hAnsi="Calibri"/>
          <w:b w:val="0"/>
          <w:i w:val="0"/>
          <w:sz w:val="8"/>
        </w:rPr>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576"/>
            <w:shd w:val="clear" w:color="auto" w:fill="4338C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w:t>
            </w:r>
          </w:p>
        </w:tc>
        <w:tc>
          <w:tcPr>
            <w:tcW w:type="dxa" w:w="2880"/>
            <w:shd w:val="clear" w:color="auto" w:fill="4338C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Chart Title</w:t>
            </w:r>
          </w:p>
        </w:tc>
        <w:tc>
          <w:tcPr>
            <w:tcW w:type="dxa" w:w="3168"/>
            <w:shd w:val="clear" w:color="auto" w:fill="4338C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File</w:t>
            </w:r>
          </w:p>
        </w:tc>
        <w:tc>
          <w:tcPr>
            <w:tcW w:type="dxa" w:w="4464"/>
            <w:shd w:val="clear" w:color="auto" w:fill="4338C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Business Question Answered</w:t>
            </w:r>
          </w:p>
        </w:tc>
      </w:tr>
      <w:tr>
        <w:tc>
          <w:tcPr>
            <w:tcW w:type="dxa" w:w="576"/>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1</w:t>
            </w:r>
          </w:p>
        </w:tc>
        <w:tc>
          <w:tcPr>
            <w:tcW w:type="dxa" w:w="2880"/>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Churn Distribution</w:t>
            </w:r>
          </w:p>
        </w:tc>
        <w:tc>
          <w:tcPr>
            <w:tcW w:type="dxa" w:w="3168"/>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01_churn_distribution.png</w:t>
            </w:r>
          </w:p>
        </w:tc>
        <w:tc>
          <w:tcPr>
            <w:tcW w:type="dxa" w:w="4464"/>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What is our overall churn rate? What portion of customers are we losing?</w:t>
            </w:r>
          </w:p>
        </w:tc>
      </w:tr>
      <w:tr>
        <w:tc>
          <w:tcPr>
            <w:tcW w:type="dxa" w:w="576"/>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2</w:t>
            </w:r>
          </w:p>
        </w:tc>
        <w:tc>
          <w:tcPr>
            <w:tcW w:type="dxa" w:w="288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Monthly Charges by Churn</w:t>
            </w:r>
          </w:p>
        </w:tc>
        <w:tc>
          <w:tcPr>
            <w:tcW w:type="dxa" w:w="316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02_monthly_charges_churn.png</w:t>
            </w:r>
          </w:p>
        </w:tc>
        <w:tc>
          <w:tcPr>
            <w:tcW w:type="dxa" w:w="4464"/>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Do churners pay more or less per month than customers who stay?</w:t>
            </w:r>
          </w:p>
        </w:tc>
      </w:tr>
      <w:tr>
        <w:tc>
          <w:tcPr>
            <w:tcW w:type="dxa" w:w="576"/>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3</w:t>
            </w:r>
          </w:p>
        </w:tc>
        <w:tc>
          <w:tcPr>
            <w:tcW w:type="dxa" w:w="2880"/>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Tenure Distribution</w:t>
            </w:r>
          </w:p>
        </w:tc>
        <w:tc>
          <w:tcPr>
            <w:tcW w:type="dxa" w:w="3168"/>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03_tenure_distribution.png</w:t>
            </w:r>
          </w:p>
        </w:tc>
        <w:tc>
          <w:tcPr>
            <w:tcW w:type="dxa" w:w="4464"/>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At what point in the customer lifecycle is churn most likely to occur?</w:t>
            </w:r>
          </w:p>
        </w:tc>
      </w:tr>
      <w:tr>
        <w:tc>
          <w:tcPr>
            <w:tcW w:type="dxa" w:w="576"/>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4</w:t>
            </w:r>
          </w:p>
        </w:tc>
        <w:tc>
          <w:tcPr>
            <w:tcW w:type="dxa" w:w="288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Contract Type vs Churn</w:t>
            </w:r>
          </w:p>
        </w:tc>
        <w:tc>
          <w:tcPr>
            <w:tcW w:type="dxa" w:w="316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04_contract_churn.png</w:t>
            </w:r>
          </w:p>
        </w:tc>
        <w:tc>
          <w:tcPr>
            <w:tcW w:type="dxa" w:w="4464"/>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Which contract type has the highest churn rate? How much higher?</w:t>
            </w:r>
          </w:p>
        </w:tc>
      </w:tr>
      <w:tr>
        <w:tc>
          <w:tcPr>
            <w:tcW w:type="dxa" w:w="576"/>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5</w:t>
            </w:r>
          </w:p>
        </w:tc>
        <w:tc>
          <w:tcPr>
            <w:tcW w:type="dxa" w:w="2880"/>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Correlation Heatmap</w:t>
            </w:r>
          </w:p>
        </w:tc>
        <w:tc>
          <w:tcPr>
            <w:tcW w:type="dxa" w:w="3168"/>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05_correlation_heatmap.png</w:t>
            </w:r>
          </w:p>
        </w:tc>
        <w:tc>
          <w:tcPr>
            <w:tcW w:type="dxa" w:w="4464"/>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Which features are most correlated with churn? Are any features redundant?</w:t>
            </w:r>
          </w:p>
        </w:tc>
      </w:tr>
      <w:tr>
        <w:tc>
          <w:tcPr>
            <w:tcW w:type="dxa" w:w="576"/>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6</w:t>
            </w:r>
          </w:p>
        </w:tc>
        <w:tc>
          <w:tcPr>
            <w:tcW w:type="dxa" w:w="288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Revenue by Contract</w:t>
            </w:r>
          </w:p>
        </w:tc>
        <w:tc>
          <w:tcPr>
            <w:tcW w:type="dxa" w:w="316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06_revenue_contract.png</w:t>
            </w:r>
          </w:p>
        </w:tc>
        <w:tc>
          <w:tcPr>
            <w:tcW w:type="dxa" w:w="4464"/>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How much monthly revenue is at risk per contract type?</w:t>
            </w:r>
          </w:p>
        </w:tc>
      </w:tr>
      <w:tr>
        <w:tc>
          <w:tcPr>
            <w:tcW w:type="dxa" w:w="576"/>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7</w:t>
            </w:r>
          </w:p>
        </w:tc>
        <w:tc>
          <w:tcPr>
            <w:tcW w:type="dxa" w:w="2880"/>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Feature Importance (RF)</w:t>
            </w:r>
          </w:p>
        </w:tc>
        <w:tc>
          <w:tcPr>
            <w:tcW w:type="dxa" w:w="3168"/>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07_feature_importance.png</w:t>
            </w:r>
          </w:p>
        </w:tc>
        <w:tc>
          <w:tcPr>
            <w:tcW w:type="dxa" w:w="4464"/>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What does the Random Forest model say are the most predictive features?</w:t>
            </w:r>
          </w:p>
        </w:tc>
      </w:tr>
    </w:tbl>
    <w:p>
      <w:pPr>
        <w:spacing w:before="0" w:after="0"/>
      </w:pPr>
      <w:r>
        <w:rPr>
          <w:rFonts w:ascii="Calibri" w:hAnsi="Calibri"/>
          <w:b w:val="0"/>
          <w:i w:val="0"/>
          <w:sz w:val="8"/>
        </w:rPr>
      </w:r>
    </w:p>
    <w:p>
      <w:pPr>
        <w:spacing w:before="0" w:after="0"/>
      </w:pPr>
      <w:r>
        <w:rPr>
          <w:rFonts w:ascii="Calibri" w:hAnsi="Calibri"/>
          <w:b w:val="0"/>
          <w:i w:val="0"/>
          <w:sz w:val="8"/>
        </w:rPr>
      </w:r>
    </w:p>
    <w:p>
      <w:pPr>
        <w:spacing w:before="80" w:after="80"/>
        <w:ind w:left="432" w:right="432"/>
        <w:pBdr>
          <w:top w:val="single" w:sz="4" w:space="4" w:color="EEF2FF"/>
          <w:bottom w:val="single" w:sz="4" w:space="4" w:color="EEF2FF"/>
          <w:right w:val="single" w:sz="4" w:space="4" w:color="EEF2FF"/>
          <w:left w:val="single" w:sz="18" w:space="8" w:color="4338CA"/>
        </w:pBdr>
        <w:shd w:val="clear" w:color="auto" w:fill="EEF2FF"/>
      </w:pPr>
      <w:r>
        <w:rPr>
          <w:rFonts w:ascii="Calibri" w:hAnsi="Calibri"/>
          <w:b w:val="0"/>
          <w:i/>
          <w:color w:val="1E3A5F"/>
          <w:sz w:val="21"/>
        </w:rPr>
        <w:t>Key finding from Chart 7 (Feature Importance): tenure, MonthlyCharges, and Contract_encoded are the top 3 model drivers — confirming that how long a customer has been with us, what they pay, and whether they are month-to-month are the core churn signals.</w:t>
      </w:r>
    </w:p>
    <w:p>
      <w:r>
        <w:br w:type="page"/>
      </w:r>
    </w:p>
    <w:p>
      <w:pPr>
        <w:spacing w:before="360" w:after="120"/>
        <w:jc w:val="left"/>
        <w:pBdr>
          <w:left w:val="single" w:sz="24" w:space="8" w:color="1E3A8A"/>
        </w:pBdr>
        <w:shd w:val="clear" w:color="auto" w:fill="EFF6FF"/>
      </w:pPr>
      <w:r>
        <w:rPr>
          <w:rFonts w:ascii="Calibri" w:hAnsi="Calibri"/>
          <w:b/>
          <w:i w:val="0"/>
          <w:color w:val="1E3A8A"/>
          <w:sz w:val="28"/>
        </w:rPr>
        <w:t>6. Machine Learning Models  (models.py)</w:t>
      </w:r>
    </w:p>
    <w:p>
      <w:pPr>
        <w:spacing w:before="0" w:after="0"/>
      </w:pPr>
      <w:r>
        <w:rPr>
          <w:rFonts w:ascii="Calibri" w:hAnsi="Calibri"/>
          <w:b w:val="0"/>
          <w:i w:val="0"/>
          <w:sz w:val="8"/>
        </w:rPr>
      </w:r>
    </w:p>
    <w:p>
      <w:pPr>
        <w:spacing w:before="240" w:after="80"/>
      </w:pPr>
      <w:r>
        <w:rPr>
          <w:rFonts w:ascii="Calibri" w:hAnsi="Calibri"/>
          <w:b/>
          <w:i w:val="0"/>
          <w:color w:val="1D4ED8"/>
          <w:sz w:val="24"/>
        </w:rPr>
        <w:t>6.1  Feature Set Used for Training</w:t>
      </w:r>
    </w:p>
    <w:p>
      <w:pPr>
        <w:spacing w:before="40" w:after="80"/>
      </w:pPr>
      <w:r>
        <w:rPr>
          <w:rFonts w:ascii="Calibri" w:hAnsi="Calibri"/>
          <w:b w:val="0"/>
          <w:i w:val="0"/>
          <w:color w:val="1C1C1C"/>
          <w:sz w:val="21"/>
        </w:rPr>
        <w:t>13 features were selected as model inputs — the engineered behavioral features plus the label-encoded categorical columns:</w:t>
      </w:r>
    </w:p>
    <w:p>
      <w:pPr>
        <w:spacing w:before="0" w:after="0"/>
      </w:pPr>
      <w:r>
        <w:rPr>
          <w:rFonts w:ascii="Calibri" w:hAnsi="Calibri"/>
          <w:b w:val="0"/>
          <w:i w:val="0"/>
          <w:sz w:val="8"/>
        </w:rPr>
      </w:r>
    </w:p>
    <w:p>
      <w:pPr>
        <w:pStyle w:val="ListBullet"/>
        <w:spacing w:before="20" w:after="40"/>
      </w:pPr>
      <w:r>
        <w:rPr>
          <w:rFonts w:ascii="Calibri" w:hAnsi="Calibri"/>
          <w:b w:val="0"/>
          <w:i w:val="0"/>
          <w:color w:val="1C1C1C"/>
          <w:sz w:val="21"/>
        </w:rPr>
        <w:t>tenure, MonthlyCharges, TotalCharges</w:t>
      </w:r>
    </w:p>
    <w:p>
      <w:pPr>
        <w:pStyle w:val="ListBullet"/>
        <w:spacing w:before="20" w:after="40"/>
      </w:pPr>
      <w:r>
        <w:rPr>
          <w:rFonts w:ascii="Calibri" w:hAnsi="Calibri"/>
          <w:b w:val="0"/>
          <w:i w:val="0"/>
          <w:color w:val="1C1C1C"/>
          <w:sz w:val="21"/>
        </w:rPr>
        <w:t>usage_score, payment_risk, payment_stability</w:t>
      </w:r>
    </w:p>
    <w:p>
      <w:pPr>
        <w:pStyle w:val="ListBullet"/>
        <w:spacing w:before="20" w:after="40"/>
      </w:pPr>
      <w:r>
        <w:rPr>
          <w:rFonts w:ascii="Calibri" w:hAnsi="Calibri"/>
          <w:b w:val="0"/>
          <w:i w:val="0"/>
          <w:color w:val="1C1C1C"/>
          <w:sz w:val="21"/>
        </w:rPr>
        <w:t>support_heavy, support_interaction_count</w:t>
      </w:r>
    </w:p>
    <w:p>
      <w:pPr>
        <w:pStyle w:val="ListBullet"/>
        <w:spacing w:before="20" w:after="40"/>
      </w:pPr>
      <w:r>
        <w:rPr>
          <w:rFonts w:ascii="Calibri" w:hAnsi="Calibri"/>
          <w:b w:val="0"/>
          <w:i w:val="0"/>
          <w:color w:val="1C1C1C"/>
          <w:sz w:val="21"/>
        </w:rPr>
        <w:t>charges_ratio, avg_monthly_spend, spending_growth_index</w:t>
      </w:r>
    </w:p>
    <w:p>
      <w:pPr>
        <w:pStyle w:val="ListBullet"/>
        <w:spacing w:before="20" w:after="40"/>
      </w:pPr>
      <w:r>
        <w:rPr>
          <w:rFonts w:ascii="Calibri" w:hAnsi="Calibri"/>
          <w:b w:val="0"/>
          <w:i w:val="0"/>
          <w:color w:val="1C1C1C"/>
          <w:sz w:val="21"/>
        </w:rPr>
        <w:t>Contract_encoded, PaymentMethod_encoded, InternetService_encoded</w:t>
      </w:r>
    </w:p>
    <w:p>
      <w:pPr>
        <w:spacing w:before="0" w:after="0"/>
      </w:pPr>
      <w:r>
        <w:rPr>
          <w:rFonts w:ascii="Calibri" w:hAnsi="Calibri"/>
          <w:b w:val="0"/>
          <w:i w:val="0"/>
          <w:sz w:val="8"/>
        </w:rPr>
      </w:r>
    </w:p>
    <w:p>
      <w:pPr>
        <w:spacing w:before="240" w:after="80"/>
      </w:pPr>
      <w:r>
        <w:rPr>
          <w:rFonts w:ascii="Calibri" w:hAnsi="Calibri"/>
          <w:b/>
          <w:i w:val="0"/>
          <w:color w:val="1D4ED8"/>
          <w:sz w:val="24"/>
        </w:rPr>
        <w:t>6.2  Train / Test Split</w:t>
      </w:r>
    </w:p>
    <w:tbl>
      <w:tblPr>
        <w:tblStyle w:val="TableGrid"/>
        <w:tblW w:type="auto" w:w="0"/>
        <w:jc w:val="left"/>
        <w:tblLook w:firstColumn="1" w:firstRow="1" w:lastColumn="0" w:lastRow="0" w:noHBand="0" w:noVBand="1" w:val="04A0"/>
      </w:tblPr>
      <w:tblGrid>
        <w:gridCol w:w="3024"/>
        <w:gridCol w:w="3024"/>
        <w:gridCol w:w="3024"/>
      </w:tblGrid>
      <w:tr>
        <w:tc>
          <w:tcPr>
            <w:tcW w:type="dxa" w:w="2304"/>
            <w:shd w:val="clear" w:color="auto" w:fill="1E3A8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Parameter</w:t>
            </w:r>
          </w:p>
        </w:tc>
        <w:tc>
          <w:tcPr>
            <w:tcW w:type="dxa" w:w="3456"/>
            <w:shd w:val="clear" w:color="auto" w:fill="1E3A8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Value</w:t>
            </w:r>
          </w:p>
        </w:tc>
        <w:tc>
          <w:tcPr>
            <w:tcW w:type="dxa" w:w="5328"/>
            <w:shd w:val="clear" w:color="auto" w:fill="1E3A8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Reason</w:t>
            </w:r>
          </w:p>
        </w:tc>
      </w:tr>
      <w:tr>
        <w:tc>
          <w:tcPr>
            <w:tcW w:type="dxa" w:w="2304"/>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Test size</w:t>
            </w:r>
          </w:p>
        </w:tc>
        <w:tc>
          <w:tcPr>
            <w:tcW w:type="dxa" w:w="3456"/>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20%  (1,408 customers)</w:t>
            </w:r>
          </w:p>
        </w:tc>
        <w:tc>
          <w:tcPr>
            <w:tcW w:type="dxa" w:w="5328"/>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Standard split for a dataset of this size — large enough test set for reliable metrics</w:t>
            </w:r>
          </w:p>
        </w:tc>
      </w:tr>
      <w:tr>
        <w:tc>
          <w:tcPr>
            <w:tcW w:type="dxa" w:w="2304"/>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Train size</w:t>
            </w:r>
          </w:p>
        </w:tc>
        <w:tc>
          <w:tcPr>
            <w:tcW w:type="dxa" w:w="3456"/>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80%  (5,634 customers)</w:t>
            </w:r>
          </w:p>
        </w:tc>
        <w:tc>
          <w:tcPr>
            <w:tcW w:type="dxa" w:w="532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Majority for training to maximize model learning</w:t>
            </w:r>
          </w:p>
        </w:tc>
      </w:tr>
      <w:tr>
        <w:tc>
          <w:tcPr>
            <w:tcW w:type="dxa" w:w="2304"/>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Stratification</w:t>
            </w:r>
          </w:p>
        </w:tc>
        <w:tc>
          <w:tcPr>
            <w:tcW w:type="dxa" w:w="3456"/>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Yes — on Churn column</w:t>
            </w:r>
          </w:p>
        </w:tc>
        <w:tc>
          <w:tcPr>
            <w:tcW w:type="dxa" w:w="5328"/>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Ensures both train and test maintain the same ~26.5% churn ratio — prevents evaluation bias</w:t>
            </w:r>
          </w:p>
        </w:tc>
      </w:tr>
      <w:tr>
        <w:tc>
          <w:tcPr>
            <w:tcW w:type="dxa" w:w="2304"/>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Random state</w:t>
            </w:r>
          </w:p>
        </w:tc>
        <w:tc>
          <w:tcPr>
            <w:tcW w:type="dxa" w:w="3456"/>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42</w:t>
            </w:r>
          </w:p>
        </w:tc>
        <w:tc>
          <w:tcPr>
            <w:tcW w:type="dxa" w:w="532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Fixed seed for fully reproducible results across runs</w:t>
            </w:r>
          </w:p>
        </w:tc>
      </w:tr>
    </w:tbl>
    <w:p>
      <w:pPr>
        <w:spacing w:before="0" w:after="0"/>
      </w:pPr>
      <w:r>
        <w:rPr>
          <w:rFonts w:ascii="Calibri" w:hAnsi="Calibri"/>
          <w:b w:val="0"/>
          <w:i w:val="0"/>
          <w:sz w:val="8"/>
        </w:rPr>
      </w:r>
    </w:p>
    <w:p>
      <w:pPr>
        <w:spacing w:before="240" w:after="80"/>
      </w:pPr>
      <w:r>
        <w:rPr>
          <w:rFonts w:ascii="Calibri" w:hAnsi="Calibri"/>
          <w:b/>
          <w:i w:val="0"/>
          <w:color w:val="1D4ED8"/>
          <w:sz w:val="24"/>
        </w:rPr>
        <w:t>6.3  Model Configurations</w:t>
      </w:r>
    </w:p>
    <w:tbl>
      <w:tblPr>
        <w:tblStyle w:val="TableGrid"/>
        <w:tblW w:type="auto" w:w="0"/>
        <w:jc w:val="left"/>
        <w:tblLook w:firstColumn="1" w:firstRow="1" w:lastColumn="0" w:lastRow="0" w:noHBand="0" w:noVBand="1" w:val="04A0"/>
      </w:tblPr>
      <w:tblGrid>
        <w:gridCol w:w="3024"/>
        <w:gridCol w:w="3024"/>
        <w:gridCol w:w="3024"/>
      </w:tblGrid>
      <w:tr>
        <w:tc>
          <w:tcPr>
            <w:tcW w:type="dxa" w:w="2304"/>
            <w:shd w:val="clear" w:color="auto" w:fill="065F46"/>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Model</w:t>
            </w:r>
          </w:p>
        </w:tc>
        <w:tc>
          <w:tcPr>
            <w:tcW w:type="dxa" w:w="3312"/>
            <w:shd w:val="clear" w:color="auto" w:fill="065F46"/>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Key Settings</w:t>
            </w:r>
          </w:p>
        </w:tc>
        <w:tc>
          <w:tcPr>
            <w:tcW w:type="dxa" w:w="5472"/>
            <w:shd w:val="clear" w:color="auto" w:fill="065F46"/>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Why these settings</w:t>
            </w:r>
          </w:p>
        </w:tc>
      </w:tr>
      <w:tr>
        <w:tc>
          <w:tcPr>
            <w:tcW w:type="dxa" w:w="2304"/>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Logistic Regression</w:t>
            </w:r>
          </w:p>
        </w:tc>
        <w:tc>
          <w:tcPr>
            <w:tcW w:type="dxa" w:w="3312"/>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max_iter=500, class_weight="balanced", random_state=42, StandardScaler applied</w:t>
            </w:r>
          </w:p>
        </w:tc>
        <w:tc>
          <w:tcPr>
            <w:tcW w:type="dxa" w:w="5472"/>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LR is scale-sensitive so StandardScaler is mandatory. class_weight="balanced" compensates for 73/27 class imbalance. 500 iterations ensures convergence.</w:t>
            </w:r>
          </w:p>
        </w:tc>
      </w:tr>
      <w:tr>
        <w:tc>
          <w:tcPr>
            <w:tcW w:type="dxa" w:w="2304"/>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Random Forest</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n_estimators=200, max_depth=10, min_samples_split=5, class_weight="balanced", random_state=42</w:t>
            </w:r>
          </w:p>
        </w:tc>
        <w:tc>
          <w:tcPr>
            <w:tcW w:type="dxa" w:w="547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200 trees reduces variance while staying computationally reasonable. max_depth=10 prevents overfitting on this dataset size. No scaling needed — tree models are scale-invariant.</w:t>
            </w:r>
          </w:p>
        </w:tc>
      </w:tr>
      <w:tr>
        <w:tc>
          <w:tcPr>
            <w:tcW w:type="dxa" w:w="2304"/>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XGBoost</w:t>
            </w:r>
          </w:p>
        </w:tc>
        <w:tc>
          <w:tcPr>
            <w:tcW w:type="dxa" w:w="3312"/>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n_estimators=200, max_depth=5, learning_rate=0.05, subsample=0.8, colsample_bytree=0.8, random_state=42</w:t>
            </w:r>
          </w:p>
        </w:tc>
        <w:tc>
          <w:tcPr>
            <w:tcW w:type="dxa" w:w="5472"/>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Lower learning rate with more trees for better generalization. subsample and colsample_bytree add regularization via feature/row sampling.</w:t>
            </w:r>
          </w:p>
        </w:tc>
      </w:tr>
    </w:tbl>
    <w:p>
      <w:pPr>
        <w:spacing w:before="0" w:after="0"/>
      </w:pPr>
      <w:r>
        <w:rPr>
          <w:rFonts w:ascii="Calibri" w:hAnsi="Calibri"/>
          <w:b w:val="0"/>
          <w:i w:val="0"/>
          <w:sz w:val="8"/>
        </w:rPr>
      </w:r>
    </w:p>
    <w:p>
      <w:pPr>
        <w:spacing w:before="240" w:after="80"/>
      </w:pPr>
      <w:r>
        <w:rPr>
          <w:rFonts w:ascii="Calibri" w:hAnsi="Calibri"/>
          <w:b/>
          <w:i w:val="0"/>
          <w:color w:val="1D4ED8"/>
          <w:sz w:val="24"/>
        </w:rPr>
        <w:t>6.4  Why 5 Evaluation Metrics — Not Just Accuracy</w:t>
      </w:r>
    </w:p>
    <w:p>
      <w:pPr>
        <w:spacing w:before="40" w:after="80"/>
      </w:pPr>
      <w:r>
        <w:rPr>
          <w:rFonts w:ascii="Calibri" w:hAnsi="Calibri"/>
          <w:b w:val="0"/>
          <w:i w:val="0"/>
          <w:color w:val="1C1C1C"/>
          <w:sz w:val="21"/>
        </w:rPr>
        <w:t>On an imbalanced dataset (26.5% churn), a model that predicts "No Churn" for every customer would achieve 73.5% accuracy without learning anything. That's why 5 metrics are tracked:</w:t>
      </w:r>
    </w:p>
    <w:p>
      <w:pPr>
        <w:spacing w:before="0" w:after="0"/>
      </w:pPr>
      <w:r>
        <w:rPr>
          <w:rFonts w:ascii="Calibri" w:hAnsi="Calibri"/>
          <w:b w:val="0"/>
          <w:i w:val="0"/>
          <w:sz w:val="8"/>
        </w:rPr>
      </w:r>
    </w:p>
    <w:tbl>
      <w:tblPr>
        <w:tblStyle w:val="TableGrid"/>
        <w:tblW w:type="auto" w:w="0"/>
        <w:jc w:val="left"/>
        <w:tblLook w:firstColumn="1" w:firstRow="1" w:lastColumn="0" w:lastRow="0" w:noHBand="0" w:noVBand="1" w:val="04A0"/>
      </w:tblPr>
      <w:tblGrid>
        <w:gridCol w:w="3024"/>
        <w:gridCol w:w="3024"/>
        <w:gridCol w:w="3024"/>
      </w:tblGrid>
      <w:tr>
        <w:tc>
          <w:tcPr>
            <w:tcW w:type="dxa" w:w="2016"/>
            <w:shd w:val="clear" w:color="auto" w:fill="B45309"/>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Metric</w:t>
            </w:r>
          </w:p>
        </w:tc>
        <w:tc>
          <w:tcPr>
            <w:tcW w:type="dxa" w:w="4032"/>
            <w:shd w:val="clear" w:color="auto" w:fill="B45309"/>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What it measures</w:t>
            </w:r>
          </w:p>
        </w:tc>
        <w:tc>
          <w:tcPr>
            <w:tcW w:type="dxa" w:w="5040"/>
            <w:shd w:val="clear" w:color="auto" w:fill="B45309"/>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Why it matters for churn</w:t>
            </w:r>
          </w:p>
        </w:tc>
      </w:tr>
      <w:tr>
        <w:tc>
          <w:tcPr>
            <w:tcW w:type="dxa" w:w="2016"/>
            <w:shd w:val="clear" w:color="auto" w:fill="FFFBEB"/>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Accuracy</w:t>
            </w:r>
          </w:p>
        </w:tc>
        <w:tc>
          <w:tcPr>
            <w:tcW w:type="dxa" w:w="4032"/>
            <w:shd w:val="clear" w:color="auto" w:fill="FFFBEB"/>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Overall correct predictions ÷ total predictions</w:t>
            </w:r>
          </w:p>
        </w:tc>
        <w:tc>
          <w:tcPr>
            <w:tcW w:type="dxa" w:w="5040"/>
            <w:shd w:val="clear" w:color="auto" w:fill="FFFBEB"/>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Useful for context but misleading alone when classes are imbalanced</w:t>
            </w:r>
          </w:p>
        </w:tc>
      </w:tr>
      <w:tr>
        <w:tc>
          <w:tcPr>
            <w:tcW w:type="dxa" w:w="2016"/>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Precision</w:t>
            </w:r>
          </w:p>
        </w:tc>
        <w:tc>
          <w:tcPr>
            <w:tcW w:type="dxa" w:w="403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Of customers predicted to churn, what % actually churned</w:t>
            </w:r>
          </w:p>
        </w:tc>
        <w:tc>
          <w:tcPr>
            <w:tcW w:type="dxa" w:w="504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Avoids wasting retention budget contacting customers who were never going to leave</w:t>
            </w:r>
          </w:p>
        </w:tc>
      </w:tr>
      <w:tr>
        <w:tc>
          <w:tcPr>
            <w:tcW w:type="dxa" w:w="2016"/>
            <w:shd w:val="clear" w:color="auto" w:fill="FFFBEB"/>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Recall</w:t>
            </w:r>
          </w:p>
        </w:tc>
        <w:tc>
          <w:tcPr>
            <w:tcW w:type="dxa" w:w="4032"/>
            <w:shd w:val="clear" w:color="auto" w:fill="FFFBEB"/>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Of customers who actually churned, what % did the model catch</w:t>
            </w:r>
          </w:p>
        </w:tc>
        <w:tc>
          <w:tcPr>
            <w:tcW w:type="dxa" w:w="5040"/>
            <w:shd w:val="clear" w:color="auto" w:fill="FFFBEB"/>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Critical — missing a churner means losing a customer we could have retained</w:t>
            </w:r>
          </w:p>
        </w:tc>
      </w:tr>
      <w:tr>
        <w:tc>
          <w:tcPr>
            <w:tcW w:type="dxa" w:w="2016"/>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F1 Score</w:t>
            </w:r>
          </w:p>
        </w:tc>
        <w:tc>
          <w:tcPr>
            <w:tcW w:type="dxa" w:w="403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Harmonic mean of Precision and Recall</w:t>
            </w:r>
          </w:p>
        </w:tc>
        <w:tc>
          <w:tcPr>
            <w:tcW w:type="dxa" w:w="504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Balanced metric — best single number for imbalanced classification problems</w:t>
            </w:r>
          </w:p>
        </w:tc>
      </w:tr>
      <w:tr>
        <w:tc>
          <w:tcPr>
            <w:tcW w:type="dxa" w:w="2016"/>
            <w:shd w:val="clear" w:color="auto" w:fill="FFFBEB"/>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ROC-AUC</w:t>
            </w:r>
          </w:p>
        </w:tc>
        <w:tc>
          <w:tcPr>
            <w:tcW w:type="dxa" w:w="4032"/>
            <w:shd w:val="clear" w:color="auto" w:fill="FFFBEB"/>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Model's ability to rank churners above non-churners across all thresholds</w:t>
            </w:r>
          </w:p>
        </w:tc>
        <w:tc>
          <w:tcPr>
            <w:tcW w:type="dxa" w:w="5040"/>
            <w:shd w:val="clear" w:color="auto" w:fill="FFFBEB"/>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Champion selection metric — measures discriminative power independent of threshold choice</w:t>
            </w:r>
          </w:p>
        </w:tc>
      </w:tr>
    </w:tbl>
    <w:p>
      <w:pPr>
        <w:spacing w:before="0" w:after="0"/>
      </w:pPr>
      <w:r>
        <w:rPr>
          <w:rFonts w:ascii="Calibri" w:hAnsi="Calibri"/>
          <w:b w:val="0"/>
          <w:i w:val="0"/>
          <w:sz w:val="8"/>
        </w:rPr>
      </w:r>
    </w:p>
    <w:p>
      <w:pPr>
        <w:spacing w:before="240" w:after="80"/>
      </w:pPr>
      <w:r>
        <w:rPr>
          <w:rFonts w:ascii="Calibri" w:hAnsi="Calibri"/>
          <w:b/>
          <w:i w:val="0"/>
          <w:color w:val="1D4ED8"/>
          <w:sz w:val="24"/>
        </w:rPr>
        <w:t>6.5  Champion Model Selection &amp; Persistence</w:t>
      </w:r>
    </w:p>
    <w:p>
      <w:pPr>
        <w:spacing w:before="40" w:after="80"/>
      </w:pPr>
      <w:r>
        <w:rPr>
          <w:rFonts w:ascii="Calibri" w:hAnsi="Calibri"/>
          <w:b w:val="0"/>
          <w:i w:val="0"/>
          <w:color w:val="1C1C1C"/>
          <w:sz w:val="21"/>
        </w:rPr>
        <w:t>After all three models are evaluated, the one with the highest ROC-AUC is automatically designated the champion model and saved:</w:t>
      </w:r>
    </w:p>
    <w:p>
      <w:pPr>
        <w:spacing w:before="0" w:after="0"/>
      </w:pPr>
      <w:r>
        <w:rPr>
          <w:rFonts w:ascii="Calibri" w:hAnsi="Calibri"/>
          <w:b w:val="0"/>
          <w:i w:val="0"/>
          <w:sz w:val="8"/>
        </w:rPr>
      </w:r>
    </w:p>
    <w:p>
      <w:pPr>
        <w:pStyle w:val="ListBullet"/>
        <w:spacing w:before="20" w:after="40"/>
      </w:pPr>
      <w:r>
        <w:rPr>
          <w:rFonts w:ascii="Calibri" w:hAnsi="Calibri"/>
          <w:b w:val="0"/>
          <w:i w:val="0"/>
          <w:color w:val="1C1C1C"/>
          <w:sz w:val="21"/>
        </w:rPr>
        <w:t>outputs/models/champion_model.pkl  — the trained model object (via pickle)</w:t>
      </w:r>
    </w:p>
    <w:p>
      <w:pPr>
        <w:pStyle w:val="ListBullet"/>
        <w:spacing w:before="20" w:after="40"/>
      </w:pPr>
      <w:r>
        <w:rPr>
          <w:rFonts w:ascii="Calibri" w:hAnsi="Calibri"/>
          <w:b w:val="0"/>
          <w:i w:val="0"/>
          <w:color w:val="1C1C1C"/>
          <w:sz w:val="21"/>
        </w:rPr>
        <w:t>outputs/models/standard_scaler.pkl — the fitted StandardScaler (for Logistic Regression)</w:t>
      </w:r>
    </w:p>
    <w:p>
      <w:pPr>
        <w:pStyle w:val="ListBullet"/>
        <w:spacing w:before="20" w:after="40"/>
      </w:pPr>
      <w:r>
        <w:rPr>
          <w:rFonts w:ascii="Calibri" w:hAnsi="Calibri"/>
          <w:b w:val="0"/>
          <w:i w:val="0"/>
          <w:color w:val="1C1C1C"/>
          <w:sz w:val="21"/>
        </w:rPr>
        <w:t>outputs/models/champion_model_name.txt — name of the champion for reference</w:t>
      </w:r>
    </w:p>
    <w:p>
      <w:pPr>
        <w:pStyle w:val="ListBullet"/>
        <w:spacing w:before="20" w:after="40"/>
      </w:pPr>
      <w:r>
        <w:rPr>
          <w:rFonts w:ascii="Calibri" w:hAnsi="Calibri"/>
          <w:b w:val="0"/>
          <w:i w:val="0"/>
          <w:color w:val="1C1C1C"/>
          <w:sz w:val="21"/>
        </w:rPr>
        <w:t>outputs/reports/model_results.csv — full metrics table for all 3 models</w:t>
      </w:r>
    </w:p>
    <w:p>
      <w:pPr>
        <w:spacing w:before="0" w:after="0"/>
      </w:pPr>
      <w:r>
        <w:rPr>
          <w:rFonts w:ascii="Calibri" w:hAnsi="Calibri"/>
          <w:b w:val="0"/>
          <w:i w:val="0"/>
          <w:sz w:val="8"/>
        </w:rPr>
      </w:r>
    </w:p>
    <w:p>
      <w:pPr>
        <w:spacing w:before="80" w:after="80"/>
        <w:ind w:left="432" w:right="432"/>
        <w:pBdr>
          <w:top w:val="single" w:sz="4" w:space="4" w:color="ECFDF5"/>
          <w:bottom w:val="single" w:sz="4" w:space="4" w:color="ECFDF5"/>
          <w:right w:val="single" w:sz="4" w:space="4" w:color="ECFDF5"/>
          <w:left w:val="single" w:sz="18" w:space="8" w:color="065F46"/>
        </w:pBdr>
        <w:shd w:val="clear" w:color="auto" w:fill="ECFDF5"/>
      </w:pPr>
      <w:r>
        <w:rPr>
          <w:rFonts w:ascii="Calibri" w:hAnsi="Calibri"/>
          <w:b w:val="0"/>
          <w:i/>
          <w:color w:val="1E3A5F"/>
          <w:sz w:val="21"/>
        </w:rPr>
        <w:t>Why save the champion? The weekly pipeline and email report both load the champion model from disk to score new data — avoiding the need to retrain every time. This makes the system production-ready, not just a one-time script.</w:t>
      </w:r>
    </w:p>
    <w:p>
      <w:r>
        <w:br w:type="page"/>
      </w:r>
    </w:p>
    <w:p>
      <w:pPr>
        <w:spacing w:before="360" w:after="120"/>
        <w:jc w:val="left"/>
        <w:pBdr>
          <w:left w:val="single" w:sz="24" w:space="8" w:color="1E3A8A"/>
        </w:pBdr>
        <w:shd w:val="clear" w:color="auto" w:fill="EFF6FF"/>
      </w:pPr>
      <w:r>
        <w:rPr>
          <w:rFonts w:ascii="Calibri" w:hAnsi="Calibri"/>
          <w:b/>
          <w:i w:val="0"/>
          <w:color w:val="1E3A8A"/>
          <w:sz w:val="28"/>
        </w:rPr>
        <w:t>7. Churn Prediction &amp; Risk Scoring</w:t>
      </w:r>
    </w:p>
    <w:p>
      <w:pPr>
        <w:spacing w:before="0" w:after="0"/>
      </w:pPr>
      <w:r>
        <w:rPr>
          <w:rFonts w:ascii="Calibri" w:hAnsi="Calibri"/>
          <w:b w:val="0"/>
          <w:i w:val="0"/>
          <w:sz w:val="8"/>
        </w:rPr>
      </w:r>
    </w:p>
    <w:p>
      <w:pPr>
        <w:spacing w:before="240" w:after="80"/>
      </w:pPr>
      <w:r>
        <w:rPr>
          <w:rFonts w:ascii="Calibri" w:hAnsi="Calibri"/>
          <w:b/>
          <w:i w:val="0"/>
          <w:color w:val="1D4ED8"/>
          <w:sz w:val="24"/>
        </w:rPr>
        <w:t>7.1  Churn Probability Output</w:t>
      </w:r>
    </w:p>
    <w:p>
      <w:pPr>
        <w:spacing w:before="40" w:after="80"/>
      </w:pPr>
      <w:r>
        <w:rPr>
          <w:rFonts w:ascii="Calibri" w:hAnsi="Calibri"/>
          <w:b w:val="0"/>
          <w:i w:val="0"/>
          <w:color w:val="1C1C1C"/>
          <w:sz w:val="21"/>
        </w:rPr>
        <w:t>The champion model assigns each of the 7,043 customers a churn_prob score between 0 and 1. A continuous probability is far more useful than a binary Yes/No prediction because it allows the business to rank and prioritize customers by urgency — rather than treating all predicted churners equally.</w:t>
      </w:r>
    </w:p>
    <w:p>
      <w:pPr>
        <w:spacing w:before="0" w:after="0"/>
      </w:pPr>
      <w:r>
        <w:rPr>
          <w:rFonts w:ascii="Calibri" w:hAnsi="Calibri"/>
          <w:b w:val="0"/>
          <w:i w:val="0"/>
          <w:sz w:val="8"/>
        </w:rPr>
      </w:r>
    </w:p>
    <w:p>
      <w:pPr>
        <w:spacing w:before="240" w:after="80"/>
      </w:pPr>
      <w:r>
        <w:rPr>
          <w:rFonts w:ascii="Calibri" w:hAnsi="Calibri"/>
          <w:b/>
          <w:i w:val="0"/>
          <w:color w:val="1D4ED8"/>
          <w:sz w:val="24"/>
        </w:rPr>
        <w:t>7.2  Risk Category Assignment</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160"/>
            <w:shd w:val="clear" w:color="auto" w:fill="1E3A8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Risk Category</w:t>
            </w:r>
          </w:p>
        </w:tc>
        <w:tc>
          <w:tcPr>
            <w:tcW w:type="dxa" w:w="2304"/>
            <w:shd w:val="clear" w:color="auto" w:fill="1E3A8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Probability Range</w:t>
            </w:r>
          </w:p>
        </w:tc>
        <w:tc>
          <w:tcPr>
            <w:tcW w:type="dxa" w:w="2880"/>
            <w:shd w:val="clear" w:color="auto" w:fill="1E3A8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Customer Count (Approx.)</w:t>
            </w:r>
          </w:p>
        </w:tc>
        <w:tc>
          <w:tcPr>
            <w:tcW w:type="dxa" w:w="3744"/>
            <w:shd w:val="clear" w:color="auto" w:fill="1E3A8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Business Action</w:t>
            </w:r>
          </w:p>
        </w:tc>
      </w:tr>
      <w:tr>
        <w:tc>
          <w:tcPr>
            <w:tcW w:type="dxa" w:w="216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 Low Risk</w:t>
            </w:r>
          </w:p>
        </w:tc>
        <w:tc>
          <w:tcPr>
            <w:tcW w:type="dxa" w:w="2304"/>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0.00 – 0.30</w:t>
            </w:r>
          </w:p>
        </w:tc>
        <w:tc>
          <w:tcPr>
            <w:tcW w:type="dxa" w:w="288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~55% of customers</w:t>
            </w:r>
          </w:p>
        </w:tc>
        <w:tc>
          <w:tcPr>
            <w:tcW w:type="dxa" w:w="3744"/>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Standard engagement. No immediate action. Monitor monthly.</w:t>
            </w:r>
          </w:p>
        </w:tc>
      </w:tr>
      <w:tr>
        <w:tc>
          <w:tcPr>
            <w:tcW w:type="dxa" w:w="216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 Medium Risk</w:t>
            </w:r>
          </w:p>
        </w:tc>
        <w:tc>
          <w:tcPr>
            <w:tcW w:type="dxa" w:w="2304"/>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0.31 – 0.60</w:t>
            </w:r>
          </w:p>
        </w:tc>
        <w:tc>
          <w:tcPr>
            <w:tcW w:type="dxa" w:w="288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~20% of customers</w:t>
            </w:r>
          </w:p>
        </w:tc>
        <w:tc>
          <w:tcPr>
            <w:tcW w:type="dxa" w:w="3744"/>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Proactive outreach. Loyalty offers, plan upgrade incentives.</w:t>
            </w:r>
          </w:p>
        </w:tc>
      </w:tr>
      <w:tr>
        <w:tc>
          <w:tcPr>
            <w:tcW w:type="dxa" w:w="216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 High Risk</w:t>
            </w:r>
          </w:p>
        </w:tc>
        <w:tc>
          <w:tcPr>
            <w:tcW w:type="dxa" w:w="2304"/>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0.61 – 1.00</w:t>
            </w:r>
          </w:p>
        </w:tc>
        <w:tc>
          <w:tcPr>
            <w:tcW w:type="dxa" w:w="288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~25% of customers</w:t>
            </w:r>
          </w:p>
        </w:tc>
        <w:tc>
          <w:tcPr>
            <w:tcW w:type="dxa" w:w="3744"/>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Immediate retention team intervention. Personalized offers, account review calls.</w:t>
            </w:r>
          </w:p>
        </w:tc>
      </w:tr>
    </w:tbl>
    <w:p>
      <w:pPr>
        <w:spacing w:before="0" w:after="0"/>
      </w:pPr>
      <w:r>
        <w:rPr>
          <w:rFonts w:ascii="Calibri" w:hAnsi="Calibri"/>
          <w:b w:val="0"/>
          <w:i w:val="0"/>
          <w:sz w:val="8"/>
        </w:rPr>
      </w:r>
    </w:p>
    <w:p>
      <w:pPr>
        <w:spacing w:before="240" w:after="80"/>
      </w:pPr>
      <w:r>
        <w:rPr>
          <w:rFonts w:ascii="Calibri" w:hAnsi="Calibri"/>
          <w:b/>
          <w:i w:val="0"/>
          <w:color w:val="1D4ED8"/>
          <w:sz w:val="24"/>
        </w:rPr>
        <w:t>7.3  Revenue at Risk Calculation</w:t>
      </w:r>
    </w:p>
    <w:p>
      <w:pPr>
        <w:spacing w:before="40" w:after="80"/>
      </w:pPr>
      <w:r>
        <w:rPr>
          <w:rFonts w:ascii="Calibri" w:hAnsi="Calibri"/>
          <w:b w:val="0"/>
          <w:i w:val="0"/>
          <w:color w:val="1C1C1C"/>
          <w:sz w:val="21"/>
        </w:rPr>
        <w:t>For the business to understand the financial stakes, revenue impact is computed directly from model outputs:</w:t>
      </w:r>
    </w:p>
    <w:p>
      <w:pPr>
        <w:spacing w:before="0" w:after="0"/>
      </w:pPr>
      <w:r>
        <w:rPr>
          <w:rFonts w:ascii="Calibri" w:hAnsi="Calibri"/>
          <w:b w:val="0"/>
          <w:i w:val="0"/>
          <w:sz w:val="8"/>
        </w:rPr>
      </w:r>
    </w:p>
    <w:p>
      <w:pPr>
        <w:spacing w:before="80" w:after="80"/>
        <w:ind w:left="432" w:right="432"/>
        <w:pBdr>
          <w:top w:val="single" w:sz="4" w:space="4" w:color="FEF3C7"/>
          <w:bottom w:val="single" w:sz="4" w:space="4" w:color="FEF3C7"/>
          <w:right w:val="single" w:sz="4" w:space="4" w:color="FEF3C7"/>
          <w:left w:val="single" w:sz="18" w:space="8" w:color="D97706"/>
        </w:pBdr>
        <w:shd w:val="clear" w:color="auto" w:fill="FEF3C7"/>
      </w:pPr>
      <w:r>
        <w:rPr>
          <w:rFonts w:ascii="Calibri" w:hAnsi="Calibri"/>
          <w:b w:val="0"/>
          <w:i/>
          <w:color w:val="1E3A5F"/>
          <w:sz w:val="21"/>
        </w:rPr>
        <w:t>Monthly Revenue at Risk  =  SUM(MonthlyCharges) for all High Risk customers</w:t>
        <w:br/>
        <w:t>Annualized Revenue at Risk  =  Monthly Revenue at Risk × 12</w:t>
      </w:r>
    </w:p>
    <w:p>
      <w:pPr>
        <w:spacing w:before="0" w:after="0"/>
      </w:pPr>
      <w:r>
        <w:rPr>
          <w:rFonts w:ascii="Calibri" w:hAnsi="Calibri"/>
          <w:b w:val="0"/>
          <w:i w:val="0"/>
          <w:sz w:val="8"/>
        </w:rPr>
      </w:r>
    </w:p>
    <w:p>
      <w:pPr>
        <w:spacing w:before="40" w:after="80"/>
      </w:pPr>
      <w:r>
        <w:rPr>
          <w:rFonts w:ascii="Calibri" w:hAnsi="Calibri"/>
          <w:b w:val="0"/>
          <w:i w:val="0"/>
          <w:color w:val="1C1C1C"/>
          <w:sz w:val="21"/>
        </w:rPr>
        <w:t>This gives leadership a concrete dollar figure for the cost-benefit decision of how much to invest in retention programs. If the annualized revenue at risk is $500K, spending $50K on retention is clearly justified.</w:t>
      </w:r>
    </w:p>
    <w:p>
      <w:r>
        <w:br w:type="page"/>
      </w:r>
    </w:p>
    <w:p>
      <w:pPr>
        <w:spacing w:before="360" w:after="120"/>
        <w:jc w:val="left"/>
        <w:pBdr>
          <w:left w:val="single" w:sz="24" w:space="8" w:color="1E3A8A"/>
        </w:pBdr>
        <w:shd w:val="clear" w:color="auto" w:fill="EFF6FF"/>
      </w:pPr>
      <w:r>
        <w:rPr>
          <w:rFonts w:ascii="Calibri" w:hAnsi="Calibri"/>
          <w:b/>
          <w:i w:val="0"/>
          <w:color w:val="1E3A8A"/>
          <w:sz w:val="28"/>
        </w:rPr>
        <w:t>8. Business Insights Report  (insights.py)</w:t>
      </w:r>
    </w:p>
    <w:p>
      <w:pPr>
        <w:spacing w:before="0" w:after="0"/>
      </w:pPr>
      <w:r>
        <w:rPr>
          <w:rFonts w:ascii="Calibri" w:hAnsi="Calibri"/>
          <w:b w:val="0"/>
          <w:i w:val="0"/>
          <w:sz w:val="8"/>
        </w:rPr>
      </w:r>
    </w:p>
    <w:p>
      <w:pPr>
        <w:spacing w:before="40" w:after="80"/>
      </w:pPr>
      <w:r>
        <w:rPr>
          <w:rFonts w:ascii="Calibri" w:hAnsi="Calibri"/>
          <w:b w:val="0"/>
          <w:i w:val="0"/>
          <w:color w:val="1C1C1C"/>
          <w:sz w:val="21"/>
        </w:rPr>
        <w:t>The insights module runs after model scoring and compiles everything into a structured business-readable report saved to outputs/reports/business_insights.txt. It covers four areas:</w:t>
      </w:r>
    </w:p>
    <w:p>
      <w:pPr>
        <w:spacing w:before="0" w:after="0"/>
      </w:pPr>
      <w:r>
        <w:rPr>
          <w:rFonts w:ascii="Calibri" w:hAnsi="Calibri"/>
          <w:b w:val="0"/>
          <w:i w:val="0"/>
          <w:sz w:val="8"/>
        </w:rPr>
      </w:r>
    </w:p>
    <w:p>
      <w:pPr>
        <w:spacing w:before="240" w:after="80"/>
      </w:pPr>
      <w:r>
        <w:rPr>
          <w:rFonts w:ascii="Calibri" w:hAnsi="Calibri"/>
          <w:b/>
          <w:i w:val="0"/>
          <w:color w:val="1D4ED8"/>
          <w:sz w:val="24"/>
        </w:rPr>
        <w:t>8.1  Top Churn Drivers</w:t>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B45309"/>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Churn Driver</w:t>
            </w:r>
          </w:p>
        </w:tc>
        <w:tc>
          <w:tcPr>
            <w:tcW w:type="dxa" w:w="5472"/>
            <w:shd w:val="clear" w:color="auto" w:fill="B45309"/>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Finding</w:t>
            </w:r>
          </w:p>
        </w:tc>
        <w:tc>
          <w:tcPr>
            <w:tcW w:type="dxa" w:w="2160"/>
            <w:shd w:val="clear" w:color="auto" w:fill="B45309"/>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Strength</w:t>
            </w:r>
          </w:p>
        </w:tc>
      </w:tr>
      <w:tr>
        <w:tc>
          <w:tcPr>
            <w:tcW w:type="dxa" w:w="2880"/>
            <w:shd w:val="clear" w:color="auto" w:fill="FFFBEB"/>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Contract Type</w:t>
            </w:r>
          </w:p>
        </w:tc>
        <w:tc>
          <w:tcPr>
            <w:tcW w:type="dxa" w:w="5472"/>
            <w:shd w:val="clear" w:color="auto" w:fill="FFFBEB"/>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Month-to-month customers churn at ~3× the rate of one-year and two-year contract holders</w:t>
            </w:r>
          </w:p>
        </w:tc>
        <w:tc>
          <w:tcPr>
            <w:tcW w:type="dxa" w:w="2160"/>
            <w:shd w:val="clear" w:color="auto" w:fill="FFFBEB"/>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Very High</w:t>
            </w:r>
          </w:p>
        </w:tc>
      </w:tr>
      <w:tr>
        <w:tc>
          <w:tcPr>
            <w:tcW w:type="dxa" w:w="288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Payment Method</w:t>
            </w:r>
          </w:p>
        </w:tc>
        <w:tc>
          <w:tcPr>
            <w:tcW w:type="dxa" w:w="547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Electronic check users have the highest churn rate among all payment methods. Auto-pay users are most stable.</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High</w:t>
            </w:r>
          </w:p>
        </w:tc>
      </w:tr>
      <w:tr>
        <w:tc>
          <w:tcPr>
            <w:tcW w:type="dxa" w:w="2880"/>
            <w:shd w:val="clear" w:color="auto" w:fill="FFFBEB"/>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Tenure (Time)</w:t>
            </w:r>
          </w:p>
        </w:tc>
        <w:tc>
          <w:tcPr>
            <w:tcW w:type="dxa" w:w="5472"/>
            <w:shd w:val="clear" w:color="auto" w:fill="FFFBEB"/>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Customers in months 0–12 are by far the most at-risk. After 24 months, churn probability drops sharply.</w:t>
            </w:r>
          </w:p>
        </w:tc>
        <w:tc>
          <w:tcPr>
            <w:tcW w:type="dxa" w:w="2160"/>
            <w:shd w:val="clear" w:color="auto" w:fill="FFFBEB"/>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Very High</w:t>
            </w:r>
          </w:p>
        </w:tc>
      </w:tr>
      <w:tr>
        <w:tc>
          <w:tcPr>
            <w:tcW w:type="dxa" w:w="288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Service Count</w:t>
            </w:r>
          </w:p>
        </w:tc>
        <w:tc>
          <w:tcPr>
            <w:tcW w:type="dxa" w:w="547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Customers with zero add-on services (no TechSupport, no Security) churn more — lower switching cost</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Medium-High</w:t>
            </w:r>
          </w:p>
        </w:tc>
      </w:tr>
      <w:tr>
        <w:tc>
          <w:tcPr>
            <w:tcW w:type="dxa" w:w="2880"/>
            <w:shd w:val="clear" w:color="auto" w:fill="FFFBEB"/>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Monthly Charges</w:t>
            </w:r>
          </w:p>
        </w:tc>
        <w:tc>
          <w:tcPr>
            <w:tcW w:type="dxa" w:w="5472"/>
            <w:shd w:val="clear" w:color="auto" w:fill="FFFBEB"/>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High-paying month-to-month customers feel less value-locked than high-paying annual customers</w:t>
            </w:r>
          </w:p>
        </w:tc>
        <w:tc>
          <w:tcPr>
            <w:tcW w:type="dxa" w:w="2160"/>
            <w:shd w:val="clear" w:color="auto" w:fill="FFFBEB"/>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Medium</w:t>
            </w:r>
          </w:p>
        </w:tc>
      </w:tr>
      <w:tr>
        <w:tc>
          <w:tcPr>
            <w:tcW w:type="dxa" w:w="288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Senior Citizen</w:t>
            </w:r>
          </w:p>
        </w:tc>
        <w:tc>
          <w:tcPr>
            <w:tcW w:type="dxa" w:w="547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Senior customers show elevated churn rate independent of contract or payment type</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Medium</w:t>
            </w:r>
          </w:p>
        </w:tc>
      </w:tr>
    </w:tbl>
    <w:p>
      <w:pPr>
        <w:spacing w:before="0" w:after="0"/>
      </w:pPr>
      <w:r>
        <w:rPr>
          <w:rFonts w:ascii="Calibri" w:hAnsi="Calibri"/>
          <w:b w:val="0"/>
          <w:i w:val="0"/>
          <w:sz w:val="8"/>
        </w:rPr>
      </w:r>
    </w:p>
    <w:p>
      <w:pPr>
        <w:spacing w:before="240" w:after="80"/>
      </w:pPr>
      <w:r>
        <w:rPr>
          <w:rFonts w:ascii="Calibri" w:hAnsi="Calibri"/>
          <w:b/>
          <w:i w:val="0"/>
          <w:color w:val="1D4ED8"/>
          <w:sz w:val="24"/>
        </w:rPr>
        <w:t>8.2  High-Risk Customer Profile</w:t>
      </w:r>
    </w:p>
    <w:p>
      <w:pPr>
        <w:spacing w:before="40" w:after="80"/>
      </w:pPr>
      <w:r>
        <w:rPr>
          <w:rFonts w:ascii="Calibri" w:hAnsi="Calibri"/>
          <w:b w:val="0"/>
          <w:i w:val="0"/>
          <w:color w:val="1C1C1C"/>
          <w:sz w:val="21"/>
        </w:rPr>
        <w:t>Based on analysis of all High Risk customers (churn_prob &gt; 0.60), the typical at-risk customer shows:</w:t>
      </w:r>
    </w:p>
    <w:p>
      <w:pPr>
        <w:spacing w:before="0" w:after="0"/>
      </w:pPr>
      <w:r>
        <w:rPr>
          <w:rFonts w:ascii="Calibri" w:hAnsi="Calibri"/>
          <w:b w:val="0"/>
          <w:i w:val="0"/>
          <w:sz w:val="8"/>
        </w:rPr>
      </w:r>
    </w:p>
    <w:p>
      <w:pPr>
        <w:pStyle w:val="ListBullet"/>
        <w:spacing w:before="20" w:after="40"/>
      </w:pPr>
      <w:r>
        <w:rPr>
          <w:rFonts w:ascii="Calibri" w:hAnsi="Calibri"/>
          <w:b w:val="0"/>
          <w:i w:val="0"/>
          <w:color w:val="1C1C1C"/>
          <w:sz w:val="21"/>
        </w:rPr>
        <w:t>Tenure under 12 months — still in the early decision window</w:t>
      </w:r>
    </w:p>
    <w:p>
      <w:pPr>
        <w:pStyle w:val="ListBullet"/>
        <w:spacing w:before="20" w:after="40"/>
      </w:pPr>
      <w:r>
        <w:rPr>
          <w:rFonts w:ascii="Calibri" w:hAnsi="Calibri"/>
          <w:b w:val="0"/>
          <w:i w:val="0"/>
          <w:color w:val="1C1C1C"/>
          <w:sz w:val="21"/>
        </w:rPr>
        <w:t>Month-to-month contract — no long-term commitment locking them in</w:t>
      </w:r>
    </w:p>
    <w:p>
      <w:pPr>
        <w:pStyle w:val="ListBullet"/>
        <w:spacing w:before="20" w:after="40"/>
      </w:pPr>
      <w:r>
        <w:rPr>
          <w:rFonts w:ascii="Calibri" w:hAnsi="Calibri"/>
          <w:b w:val="0"/>
          <w:i w:val="0"/>
          <w:color w:val="1C1C1C"/>
          <w:sz w:val="21"/>
        </w:rPr>
        <w:t>Electronic check payment — associated with lower engagement and higher friction</w:t>
      </w:r>
    </w:p>
    <w:p>
      <w:pPr>
        <w:pStyle w:val="ListBullet"/>
        <w:spacing w:before="20" w:after="40"/>
      </w:pPr>
      <w:r>
        <w:rPr>
          <w:rFonts w:ascii="Calibri" w:hAnsi="Calibri"/>
          <w:b w:val="0"/>
          <w:i w:val="0"/>
          <w:color w:val="1C1C1C"/>
          <w:sz w:val="21"/>
        </w:rPr>
        <w:t>Zero or one additional services — low switching cost, easy to leave</w:t>
      </w:r>
    </w:p>
    <w:p>
      <w:pPr>
        <w:pStyle w:val="ListBullet"/>
        <w:spacing w:before="20" w:after="40"/>
      </w:pPr>
      <w:r>
        <w:rPr>
          <w:rFonts w:ascii="Calibri" w:hAnsi="Calibri"/>
          <w:b w:val="0"/>
          <w:i w:val="0"/>
          <w:color w:val="1C1C1C"/>
          <w:sz w:val="21"/>
        </w:rPr>
        <w:t>Monthly charges above segment average for their tenure — feeling overcharged relative to value perceived</w:t>
      </w:r>
    </w:p>
    <w:p>
      <w:pPr>
        <w:pStyle w:val="ListBullet"/>
        <w:spacing w:before="20" w:after="40"/>
      </w:pPr>
      <w:r>
        <w:rPr>
          <w:rFonts w:ascii="Calibri" w:hAnsi="Calibri"/>
          <w:b w:val="0"/>
          <w:i w:val="0"/>
          <w:color w:val="1C1C1C"/>
          <w:sz w:val="21"/>
        </w:rPr>
        <w:t>Low charges_ratio — total spend is low relative to monthly bill, confirming recent join date</w:t>
      </w:r>
    </w:p>
    <w:p>
      <w:pPr>
        <w:spacing w:before="0" w:after="0"/>
      </w:pPr>
      <w:r>
        <w:rPr>
          <w:rFonts w:ascii="Calibri" w:hAnsi="Calibri"/>
          <w:b w:val="0"/>
          <w:i w:val="0"/>
          <w:sz w:val="8"/>
        </w:rPr>
      </w:r>
    </w:p>
    <w:p>
      <w:pPr>
        <w:spacing w:before="80" w:after="80"/>
        <w:ind w:left="432" w:right="432"/>
        <w:pBdr>
          <w:top w:val="single" w:sz="4" w:space="4" w:color="FEF3C7"/>
          <w:bottom w:val="single" w:sz="4" w:space="4" w:color="FEF3C7"/>
          <w:right w:val="single" w:sz="4" w:space="4" w:color="FEF3C7"/>
          <w:left w:val="single" w:sz="18" w:space="8" w:color="D97706"/>
        </w:pBdr>
        <w:shd w:val="clear" w:color="auto" w:fill="FEF3C7"/>
      </w:pPr>
      <w:r>
        <w:rPr>
          <w:rFonts w:ascii="Calibri" w:hAnsi="Calibri"/>
          <w:b w:val="0"/>
          <w:i/>
          <w:color w:val="1E3A5F"/>
          <w:sz w:val="21"/>
        </w:rPr>
        <w:t>The clearest early warning sign: a customer who signed up less than 6 months ago, is on a month-to-month plan, pays by electronic check, and has not added any services beyond basic phone or internet. This profile should trigger immediate proactive outreach.</w:t>
      </w:r>
    </w:p>
    <w:p>
      <w:pPr>
        <w:spacing w:before="0" w:after="0"/>
      </w:pPr>
      <w:r>
        <w:rPr>
          <w:rFonts w:ascii="Calibri" w:hAnsi="Calibri"/>
          <w:b w:val="0"/>
          <w:i w:val="0"/>
          <w:sz w:val="8"/>
        </w:rPr>
      </w:r>
    </w:p>
    <w:p>
      <w:pPr>
        <w:spacing w:before="240" w:after="80"/>
      </w:pPr>
      <w:r>
        <w:rPr>
          <w:rFonts w:ascii="Calibri" w:hAnsi="Calibri"/>
          <w:b/>
          <w:i w:val="0"/>
          <w:color w:val="1D4ED8"/>
          <w:sz w:val="24"/>
        </w:rPr>
        <w:t>8.3  Strategic Recommendations</w:t>
      </w:r>
    </w:p>
    <w:tbl>
      <w:tblPr>
        <w:tblStyle w:val="TableGrid"/>
        <w:tblW w:type="auto" w:w="0"/>
        <w:jc w:val="left"/>
        <w:tblLook w:firstColumn="1" w:firstRow="1" w:lastColumn="0" w:lastRow="0" w:noHBand="0" w:noVBand="1" w:val="04A0"/>
      </w:tblPr>
      <w:tblGrid>
        <w:gridCol w:w="3024"/>
        <w:gridCol w:w="3024"/>
        <w:gridCol w:w="3024"/>
      </w:tblGrid>
      <w:tr>
        <w:tc>
          <w:tcPr>
            <w:tcW w:type="dxa" w:w="1872"/>
            <w:shd w:val="clear" w:color="auto" w:fill="065F46"/>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Priority</w:t>
            </w:r>
          </w:p>
        </w:tc>
        <w:tc>
          <w:tcPr>
            <w:tcW w:type="dxa" w:w="5040"/>
            <w:shd w:val="clear" w:color="auto" w:fill="065F46"/>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Recommendation</w:t>
            </w:r>
          </w:p>
        </w:tc>
        <w:tc>
          <w:tcPr>
            <w:tcW w:type="dxa" w:w="4176"/>
            <w:shd w:val="clear" w:color="auto" w:fill="065F46"/>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Expected Impact</w:t>
            </w:r>
          </w:p>
        </w:tc>
      </w:tr>
      <w:tr>
        <w:tc>
          <w:tcPr>
            <w:tcW w:type="dxa" w:w="1872"/>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1 — Immediate</w:t>
            </w:r>
          </w:p>
        </w:tc>
        <w:tc>
          <w:tcPr>
            <w:tcW w:type="dxa" w:w="5040"/>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Route all High Risk customers (churn_prob &gt; 0.60) to a dedicated retention team for personalized outreach within 48 hours</w:t>
            </w:r>
          </w:p>
        </w:tc>
        <w:tc>
          <w:tcPr>
            <w:tcW w:type="dxa" w:w="4176"/>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Direct revenue protection — stops the most imminent churns</w:t>
            </w:r>
          </w:p>
        </w:tc>
      </w:tr>
      <w:tr>
        <w:tc>
          <w:tcPr>
            <w:tcW w:type="dxa" w:w="187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2 — This Month</w:t>
            </w:r>
          </w:p>
        </w:tc>
        <w:tc>
          <w:tcPr>
            <w:tcW w:type="dxa" w:w="504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Offer month-to-month customers a discounted one-year plan upgrade — even a 10% discount converts to significant revenue protection</w:t>
            </w:r>
          </w:p>
        </w:tc>
        <w:tc>
          <w:tcPr>
            <w:tcW w:type="dxa" w:w="4176"/>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Moves the highest churn-risk segment to a more stable contract tier</w:t>
            </w:r>
          </w:p>
        </w:tc>
      </w:tr>
      <w:tr>
        <w:tc>
          <w:tcPr>
            <w:tcW w:type="dxa" w:w="1872"/>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3 — This Month</w:t>
            </w:r>
          </w:p>
        </w:tc>
        <w:tc>
          <w:tcPr>
            <w:tcW w:type="dxa" w:w="5040"/>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Run a targeted campaign to migrate electronic check users to auto-payment — offer a billing credit as incentive</w:t>
            </w:r>
          </w:p>
        </w:tc>
        <w:tc>
          <w:tcPr>
            <w:tcW w:type="dxa" w:w="4176"/>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Reduces payment_risk score for a large at-risk segment</w:t>
            </w:r>
          </w:p>
        </w:tc>
      </w:tr>
      <w:tr>
        <w:tc>
          <w:tcPr>
            <w:tcW w:type="dxa" w:w="187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4 — This Quarter</w:t>
            </w:r>
          </w:p>
        </w:tc>
        <w:tc>
          <w:tcPr>
            <w:tcW w:type="dxa" w:w="504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Implement a 90-day new customer onboarding program — proactive check-ins, feature tutorials, service bundling offers</w:t>
            </w:r>
          </w:p>
        </w:tc>
        <w:tc>
          <w:tcPr>
            <w:tcW w:type="dxa" w:w="4176"/>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Addresses the first-year churn spike — the highest risk window</w:t>
            </w:r>
          </w:p>
        </w:tc>
      </w:tr>
      <w:tr>
        <w:tc>
          <w:tcPr>
            <w:tcW w:type="dxa" w:w="1872"/>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5 — Ongoing</w:t>
            </w:r>
          </w:p>
        </w:tc>
        <w:tc>
          <w:tcPr>
            <w:tcW w:type="dxa" w:w="5040"/>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Bundle TechSupport or OnlineSecurity with new subscriptions at a discounted rate during signup</w:t>
            </w:r>
          </w:p>
        </w:tc>
        <w:tc>
          <w:tcPr>
            <w:tcW w:type="dxa" w:w="4176"/>
            <w:shd w:val="clear" w:color="auto" w:fill="ECFDF5"/>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Increases support_interaction_count and switching cost from day one</w:t>
            </w:r>
          </w:p>
        </w:tc>
      </w:tr>
    </w:tbl>
    <w:p>
      <w:pPr>
        <w:spacing w:before="0" w:after="0"/>
      </w:pPr>
      <w:r>
        <w:rPr>
          <w:rFonts w:ascii="Calibri" w:hAnsi="Calibri"/>
          <w:b w:val="0"/>
          <w:i w:val="0"/>
          <w:sz w:val="8"/>
        </w:rPr>
      </w:r>
    </w:p>
    <w:p>
      <w:r>
        <w:br w:type="page"/>
      </w:r>
    </w:p>
    <w:p>
      <w:pPr>
        <w:spacing w:before="360" w:after="120"/>
        <w:jc w:val="left"/>
        <w:pBdr>
          <w:left w:val="single" w:sz="24" w:space="8" w:color="1E3A8A"/>
        </w:pBdr>
        <w:shd w:val="clear" w:color="auto" w:fill="EFF6FF"/>
      </w:pPr>
      <w:r>
        <w:rPr>
          <w:rFonts w:ascii="Calibri" w:hAnsi="Calibri"/>
          <w:b/>
          <w:i w:val="0"/>
          <w:color w:val="1E3A8A"/>
          <w:sz w:val="28"/>
        </w:rPr>
        <w:t>9. Bonus Features</w:t>
      </w:r>
    </w:p>
    <w:p>
      <w:pPr>
        <w:spacing w:before="0" w:after="0"/>
      </w:pPr>
      <w:r>
        <w:rPr>
          <w:rFonts w:ascii="Calibri" w:hAnsi="Calibri"/>
          <w:b w:val="0"/>
          <w:i w:val="0"/>
          <w:sz w:val="8"/>
        </w:rPr>
      </w:r>
    </w:p>
    <w:p>
      <w:pPr>
        <w:spacing w:before="240" w:after="80"/>
      </w:pPr>
      <w:r>
        <w:rPr>
          <w:rFonts w:ascii="Calibri" w:hAnsi="Calibri"/>
          <w:b/>
          <w:i w:val="0"/>
          <w:color w:val="1D4ED8"/>
          <w:sz w:val="24"/>
        </w:rPr>
        <w:t>9.1  Streamlit Dashboard  (app.py)</w:t>
      </w:r>
    </w:p>
    <w:p>
      <w:pPr>
        <w:spacing w:before="40" w:after="80"/>
      </w:pPr>
      <w:r>
        <w:rPr>
          <w:rFonts w:ascii="Calibri" w:hAnsi="Calibri"/>
          <w:b w:val="0"/>
          <w:i w:val="0"/>
          <w:color w:val="1C1C1C"/>
          <w:sz w:val="21"/>
        </w:rPr>
        <w:t>An interactive web dashboard that makes all project outputs accessible to non-technical stakeholders. Built with Streamlit, it requires no coding knowledge to use — upload a CSV and the full dashboard loads.</w:t>
      </w:r>
    </w:p>
    <w:p>
      <w:pPr>
        <w:spacing w:before="0" w:after="0"/>
      </w:pPr>
      <w:r>
        <w:rPr>
          <w:rFonts w:ascii="Calibri" w:hAnsi="Calibri"/>
          <w:b w:val="0"/>
          <w:i w:val="0"/>
          <w:sz w:val="8"/>
        </w:rPr>
      </w:r>
    </w:p>
    <w:p>
      <w:pPr>
        <w:pStyle w:val="ListBullet"/>
        <w:spacing w:before="20" w:after="40"/>
      </w:pPr>
      <w:r>
        <w:rPr>
          <w:rFonts w:ascii="Calibri" w:hAnsi="Calibri"/>
          <w:b w:val="0"/>
          <w:i w:val="0"/>
          <w:color w:val="1C1C1C"/>
          <w:sz w:val="21"/>
        </w:rPr>
        <w:t>KPI cards — total customers, churn rate, high-risk count, monthly revenue at risk</w:t>
      </w:r>
    </w:p>
    <w:p>
      <w:pPr>
        <w:pStyle w:val="ListBullet"/>
        <w:spacing w:before="20" w:after="40"/>
      </w:pPr>
      <w:r>
        <w:rPr>
          <w:rFonts w:ascii="Calibri" w:hAnsi="Calibri"/>
          <w:b w:val="0"/>
          <w:i w:val="0"/>
          <w:color w:val="1C1C1C"/>
          <w:sz w:val="21"/>
        </w:rPr>
        <w:t>Interactive filters — contract type, risk category, internet service, customer value segment</w:t>
      </w:r>
    </w:p>
    <w:p>
      <w:pPr>
        <w:pStyle w:val="ListBullet"/>
        <w:spacing w:before="20" w:after="40"/>
      </w:pPr>
      <w:r>
        <w:rPr>
          <w:rFonts w:ascii="Calibri" w:hAnsi="Calibri"/>
          <w:b w:val="0"/>
          <w:i w:val="0"/>
          <w:color w:val="1C1C1C"/>
          <w:sz w:val="21"/>
        </w:rPr>
        <w:t>All 7 visualizations embedded with chart-level annotations</w:t>
      </w:r>
    </w:p>
    <w:p>
      <w:pPr>
        <w:pStyle w:val="ListBullet"/>
        <w:spacing w:before="20" w:after="40"/>
      </w:pPr>
      <w:r>
        <w:rPr>
          <w:rFonts w:ascii="Calibri" w:hAnsi="Calibri"/>
          <w:b w:val="0"/>
          <w:i w:val="0"/>
          <w:color w:val="1C1C1C"/>
          <w:sz w:val="21"/>
        </w:rPr>
        <w:t>Customer segmentation view with value tier breakdown</w:t>
      </w:r>
    </w:p>
    <w:p>
      <w:pPr>
        <w:pStyle w:val="ListBullet"/>
        <w:spacing w:before="20" w:after="40"/>
      </w:pPr>
      <w:r>
        <w:rPr>
          <w:rFonts w:ascii="Calibri" w:hAnsi="Calibri"/>
          <w:b w:val="0"/>
          <w:i w:val="0"/>
          <w:color w:val="1C1C1C"/>
          <w:sz w:val="21"/>
        </w:rPr>
        <w:t>Churn probability histogram — see the full distribution of risk scores</w:t>
      </w:r>
    </w:p>
    <w:p>
      <w:pPr>
        <w:pStyle w:val="ListBullet"/>
        <w:spacing w:before="20" w:after="40"/>
      </w:pPr>
      <w:r>
        <w:rPr>
          <w:rFonts w:ascii="Calibri" w:hAnsi="Calibri"/>
          <w:b w:val="0"/>
          <w:i w:val="0"/>
          <w:color w:val="1C1C1C"/>
          <w:sz w:val="21"/>
        </w:rPr>
        <w:t>Data explorer — select any columns, filter rows, export as CSV</w:t>
      </w:r>
    </w:p>
    <w:p>
      <w:pPr>
        <w:pStyle w:val="ListBullet"/>
        <w:spacing w:before="20" w:after="40"/>
      </w:pPr>
      <w:r>
        <w:rPr>
          <w:rFonts w:ascii="Calibri" w:hAnsi="Calibri"/>
          <w:b w:val="0"/>
          <w:i w:val="0"/>
          <w:color w:val="1C1C1C"/>
          <w:sz w:val="21"/>
        </w:rPr>
        <w:t>Email report sender built into the sidebar — fill in credentials and click send</w:t>
      </w:r>
    </w:p>
    <w:p>
      <w:pPr>
        <w:spacing w:before="0" w:after="0"/>
      </w:pPr>
      <w:r>
        <w:rPr>
          <w:rFonts w:ascii="Calibri" w:hAnsi="Calibri"/>
          <w:b w:val="0"/>
          <w:i w:val="0"/>
          <w:sz w:val="8"/>
        </w:rPr>
      </w:r>
    </w:p>
    <w:p>
      <w:pPr>
        <w:spacing w:before="40" w:after="80"/>
      </w:pPr>
      <w:r>
        <w:rPr>
          <w:rFonts w:ascii="Calibri" w:hAnsi="Calibri"/>
          <w:b w:val="0"/>
          <w:i w:val="0"/>
          <w:color w:val="1C1C1C"/>
          <w:sz w:val="21"/>
        </w:rPr>
        <w:t>How to run:</w:t>
      </w:r>
    </w:p>
    <w:p>
      <w:pPr>
        <w:spacing w:before="80" w:after="80"/>
        <w:ind w:left="432" w:right="432"/>
        <w:pBdr>
          <w:top w:val="single" w:sz="4" w:space="4" w:color="EFF6FF"/>
          <w:bottom w:val="single" w:sz="4" w:space="4" w:color="EFF6FF"/>
          <w:right w:val="single" w:sz="4" w:space="4" w:color="EFF6FF"/>
          <w:left w:val="single" w:sz="18" w:space="8" w:color="1D4ED8"/>
        </w:pBdr>
        <w:shd w:val="clear" w:color="auto" w:fill="EFF6FF"/>
      </w:pPr>
      <w:r>
        <w:rPr>
          <w:rFonts w:ascii="Calibri" w:hAnsi="Calibri"/>
          <w:b w:val="0"/>
          <w:i/>
          <w:color w:val="1E3A5F"/>
          <w:sz w:val="21"/>
        </w:rPr>
        <w:t>streamlit run app.py   →   opens at http://localhost:8501</w:t>
      </w:r>
    </w:p>
    <w:p>
      <w:pPr>
        <w:spacing w:before="0" w:after="0"/>
      </w:pPr>
      <w:r>
        <w:rPr>
          <w:rFonts w:ascii="Calibri" w:hAnsi="Calibri"/>
          <w:b w:val="0"/>
          <w:i w:val="0"/>
          <w:sz w:val="8"/>
        </w:rPr>
      </w:r>
    </w:p>
    <w:p>
      <w:pPr>
        <w:spacing w:before="240" w:after="80"/>
      </w:pPr>
      <w:r>
        <w:rPr>
          <w:rFonts w:ascii="Calibri" w:hAnsi="Calibri"/>
          <w:b/>
          <w:i w:val="0"/>
          <w:color w:val="1D4ED8"/>
          <w:sz w:val="24"/>
        </w:rPr>
        <w:t>9.2  SHAP Explainability  (shap_explainability.py)</w:t>
      </w:r>
    </w:p>
    <w:p>
      <w:pPr>
        <w:spacing w:before="40" w:after="80"/>
      </w:pPr>
      <w:r>
        <w:rPr>
          <w:rFonts w:ascii="Calibri" w:hAnsi="Calibri"/>
          <w:b w:val="0"/>
          <w:i w:val="0"/>
          <w:color w:val="1C1C1C"/>
          <w:sz w:val="21"/>
        </w:rPr>
        <w:t>SHAP (SHapley Additive exPlanations) makes the model's predictions interpretable. This is critical for building business trust — stakeholders need to know not just who will churn, but why the model thinks so.</w:t>
      </w:r>
    </w:p>
    <w:p>
      <w:pPr>
        <w:spacing w:before="0" w:after="0"/>
      </w:pPr>
      <w:r>
        <w:rPr>
          <w:rFonts w:ascii="Calibri" w:hAnsi="Calibri"/>
          <w:b w:val="0"/>
          <w:i w:val="0"/>
          <w:sz w:val="8"/>
        </w:rPr>
      </w:r>
    </w:p>
    <w:p>
      <w:pPr>
        <w:pStyle w:val="ListBullet"/>
        <w:spacing w:before="20" w:after="40"/>
      </w:pPr>
      <w:r>
        <w:rPr>
          <w:rFonts w:ascii="Calibri" w:hAnsi="Calibri"/>
          <w:b w:val="0"/>
          <w:i w:val="0"/>
          <w:color w:val="1C1C1C"/>
          <w:sz w:val="21"/>
        </w:rPr>
        <w:t>Global SHAP summary plot — shows which features drive predictions across all customers</w:t>
      </w:r>
    </w:p>
    <w:p>
      <w:pPr>
        <w:pStyle w:val="ListBullet"/>
        <w:spacing w:before="20" w:after="40"/>
      </w:pPr>
      <w:r>
        <w:rPr>
          <w:rFonts w:ascii="Calibri" w:hAnsi="Calibri"/>
          <w:b w:val="0"/>
          <w:i w:val="0"/>
          <w:color w:val="1C1C1C"/>
          <w:sz w:val="21"/>
        </w:rPr>
        <w:t>SHAP dependence plots — shows how each feature's value affects churn probability</w:t>
      </w:r>
    </w:p>
    <w:p>
      <w:pPr>
        <w:pStyle w:val="ListBullet"/>
        <w:spacing w:before="20" w:after="40"/>
      </w:pPr>
      <w:r>
        <w:rPr>
          <w:rFonts w:ascii="Calibri" w:hAnsi="Calibri"/>
          <w:b w:val="0"/>
          <w:i w:val="0"/>
          <w:color w:val="1C1C1C"/>
          <w:sz w:val="21"/>
        </w:rPr>
        <w:t>Individual customer explanation — shows exactly which factors pushed one customer's risk up or down</w:t>
      </w:r>
    </w:p>
    <w:p>
      <w:pPr>
        <w:spacing w:before="0" w:after="0"/>
      </w:pPr>
      <w:r>
        <w:rPr>
          <w:rFonts w:ascii="Calibri" w:hAnsi="Calibri"/>
          <w:b w:val="0"/>
          <w:i w:val="0"/>
          <w:sz w:val="8"/>
        </w:rPr>
      </w:r>
    </w:p>
    <w:p>
      <w:pPr>
        <w:spacing w:before="40" w:after="80"/>
      </w:pPr>
      <w:r>
        <w:rPr>
          <w:rFonts w:ascii="Calibri" w:hAnsi="Calibri"/>
          <w:b w:val="0"/>
          <w:i w:val="0"/>
          <w:color w:val="1C1C1C"/>
          <w:sz w:val="21"/>
        </w:rPr>
        <w:t>How to run:</w:t>
      </w:r>
    </w:p>
    <w:p>
      <w:pPr>
        <w:spacing w:before="80" w:after="80"/>
        <w:ind w:left="432" w:right="432"/>
        <w:pBdr>
          <w:top w:val="single" w:sz="4" w:space="4" w:color="ECFDF5"/>
          <w:bottom w:val="single" w:sz="4" w:space="4" w:color="ECFDF5"/>
          <w:right w:val="single" w:sz="4" w:space="4" w:color="ECFDF5"/>
          <w:left w:val="single" w:sz="18" w:space="8" w:color="065F46"/>
        </w:pBdr>
        <w:shd w:val="clear" w:color="auto" w:fill="ECFDF5"/>
      </w:pPr>
      <w:r>
        <w:rPr>
          <w:rFonts w:ascii="Calibri" w:hAnsi="Calibri"/>
          <w:b w:val="0"/>
          <w:i/>
          <w:color w:val="1E3A5F"/>
          <w:sz w:val="21"/>
        </w:rPr>
        <w:t>python main.py --shap</w:t>
      </w:r>
    </w:p>
    <w:p>
      <w:pPr>
        <w:spacing w:before="0" w:after="0"/>
      </w:pPr>
      <w:r>
        <w:rPr>
          <w:rFonts w:ascii="Calibri" w:hAnsi="Calibri"/>
          <w:b w:val="0"/>
          <w:i w:val="0"/>
          <w:sz w:val="8"/>
        </w:rPr>
      </w:r>
    </w:p>
    <w:p>
      <w:pPr>
        <w:spacing w:before="240" w:after="80"/>
      </w:pPr>
      <w:r>
        <w:rPr>
          <w:rFonts w:ascii="Calibri" w:hAnsi="Calibri"/>
          <w:b/>
          <w:i w:val="0"/>
          <w:color w:val="1D4ED8"/>
          <w:sz w:val="24"/>
        </w:rPr>
        <w:t>9.3  Weekly Prediction Pipeline  (weekly_pipeline.py)</w:t>
      </w:r>
    </w:p>
    <w:p>
      <w:pPr>
        <w:spacing w:before="40" w:after="80"/>
      </w:pPr>
      <w:r>
        <w:rPr>
          <w:rFonts w:ascii="Calibri" w:hAnsi="Calibri"/>
          <w:b w:val="0"/>
          <w:i w:val="0"/>
          <w:color w:val="1C1C1C"/>
          <w:sz w:val="21"/>
        </w:rPr>
        <w:t>An automated pipeline that runs every Monday at 8:00 AM. It loads the saved champion model from disk, scores the latest customer data, and saves a timestamped prediction CSV to outputs/reports/. No retraining, no manual steps.</w:t>
      </w:r>
    </w:p>
    <w:p>
      <w:pPr>
        <w:spacing w:before="0" w:after="0"/>
      </w:pPr>
      <w:r>
        <w:rPr>
          <w:rFonts w:ascii="Calibri" w:hAnsi="Calibri"/>
          <w:b w:val="0"/>
          <w:i w:val="0"/>
          <w:sz w:val="8"/>
        </w:rPr>
      </w:r>
    </w:p>
    <w:p>
      <w:pPr>
        <w:pStyle w:val="ListBullet"/>
        <w:spacing w:before="20" w:after="40"/>
      </w:pPr>
      <w:r>
        <w:rPr>
          <w:rFonts w:ascii="Calibri" w:hAnsi="Calibri"/>
          <w:b w:val="0"/>
          <w:i w:val="0"/>
          <w:color w:val="1C1C1C"/>
          <w:sz w:val="21"/>
        </w:rPr>
        <w:t>Loads champion_model.pkl and standard_scaler.pkl from outputs/models/</w:t>
      </w:r>
    </w:p>
    <w:p>
      <w:pPr>
        <w:pStyle w:val="ListBullet"/>
        <w:spacing w:before="20" w:after="40"/>
      </w:pPr>
      <w:r>
        <w:rPr>
          <w:rFonts w:ascii="Calibri" w:hAnsi="Calibri"/>
          <w:b w:val="0"/>
          <w:i w:val="0"/>
          <w:color w:val="1C1C1C"/>
          <w:sz w:val="21"/>
        </w:rPr>
        <w:t>Scores all customers with churn probability and risk category</w:t>
      </w:r>
    </w:p>
    <w:p>
      <w:pPr>
        <w:pStyle w:val="ListBullet"/>
        <w:spacing w:before="20" w:after="40"/>
      </w:pPr>
      <w:r>
        <w:rPr>
          <w:rFonts w:ascii="Calibri" w:hAnsi="Calibri"/>
          <w:b w:val="0"/>
          <w:i w:val="0"/>
          <w:color w:val="1C1C1C"/>
          <w:sz w:val="21"/>
        </w:rPr>
        <w:t>Saves outputs/reports/weekly_predictions_YYYY-MM-DD.csv</w:t>
      </w:r>
    </w:p>
    <w:p>
      <w:pPr>
        <w:pStyle w:val="ListBullet"/>
        <w:spacing w:before="20" w:after="40"/>
      </w:pPr>
      <w:r>
        <w:rPr>
          <w:rFonts w:ascii="Calibri" w:hAnsi="Calibri"/>
          <w:b w:val="0"/>
          <w:i w:val="0"/>
          <w:color w:val="1C1C1C"/>
          <w:sz w:val="21"/>
        </w:rPr>
        <w:t>Uses Python schedule library — runs on any server or PC left running</w:t>
      </w:r>
    </w:p>
    <w:p>
      <w:pPr>
        <w:spacing w:before="0" w:after="0"/>
      </w:pPr>
      <w:r>
        <w:rPr>
          <w:rFonts w:ascii="Calibri" w:hAnsi="Calibri"/>
          <w:b w:val="0"/>
          <w:i w:val="0"/>
          <w:sz w:val="8"/>
        </w:rPr>
      </w:r>
    </w:p>
    <w:p>
      <w:pPr>
        <w:spacing w:before="80" w:after="80"/>
        <w:ind w:left="432" w:right="432"/>
        <w:pBdr>
          <w:top w:val="single" w:sz="4" w:space="4" w:color="EFF6FF"/>
          <w:bottom w:val="single" w:sz="4" w:space="4" w:color="EFF6FF"/>
          <w:right w:val="single" w:sz="4" w:space="4" w:color="EFF6FF"/>
          <w:left w:val="single" w:sz="18" w:space="8" w:color="1D4ED8"/>
        </w:pBdr>
        <w:shd w:val="clear" w:color="auto" w:fill="EFF6FF"/>
      </w:pPr>
      <w:r>
        <w:rPr>
          <w:rFonts w:ascii="Calibri" w:hAnsi="Calibri"/>
          <w:b w:val="0"/>
          <w:i/>
          <w:color w:val="1E3A5F"/>
          <w:sz w:val="21"/>
        </w:rPr>
        <w:t>python weekly_pipeline.py   →   runs continuously, triggers every Monday at 08:00</w:t>
      </w:r>
    </w:p>
    <w:p>
      <w:pPr>
        <w:spacing w:before="0" w:after="0"/>
      </w:pPr>
      <w:r>
        <w:rPr>
          <w:rFonts w:ascii="Calibri" w:hAnsi="Calibri"/>
          <w:b w:val="0"/>
          <w:i w:val="0"/>
          <w:sz w:val="8"/>
        </w:rPr>
      </w:r>
    </w:p>
    <w:p>
      <w:pPr>
        <w:spacing w:before="240" w:after="80"/>
      </w:pPr>
      <w:r>
        <w:rPr>
          <w:rFonts w:ascii="Calibri" w:hAnsi="Calibri"/>
          <w:b/>
          <w:i w:val="0"/>
          <w:color w:val="1D4ED8"/>
          <w:sz w:val="24"/>
        </w:rPr>
        <w:t>9.4  Email Report Generator  (email_report.py + app.py)</w:t>
      </w:r>
    </w:p>
    <w:p>
      <w:pPr>
        <w:spacing w:before="40" w:after="80"/>
      </w:pPr>
      <w:r>
        <w:rPr>
          <w:rFonts w:ascii="Calibri" w:hAnsi="Calibri"/>
          <w:b w:val="0"/>
          <w:i w:val="0"/>
          <w:color w:val="1C1C1C"/>
          <w:sz w:val="21"/>
        </w:rPr>
        <w:t>A complete HTML email report system that builds a professional formatted email with all key insights and sends it via Gmail SMTP. The email is also saved locally as an HTML file.</w:t>
      </w:r>
    </w:p>
    <w:p>
      <w:pPr>
        <w:spacing w:before="0" w:after="0"/>
      </w:pPr>
      <w:r>
        <w:rPr>
          <w:rFonts w:ascii="Calibri" w:hAnsi="Calibri"/>
          <w:b w:val="0"/>
          <w:i w:val="0"/>
          <w:sz w:val="8"/>
        </w:rPr>
      </w:r>
    </w:p>
    <w:p>
      <w:pPr>
        <w:spacing w:before="40" w:after="80"/>
      </w:pPr>
      <w:r>
        <w:rPr>
          <w:rFonts w:ascii="Calibri" w:hAnsi="Calibri"/>
          <w:b w:val="0"/>
          <w:i w:val="0"/>
          <w:color w:val="1C1C1C"/>
          <w:sz w:val="21"/>
        </w:rPr>
        <w:t>What the email contains:</w:t>
      </w:r>
    </w:p>
    <w:p>
      <w:pPr>
        <w:pStyle w:val="ListBullet"/>
        <w:spacing w:before="20" w:after="40"/>
      </w:pPr>
      <w:r>
        <w:rPr>
          <w:rFonts w:ascii="Calibri" w:hAnsi="Calibri"/>
          <w:b w:val="0"/>
          <w:i w:val="0"/>
          <w:color w:val="1C1C1C"/>
          <w:sz w:val="21"/>
        </w:rPr>
        <w:t>KPI cards — total customers, churn rate, high-risk count, monthly revenue</w:t>
      </w:r>
    </w:p>
    <w:p>
      <w:pPr>
        <w:pStyle w:val="ListBullet"/>
        <w:spacing w:before="20" w:after="40"/>
      </w:pPr>
      <w:r>
        <w:rPr>
          <w:rFonts w:ascii="Calibri" w:hAnsi="Calibri"/>
          <w:b w:val="0"/>
          <w:i w:val="0"/>
          <w:color w:val="1C1C1C"/>
          <w:sz w:val="21"/>
        </w:rPr>
        <w:t>Revenue at risk — monthly and annualized figures</w:t>
      </w:r>
    </w:p>
    <w:p>
      <w:pPr>
        <w:pStyle w:val="ListBullet"/>
        <w:spacing w:before="20" w:after="40"/>
      </w:pPr>
      <w:r>
        <w:rPr>
          <w:rFonts w:ascii="Calibri" w:hAnsi="Calibri"/>
          <w:b w:val="0"/>
          <w:i w:val="0"/>
          <w:color w:val="1C1C1C"/>
          <w:sz w:val="21"/>
        </w:rPr>
        <w:t>Risk distribution — visual bars for High / Medium / Low counts</w:t>
      </w:r>
    </w:p>
    <w:p>
      <w:pPr>
        <w:pStyle w:val="ListBullet"/>
        <w:spacing w:before="20" w:after="40"/>
      </w:pPr>
      <w:r>
        <w:rPr>
          <w:rFonts w:ascii="Calibri" w:hAnsi="Calibri"/>
          <w:b w:val="0"/>
          <w:i w:val="0"/>
          <w:color w:val="1C1C1C"/>
          <w:sz w:val="21"/>
        </w:rPr>
        <w:t>Top 5 highest-risk customers — ID, tenure, monthly charge, contract, probability badge</w:t>
      </w:r>
    </w:p>
    <w:p>
      <w:pPr>
        <w:pStyle w:val="ListBullet"/>
        <w:spacing w:before="20" w:after="40"/>
      </w:pPr>
      <w:r>
        <w:rPr>
          <w:rFonts w:ascii="Calibri" w:hAnsi="Calibri"/>
          <w:b w:val="0"/>
          <w:i w:val="0"/>
          <w:color w:val="1C1C1C"/>
          <w:sz w:val="21"/>
        </w:rPr>
        <w:t>Churn rate by contract type — bar visualization</w:t>
      </w:r>
    </w:p>
    <w:p>
      <w:pPr>
        <w:pStyle w:val="ListBullet"/>
        <w:spacing w:before="20" w:after="40"/>
      </w:pPr>
      <w:r>
        <w:rPr>
          <w:rFonts w:ascii="Calibri" w:hAnsi="Calibri"/>
          <w:b w:val="0"/>
          <w:i w:val="0"/>
          <w:color w:val="1C1C1C"/>
          <w:sz w:val="21"/>
        </w:rPr>
        <w:t>3 strategic recommendations tailored to current data</w:t>
      </w:r>
    </w:p>
    <w:p>
      <w:pPr>
        <w:spacing w:before="0" w:after="0"/>
      </w:pPr>
      <w:r>
        <w:rPr>
          <w:rFonts w:ascii="Calibri" w:hAnsi="Calibri"/>
          <w:b w:val="0"/>
          <w:i w:val="0"/>
          <w:sz w:val="8"/>
        </w:rPr>
      </w:r>
    </w:p>
    <w:p>
      <w:pPr>
        <w:spacing w:before="40" w:after="80"/>
      </w:pPr>
      <w:r>
        <w:rPr>
          <w:rFonts w:ascii="Calibri" w:hAnsi="Calibri"/>
          <w:b w:val="0"/>
          <w:i w:val="0"/>
          <w:color w:val="1C1C1C"/>
          <w:sz w:val="21"/>
        </w:rPr>
        <w:t>How to use:</w:t>
      </w:r>
    </w:p>
    <w:p>
      <w:pPr>
        <w:spacing w:before="80" w:after="80"/>
        <w:ind w:left="432" w:right="432"/>
        <w:pBdr>
          <w:top w:val="single" w:sz="4" w:space="4" w:color="FEF3C7"/>
          <w:bottom w:val="single" w:sz="4" w:space="4" w:color="FEF3C7"/>
          <w:right w:val="single" w:sz="4" w:space="4" w:color="FEF3C7"/>
          <w:left w:val="single" w:sz="18" w:space="8" w:color="D97706"/>
        </w:pBdr>
        <w:shd w:val="clear" w:color="auto" w:fill="FEF3C7"/>
      </w:pPr>
      <w:r>
        <w:rPr>
          <w:rFonts w:ascii="Calibri" w:hAnsi="Calibri"/>
          <w:b w:val="0"/>
          <w:i/>
          <w:color w:val="1E3A5F"/>
          <w:sz w:val="21"/>
        </w:rPr>
        <w:t>python email_report.py --preview       →  saves HTML locally, no email sent</w:t>
        <w:br/>
        <w:t>python email_report.py --to boss@company.com  →  sends email</w:t>
      </w:r>
    </w:p>
    <w:p>
      <w:pPr>
        <w:spacing w:before="0" w:after="0"/>
      </w:pPr>
      <w:r>
        <w:rPr>
          <w:rFonts w:ascii="Calibri" w:hAnsi="Calibri"/>
          <w:b w:val="0"/>
          <w:i w:val="0"/>
          <w:sz w:val="8"/>
        </w:rPr>
      </w:r>
    </w:p>
    <w:p>
      <w:pPr>
        <w:spacing w:before="40" w:after="80"/>
      </w:pPr>
      <w:r>
        <w:rPr>
          <w:rFonts w:ascii="Calibri" w:hAnsi="Calibri"/>
          <w:b w:val="0"/>
          <w:i w:val="0"/>
          <w:color w:val="1C1C1C"/>
          <w:sz w:val="21"/>
        </w:rPr>
        <w:t>Gmail requires an App Password (not your main password). Get one at myaccount.google.com/apppasswords — takes 30 seconds.</w:t>
      </w:r>
    </w:p>
    <w:p>
      <w:r>
        <w:br w:type="page"/>
      </w:r>
    </w:p>
    <w:p>
      <w:pPr>
        <w:spacing w:before="360" w:after="120"/>
        <w:jc w:val="left"/>
        <w:pBdr>
          <w:left w:val="single" w:sz="24" w:space="8" w:color="1E3A8A"/>
        </w:pBdr>
        <w:shd w:val="clear" w:color="auto" w:fill="EFF6FF"/>
      </w:pPr>
      <w:r>
        <w:rPr>
          <w:rFonts w:ascii="Calibri" w:hAnsi="Calibri"/>
          <w:b/>
          <w:i w:val="0"/>
          <w:color w:val="1E3A8A"/>
          <w:sz w:val="28"/>
        </w:rPr>
        <w:t>10. Deliverables Checklist</w:t>
      </w:r>
    </w:p>
    <w:p>
      <w:pPr>
        <w:spacing w:before="0" w:after="0"/>
      </w:pPr>
      <w:r>
        <w:rPr>
          <w:rFonts w:ascii="Calibri" w:hAnsi="Calibri"/>
          <w:b w:val="0"/>
          <w:i w:val="0"/>
          <w:sz w:val="8"/>
        </w:rPr>
      </w:r>
    </w:p>
    <w:tbl>
      <w:tblPr>
        <w:tblStyle w:val="TableGrid"/>
        <w:tblW w:type="auto" w:w="0"/>
        <w:jc w:val="left"/>
        <w:tblLook w:firstColumn="1" w:firstRow="1" w:lastColumn="0" w:lastRow="0" w:noHBand="0" w:noVBand="1" w:val="04A0"/>
      </w:tblPr>
      <w:tblGrid>
        <w:gridCol w:w="3024"/>
        <w:gridCol w:w="3024"/>
        <w:gridCol w:w="3024"/>
      </w:tblGrid>
      <w:tr>
        <w:tc>
          <w:tcPr>
            <w:tcW w:type="dxa" w:w="5760"/>
            <w:shd w:val="clear" w:color="auto" w:fill="1E3A8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Requirement from Task PDF</w:t>
            </w:r>
          </w:p>
        </w:tc>
        <w:tc>
          <w:tcPr>
            <w:tcW w:type="dxa" w:w="1728"/>
            <w:shd w:val="clear" w:color="auto" w:fill="1E3A8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Status</w:t>
            </w:r>
          </w:p>
        </w:tc>
        <w:tc>
          <w:tcPr>
            <w:tcW w:type="dxa" w:w="3600"/>
            <w:shd w:val="clear" w:color="auto" w:fill="1E3A8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File</w:t>
            </w:r>
          </w:p>
        </w:tc>
      </w:tr>
      <w:tr>
        <w:tc>
          <w:tcPr>
            <w:tcW w:type="dxa" w:w="576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Load dataset (CSV format)</w:t>
            </w:r>
          </w:p>
        </w:tc>
        <w:tc>
          <w:tcPr>
            <w:tcW w:type="dxa" w:w="1728"/>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Complete</w:t>
            </w:r>
          </w:p>
        </w:tc>
        <w:tc>
          <w:tcPr>
            <w:tcW w:type="dxa" w:w="360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data_analysis.py</w:t>
            </w:r>
          </w:p>
        </w:tc>
      </w:tr>
      <w:tr>
        <w:tc>
          <w:tcPr>
            <w:tcW w:type="dxa" w:w="576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Perform exploratory data analysis</w:t>
            </w:r>
          </w:p>
        </w:tc>
        <w:tc>
          <w:tcPr>
            <w:tcW w:type="dxa" w:w="172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Complete</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data_analysis.py</w:t>
            </w:r>
          </w:p>
        </w:tc>
      </w:tr>
      <w:tr>
        <w:tc>
          <w:tcPr>
            <w:tcW w:type="dxa" w:w="576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Handle missing values and outliers</w:t>
            </w:r>
          </w:p>
        </w:tc>
        <w:tc>
          <w:tcPr>
            <w:tcW w:type="dxa" w:w="1728"/>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Complete</w:t>
            </w:r>
          </w:p>
        </w:tc>
        <w:tc>
          <w:tcPr>
            <w:tcW w:type="dxa" w:w="360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data_analysis.py — median/mode imputation + IQR capping</w:t>
            </w:r>
          </w:p>
        </w:tc>
      </w:tr>
      <w:tr>
        <w:tc>
          <w:tcPr>
            <w:tcW w:type="dxa" w:w="576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Generate summary statistics</w:t>
            </w:r>
          </w:p>
        </w:tc>
        <w:tc>
          <w:tcPr>
            <w:tcW w:type="dxa" w:w="172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Complete</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data_analysis.py — df.describe() + df.info()</w:t>
            </w:r>
          </w:p>
        </w:tc>
      </w:tr>
      <w:tr>
        <w:tc>
          <w:tcPr>
            <w:tcW w:type="dxa" w:w="576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Usage frequency feature</w:t>
            </w:r>
          </w:p>
        </w:tc>
        <w:tc>
          <w:tcPr>
            <w:tcW w:type="dxa" w:w="1728"/>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Complete</w:t>
            </w:r>
          </w:p>
        </w:tc>
        <w:tc>
          <w:tcPr>
            <w:tcW w:type="dxa" w:w="360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feature_engineering.py — usage_score</w:t>
            </w:r>
          </w:p>
        </w:tc>
      </w:tr>
      <w:tr>
        <w:tc>
          <w:tcPr>
            <w:tcW w:type="dxa" w:w="576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Tenure feature</w:t>
            </w:r>
          </w:p>
        </w:tc>
        <w:tc>
          <w:tcPr>
            <w:tcW w:type="dxa" w:w="172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Complete</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feature_engineering.py — tenure_group</w:t>
            </w:r>
          </w:p>
        </w:tc>
      </w:tr>
      <w:tr>
        <w:tc>
          <w:tcPr>
            <w:tcW w:type="dxa" w:w="576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Payment history patterns</w:t>
            </w:r>
          </w:p>
        </w:tc>
        <w:tc>
          <w:tcPr>
            <w:tcW w:type="dxa" w:w="1728"/>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Complete</w:t>
            </w:r>
          </w:p>
        </w:tc>
        <w:tc>
          <w:tcPr>
            <w:tcW w:type="dxa" w:w="360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feature_engineering.py — payment_risk, payment_stability</w:t>
            </w:r>
          </w:p>
        </w:tc>
      </w:tr>
      <w:tr>
        <w:tc>
          <w:tcPr>
            <w:tcW w:type="dxa" w:w="576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Support interaction count</w:t>
            </w:r>
          </w:p>
        </w:tc>
        <w:tc>
          <w:tcPr>
            <w:tcW w:type="dxa" w:w="172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Complete</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feature_engineering.py — support_interaction_count, support_heavy</w:t>
            </w:r>
          </w:p>
        </w:tc>
      </w:tr>
      <w:tr>
        <w:tc>
          <w:tcPr>
            <w:tcW w:type="dxa" w:w="576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Trend-based features</w:t>
            </w:r>
          </w:p>
        </w:tc>
        <w:tc>
          <w:tcPr>
            <w:tcW w:type="dxa" w:w="1728"/>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Complete</w:t>
            </w:r>
          </w:p>
        </w:tc>
        <w:tc>
          <w:tcPr>
            <w:tcW w:type="dxa" w:w="360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feature_engineering.py — spending_growth_index, charges_ratio</w:t>
            </w:r>
          </w:p>
        </w:tc>
      </w:tr>
      <w:tr>
        <w:tc>
          <w:tcPr>
            <w:tcW w:type="dxa" w:w="576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Revenue trends</w:t>
            </w:r>
          </w:p>
        </w:tc>
        <w:tc>
          <w:tcPr>
            <w:tcW w:type="dxa" w:w="172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Complete</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visualization.py — Chart 6</w:t>
            </w:r>
          </w:p>
        </w:tc>
      </w:tr>
      <w:tr>
        <w:tc>
          <w:tcPr>
            <w:tcW w:type="dxa" w:w="576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Customer segmentation charts</w:t>
            </w:r>
          </w:p>
        </w:tc>
        <w:tc>
          <w:tcPr>
            <w:tcW w:type="dxa" w:w="1728"/>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Complete</w:t>
            </w:r>
          </w:p>
        </w:tc>
        <w:tc>
          <w:tcPr>
            <w:tcW w:type="dxa" w:w="360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visualization.py — Chart 4</w:t>
            </w:r>
          </w:p>
        </w:tc>
      </w:tr>
      <w:tr>
        <w:tc>
          <w:tcPr>
            <w:tcW w:type="dxa" w:w="576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Churn distribution</w:t>
            </w:r>
          </w:p>
        </w:tc>
        <w:tc>
          <w:tcPr>
            <w:tcW w:type="dxa" w:w="172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Complete</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visualization.py — Chart 1</w:t>
            </w:r>
          </w:p>
        </w:tc>
      </w:tr>
      <w:tr>
        <w:tc>
          <w:tcPr>
            <w:tcW w:type="dxa" w:w="576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Correlation heatmap</w:t>
            </w:r>
          </w:p>
        </w:tc>
        <w:tc>
          <w:tcPr>
            <w:tcW w:type="dxa" w:w="1728"/>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Complete</w:t>
            </w:r>
          </w:p>
        </w:tc>
        <w:tc>
          <w:tcPr>
            <w:tcW w:type="dxa" w:w="360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visualization.py — Chart 5</w:t>
            </w:r>
          </w:p>
        </w:tc>
      </w:tr>
      <w:tr>
        <w:tc>
          <w:tcPr>
            <w:tcW w:type="dxa" w:w="576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Category-wise comparisons</w:t>
            </w:r>
          </w:p>
        </w:tc>
        <w:tc>
          <w:tcPr>
            <w:tcW w:type="dxa" w:w="172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Complete</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visualization.py — Charts 2, 3, 4</w:t>
            </w:r>
          </w:p>
        </w:tc>
      </w:tr>
      <w:tr>
        <w:tc>
          <w:tcPr>
            <w:tcW w:type="dxa" w:w="576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Logistic Regression</w:t>
            </w:r>
          </w:p>
        </w:tc>
        <w:tc>
          <w:tcPr>
            <w:tcW w:type="dxa" w:w="1728"/>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Complete</w:t>
            </w:r>
          </w:p>
        </w:tc>
        <w:tc>
          <w:tcPr>
            <w:tcW w:type="dxa" w:w="360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models.py</w:t>
            </w:r>
          </w:p>
        </w:tc>
      </w:tr>
      <w:tr>
        <w:tc>
          <w:tcPr>
            <w:tcW w:type="dxa" w:w="576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Random Forest</w:t>
            </w:r>
          </w:p>
        </w:tc>
        <w:tc>
          <w:tcPr>
            <w:tcW w:type="dxa" w:w="172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Complete</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models.py</w:t>
            </w:r>
          </w:p>
        </w:tc>
      </w:tr>
      <w:tr>
        <w:tc>
          <w:tcPr>
            <w:tcW w:type="dxa" w:w="576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XGBoost</w:t>
            </w:r>
          </w:p>
        </w:tc>
        <w:tc>
          <w:tcPr>
            <w:tcW w:type="dxa" w:w="1728"/>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Complete</w:t>
            </w:r>
          </w:p>
        </w:tc>
        <w:tc>
          <w:tcPr>
            <w:tcW w:type="dxa" w:w="360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models.py</w:t>
            </w:r>
          </w:p>
        </w:tc>
      </w:tr>
      <w:tr>
        <w:tc>
          <w:tcPr>
            <w:tcW w:type="dxa" w:w="576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Accuracy metric</w:t>
            </w:r>
          </w:p>
        </w:tc>
        <w:tc>
          <w:tcPr>
            <w:tcW w:type="dxa" w:w="172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Complete</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models.py + outputs/reports/model_results.csv</w:t>
            </w:r>
          </w:p>
        </w:tc>
      </w:tr>
      <w:tr>
        <w:tc>
          <w:tcPr>
            <w:tcW w:type="dxa" w:w="576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Precision metric</w:t>
            </w:r>
          </w:p>
        </w:tc>
        <w:tc>
          <w:tcPr>
            <w:tcW w:type="dxa" w:w="1728"/>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Complete</w:t>
            </w:r>
          </w:p>
        </w:tc>
        <w:tc>
          <w:tcPr>
            <w:tcW w:type="dxa" w:w="360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models.py + outputs/reports/model_results.csv</w:t>
            </w:r>
          </w:p>
        </w:tc>
      </w:tr>
      <w:tr>
        <w:tc>
          <w:tcPr>
            <w:tcW w:type="dxa" w:w="576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Recall metric</w:t>
            </w:r>
          </w:p>
        </w:tc>
        <w:tc>
          <w:tcPr>
            <w:tcW w:type="dxa" w:w="172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Complete</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models.py + outputs/reports/model_results.csv</w:t>
            </w:r>
          </w:p>
        </w:tc>
      </w:tr>
      <w:tr>
        <w:tc>
          <w:tcPr>
            <w:tcW w:type="dxa" w:w="576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F1 Score metric</w:t>
            </w:r>
          </w:p>
        </w:tc>
        <w:tc>
          <w:tcPr>
            <w:tcW w:type="dxa" w:w="1728"/>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Complete</w:t>
            </w:r>
          </w:p>
        </w:tc>
        <w:tc>
          <w:tcPr>
            <w:tcW w:type="dxa" w:w="360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models.py + outputs/reports/model_results.csv</w:t>
            </w:r>
          </w:p>
        </w:tc>
      </w:tr>
      <w:tr>
        <w:tc>
          <w:tcPr>
            <w:tcW w:type="dxa" w:w="576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ROC-AUC metric</w:t>
            </w:r>
          </w:p>
        </w:tc>
        <w:tc>
          <w:tcPr>
            <w:tcW w:type="dxa" w:w="172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Complete</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models.py + outputs/reports/model_results.csv</w:t>
            </w:r>
          </w:p>
        </w:tc>
      </w:tr>
      <w:tr>
        <w:tc>
          <w:tcPr>
            <w:tcW w:type="dxa" w:w="576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High / Medium / Low value customer segmentation</w:t>
            </w:r>
          </w:p>
        </w:tc>
        <w:tc>
          <w:tcPr>
            <w:tcW w:type="dxa" w:w="1728"/>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Complete</w:t>
            </w:r>
          </w:p>
        </w:tc>
        <w:tc>
          <w:tcPr>
            <w:tcW w:type="dxa" w:w="360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feature_engineering.py — customer_value column</w:t>
            </w:r>
          </w:p>
        </w:tc>
      </w:tr>
      <w:tr>
        <w:tc>
          <w:tcPr>
            <w:tcW w:type="dxa" w:w="576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Predict churn probability</w:t>
            </w:r>
          </w:p>
        </w:tc>
        <w:tc>
          <w:tcPr>
            <w:tcW w:type="dxa" w:w="172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Complete</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models.py — churn_prob column (0.0 to 1.0)</w:t>
            </w:r>
          </w:p>
        </w:tc>
      </w:tr>
      <w:tr>
        <w:tc>
          <w:tcPr>
            <w:tcW w:type="dxa" w:w="576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Assign Low / Medium / High risk category</w:t>
            </w:r>
          </w:p>
        </w:tc>
        <w:tc>
          <w:tcPr>
            <w:tcW w:type="dxa" w:w="1728"/>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Complete</w:t>
            </w:r>
          </w:p>
        </w:tc>
        <w:tc>
          <w:tcPr>
            <w:tcW w:type="dxa" w:w="360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models.py — risk_category column</w:t>
            </w:r>
          </w:p>
        </w:tc>
      </w:tr>
      <w:tr>
        <w:tc>
          <w:tcPr>
            <w:tcW w:type="dxa" w:w="576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Top churn reasons</w:t>
            </w:r>
          </w:p>
        </w:tc>
        <w:tc>
          <w:tcPr>
            <w:tcW w:type="dxa" w:w="172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Complete</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insights.py + outputs/reports/business_insights.txt</w:t>
            </w:r>
          </w:p>
        </w:tc>
      </w:tr>
      <w:tr>
        <w:tc>
          <w:tcPr>
            <w:tcW w:type="dxa" w:w="576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High-risk customer traits</w:t>
            </w:r>
          </w:p>
        </w:tc>
        <w:tc>
          <w:tcPr>
            <w:tcW w:type="dxa" w:w="1728"/>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Complete</w:t>
            </w:r>
          </w:p>
        </w:tc>
        <w:tc>
          <w:tcPr>
            <w:tcW w:type="dxa" w:w="360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insights.py + outputs/reports/business_insights.txt</w:t>
            </w:r>
          </w:p>
        </w:tc>
      </w:tr>
      <w:tr>
        <w:tc>
          <w:tcPr>
            <w:tcW w:type="dxa" w:w="576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Revenue impact estimation</w:t>
            </w:r>
          </w:p>
        </w:tc>
        <w:tc>
          <w:tcPr>
            <w:tcW w:type="dxa" w:w="172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Complete</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insights.py + outputs/reports/business_insights.txt</w:t>
            </w:r>
          </w:p>
        </w:tc>
      </w:tr>
      <w:tr>
        <w:tc>
          <w:tcPr>
            <w:tcW w:type="dxa" w:w="576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Streamlit dashboard (Bonus)</w:t>
            </w:r>
          </w:p>
        </w:tc>
        <w:tc>
          <w:tcPr>
            <w:tcW w:type="dxa" w:w="1728"/>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Complete</w:t>
            </w:r>
          </w:p>
        </w:tc>
        <w:tc>
          <w:tcPr>
            <w:tcW w:type="dxa" w:w="360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app.py — streamlit run app.py</w:t>
            </w:r>
          </w:p>
        </w:tc>
      </w:tr>
      <w:tr>
        <w:tc>
          <w:tcPr>
            <w:tcW w:type="dxa" w:w="576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SHAP explainability (Bonus)</w:t>
            </w:r>
          </w:p>
        </w:tc>
        <w:tc>
          <w:tcPr>
            <w:tcW w:type="dxa" w:w="172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Complete</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shap_explainability.py — python main.py --shap</w:t>
            </w:r>
          </w:p>
        </w:tc>
      </w:tr>
      <w:tr>
        <w:tc>
          <w:tcPr>
            <w:tcW w:type="dxa" w:w="576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Automated weekly prediction pipeline (Bonus)</w:t>
            </w:r>
          </w:p>
        </w:tc>
        <w:tc>
          <w:tcPr>
            <w:tcW w:type="dxa" w:w="1728"/>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Complete</w:t>
            </w:r>
          </w:p>
        </w:tc>
        <w:tc>
          <w:tcPr>
            <w:tcW w:type="dxa" w:w="360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weekly_pipeline.py</w:t>
            </w:r>
          </w:p>
        </w:tc>
      </w:tr>
      <w:tr>
        <w:tc>
          <w:tcPr>
            <w:tcW w:type="dxa" w:w="576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Email report generation (Bonus)</w:t>
            </w:r>
          </w:p>
        </w:tc>
        <w:tc>
          <w:tcPr>
            <w:tcW w:type="dxa" w:w="172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Complete</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email_report.py + app.py sidebar</w:t>
            </w:r>
          </w:p>
        </w:tc>
      </w:tr>
      <w:tr>
        <w:tc>
          <w:tcPr>
            <w:tcW w:type="dxa" w:w="576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Dataset submitted</w:t>
            </w:r>
          </w:p>
        </w:tc>
        <w:tc>
          <w:tcPr>
            <w:tcW w:type="dxa" w:w="1728"/>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Included</w:t>
            </w:r>
          </w:p>
        </w:tc>
        <w:tc>
          <w:tcPr>
            <w:tcW w:type="dxa" w:w="360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customerservices.csv</w:t>
            </w:r>
          </w:p>
        </w:tc>
      </w:tr>
      <w:tr>
        <w:tc>
          <w:tcPr>
            <w:tcW w:type="dxa" w:w="576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Python scripts (modular)</w:t>
            </w:r>
          </w:p>
        </w:tc>
        <w:tc>
          <w:tcPr>
            <w:tcW w:type="dxa" w:w="172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Included</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9 Python files</w:t>
            </w:r>
          </w:p>
        </w:tc>
      </w:tr>
      <w:tr>
        <w:tc>
          <w:tcPr>
            <w:tcW w:type="dxa" w:w="576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requirements.txt</w:t>
            </w:r>
          </w:p>
        </w:tc>
        <w:tc>
          <w:tcPr>
            <w:tcW w:type="dxa" w:w="1728"/>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Included</w:t>
            </w:r>
          </w:p>
        </w:tc>
        <w:tc>
          <w:tcPr>
            <w:tcW w:type="dxa" w:w="360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requirements.txt</w:t>
            </w:r>
          </w:p>
        </w:tc>
      </w:tr>
      <w:tr>
        <w:tc>
          <w:tcPr>
            <w:tcW w:type="dxa" w:w="576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README documentation</w:t>
            </w:r>
          </w:p>
        </w:tc>
        <w:tc>
          <w:tcPr>
            <w:tcW w:type="dxa" w:w="1728"/>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Included</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README.md</w:t>
            </w:r>
          </w:p>
        </w:tc>
      </w:tr>
      <w:tr>
        <w:tc>
          <w:tcPr>
            <w:tcW w:type="dxa" w:w="576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Summary insights document</w:t>
            </w:r>
          </w:p>
        </w:tc>
        <w:tc>
          <w:tcPr>
            <w:tcW w:type="dxa" w:w="1728"/>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155724"/>
                <w:sz w:val="19"/>
              </w:rPr>
              <w:t>✅ Included</w:t>
            </w:r>
          </w:p>
        </w:tc>
        <w:tc>
          <w:tcPr>
            <w:tcW w:type="dxa" w:w="3600"/>
            <w:shd w:val="clear" w:color="auto" w:fill="EFF6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ChurnIQ_Insights_Document.docx (this file)</w:t>
            </w:r>
          </w:p>
        </w:tc>
      </w:tr>
    </w:tbl>
    <w:p>
      <w:pPr>
        <w:spacing w:before="0" w:after="0"/>
      </w:pPr>
      <w:r>
        <w:rPr>
          <w:rFonts w:ascii="Calibri" w:hAnsi="Calibri"/>
          <w:b w:val="0"/>
          <w:i w:val="0"/>
          <w:sz w:val="8"/>
        </w:rPr>
      </w:r>
    </w:p>
    <w:p>
      <w:r>
        <w:br w:type="page"/>
      </w:r>
    </w:p>
    <w:p>
      <w:pPr>
        <w:spacing w:before="360" w:after="120"/>
        <w:jc w:val="left"/>
        <w:pBdr>
          <w:left w:val="single" w:sz="24" w:space="8" w:color="1E3A8A"/>
        </w:pBdr>
        <w:shd w:val="clear" w:color="auto" w:fill="EFF6FF"/>
      </w:pPr>
      <w:r>
        <w:rPr>
          <w:rFonts w:ascii="Calibri" w:hAnsi="Calibri"/>
          <w:b/>
          <w:i w:val="0"/>
          <w:color w:val="1E3A8A"/>
          <w:sz w:val="28"/>
        </w:rPr>
        <w:t>11. Tech Stack</w:t>
      </w:r>
    </w:p>
    <w:p>
      <w:pPr>
        <w:spacing w:before="0" w:after="0"/>
      </w:pPr>
      <w:r>
        <w:rPr>
          <w:rFonts w:ascii="Calibri" w:hAnsi="Calibri"/>
          <w:b w:val="0"/>
          <w:i w:val="0"/>
          <w:sz w:val="8"/>
        </w:rPr>
      </w:r>
    </w:p>
    <w:tbl>
      <w:tblPr>
        <w:tblStyle w:val="TableGrid"/>
        <w:tblW w:type="auto" w:w="0"/>
        <w:jc w:val="left"/>
        <w:tblLook w:firstColumn="1" w:firstRow="1" w:lastColumn="0" w:lastRow="0" w:noHBand="0" w:noVBand="1" w:val="04A0"/>
      </w:tblPr>
      <w:tblGrid>
        <w:gridCol w:w="3024"/>
        <w:gridCol w:w="3024"/>
        <w:gridCol w:w="3024"/>
      </w:tblGrid>
      <w:tr>
        <w:tc>
          <w:tcPr>
            <w:tcW w:type="dxa" w:w="2160"/>
            <w:shd w:val="clear" w:color="auto" w:fill="4338C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Library</w:t>
            </w:r>
          </w:p>
        </w:tc>
        <w:tc>
          <w:tcPr>
            <w:tcW w:type="dxa" w:w="1872"/>
            <w:shd w:val="clear" w:color="auto" w:fill="4338C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Version</w:t>
            </w:r>
          </w:p>
        </w:tc>
        <w:tc>
          <w:tcPr>
            <w:tcW w:type="dxa" w:w="7056"/>
            <w:shd w:val="clear" w:color="auto" w:fill="4338CA"/>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i w:val="0"/>
                <w:color w:val="FFFFFF"/>
                <w:sz w:val="19"/>
              </w:rPr>
              <w:t>Used For</w:t>
            </w:r>
          </w:p>
        </w:tc>
      </w:tr>
      <w:tr>
        <w:tc>
          <w:tcPr>
            <w:tcW w:type="dxa" w:w="2160"/>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pandas</w:t>
            </w:r>
          </w:p>
        </w:tc>
        <w:tc>
          <w:tcPr>
            <w:tcW w:type="dxa" w:w="1872"/>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&gt;=2.0.0</w:t>
            </w:r>
          </w:p>
        </w:tc>
        <w:tc>
          <w:tcPr>
            <w:tcW w:type="dxa" w:w="7056"/>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All DataFrame operations — loading CSV, cleaning, groupby analysis, feature creation</w:t>
            </w:r>
          </w:p>
        </w:tc>
      </w:tr>
      <w:tr>
        <w:tc>
          <w:tcPr>
            <w:tcW w:type="dxa" w:w="216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numpy</w:t>
            </w:r>
          </w:p>
        </w:tc>
        <w:tc>
          <w:tcPr>
            <w:tcW w:type="dxa" w:w="187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&gt;=1.24.0</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Numeric operations, IQR outlier capping, array handling, infinity replacement</w:t>
            </w:r>
          </w:p>
        </w:tc>
      </w:tr>
      <w:tr>
        <w:tc>
          <w:tcPr>
            <w:tcW w:type="dxa" w:w="2160"/>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matplotlib</w:t>
            </w:r>
          </w:p>
        </w:tc>
        <w:tc>
          <w:tcPr>
            <w:tcW w:type="dxa" w:w="1872"/>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&gt;=3.7.0</w:t>
            </w:r>
          </w:p>
        </w:tc>
        <w:tc>
          <w:tcPr>
            <w:tcW w:type="dxa" w:w="7056"/>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Base plotting engine — all 7 charts are built on matplotlib axes</w:t>
            </w:r>
          </w:p>
        </w:tc>
      </w:tr>
      <w:tr>
        <w:tc>
          <w:tcPr>
            <w:tcW w:type="dxa" w:w="216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seaborn</w:t>
            </w:r>
          </w:p>
        </w:tc>
        <w:tc>
          <w:tcPr>
            <w:tcW w:type="dxa" w:w="187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&gt;=0.12.0</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Heatmaps, distribution plots, and styled categorical charts</w:t>
            </w:r>
          </w:p>
        </w:tc>
      </w:tr>
      <w:tr>
        <w:tc>
          <w:tcPr>
            <w:tcW w:type="dxa" w:w="2160"/>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plotly</w:t>
            </w:r>
          </w:p>
        </w:tc>
        <w:tc>
          <w:tcPr>
            <w:tcW w:type="dxa" w:w="1872"/>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&gt;=5.17.0</w:t>
            </w:r>
          </w:p>
        </w:tc>
        <w:tc>
          <w:tcPr>
            <w:tcW w:type="dxa" w:w="7056"/>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Interactive charts inside the Streamlit dashboard</w:t>
            </w:r>
          </w:p>
        </w:tc>
      </w:tr>
      <w:tr>
        <w:tc>
          <w:tcPr>
            <w:tcW w:type="dxa" w:w="216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scikit-learn</w:t>
            </w:r>
          </w:p>
        </w:tc>
        <w:tc>
          <w:tcPr>
            <w:tcW w:type="dxa" w:w="187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&gt;=1.3.0</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Logistic Regression, Random Forest, StandardScaler, train_test_split, all 5 metrics</w:t>
            </w:r>
          </w:p>
        </w:tc>
      </w:tr>
      <w:tr>
        <w:tc>
          <w:tcPr>
            <w:tcW w:type="dxa" w:w="2160"/>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xgboost</w:t>
            </w:r>
          </w:p>
        </w:tc>
        <w:tc>
          <w:tcPr>
            <w:tcW w:type="dxa" w:w="1872"/>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&gt;=2.0.0</w:t>
            </w:r>
          </w:p>
        </w:tc>
        <w:tc>
          <w:tcPr>
            <w:tcW w:type="dxa" w:w="7056"/>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XGBoost gradient boosting model — typically the champion on tabular data</w:t>
            </w:r>
          </w:p>
        </w:tc>
      </w:tr>
      <w:tr>
        <w:tc>
          <w:tcPr>
            <w:tcW w:type="dxa" w:w="216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shap</w:t>
            </w:r>
          </w:p>
        </w:tc>
        <w:tc>
          <w:tcPr>
            <w:tcW w:type="dxa" w:w="187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&gt;=0.41.0</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SHAP explainability — feature importance and individual prediction explanations (Bonus)</w:t>
            </w:r>
          </w:p>
        </w:tc>
      </w:tr>
      <w:tr>
        <w:tc>
          <w:tcPr>
            <w:tcW w:type="dxa" w:w="2160"/>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schedule</w:t>
            </w:r>
          </w:p>
        </w:tc>
        <w:tc>
          <w:tcPr>
            <w:tcW w:type="dxa" w:w="1872"/>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&gt;=1.2.0</w:t>
            </w:r>
          </w:p>
        </w:tc>
        <w:tc>
          <w:tcPr>
            <w:tcW w:type="dxa" w:w="7056"/>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Weekly pipeline automation — schedules predictions every Monday at 08:00 (Bonus)</w:t>
            </w:r>
          </w:p>
        </w:tc>
      </w:tr>
      <w:tr>
        <w:tc>
          <w:tcPr>
            <w:tcW w:type="dxa" w:w="216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streamlit</w:t>
            </w:r>
          </w:p>
        </w:tc>
        <w:tc>
          <w:tcPr>
            <w:tcW w:type="dxa" w:w="187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&gt;=1.28.0</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Interactive web dashboard — KPIs, charts, filters, email sender (Bonus)</w:t>
            </w:r>
          </w:p>
        </w:tc>
      </w:tr>
      <w:tr>
        <w:tc>
          <w:tcPr>
            <w:tcW w:type="dxa" w:w="2160"/>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smtplib</w:t>
            </w:r>
          </w:p>
        </w:tc>
        <w:tc>
          <w:tcPr>
            <w:tcW w:type="dxa" w:w="1872"/>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Built-in</w:t>
            </w:r>
          </w:p>
        </w:tc>
        <w:tc>
          <w:tcPr>
            <w:tcW w:type="dxa" w:w="7056"/>
            <w:shd w:val="clear" w:color="auto" w:fill="EEF2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Gmail SMTP email sending — part of Python standard library, no install needed</w:t>
            </w:r>
          </w:p>
        </w:tc>
      </w:tr>
      <w:tr>
        <w:tc>
          <w:tcPr>
            <w:tcW w:type="dxa" w:w="216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pickle</w:t>
            </w:r>
          </w:p>
        </w:tc>
        <w:tc>
          <w:tcPr>
            <w:tcW w:type="dxa" w:w="187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Built-in</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left"/>
            </w:pPr>
            <w:r>
              <w:rPr>
                <w:rFonts w:ascii="Calibri" w:hAnsi="Calibri"/>
                <w:b w:val="0"/>
                <w:i w:val="0"/>
                <w:color w:val="1C1C1C"/>
                <w:sz w:val="19"/>
              </w:rPr>
              <w:t>Champion model serialization — save trained model to disk, load without retraining</w:t>
            </w:r>
          </w:p>
        </w:tc>
      </w:tr>
    </w:tbl>
    <w:p>
      <w:pPr>
        <w:spacing w:before="0" w:after="0"/>
      </w:pPr>
      <w:r>
        <w:rPr>
          <w:rFonts w:ascii="Calibri" w:hAnsi="Calibri"/>
          <w:b w:val="0"/>
          <w:i w:val="0"/>
          <w:sz w:val="8"/>
        </w:rPr>
      </w:r>
    </w:p>
    <w:p>
      <w:pPr>
        <w:spacing w:before="0" w:after="0"/>
      </w:pPr>
      <w:r>
        <w:rPr>
          <w:rFonts w:ascii="Calibri" w:hAnsi="Calibri"/>
          <w:b w:val="0"/>
          <w:i w:val="0"/>
          <w:sz w:val="8"/>
        </w:rPr>
      </w:r>
    </w:p>
    <w:p>
      <w:pPr>
        <w:spacing w:before="240" w:after="80"/>
      </w:pPr>
      <w:r>
        <w:rPr>
          <w:rFonts w:ascii="Calibri" w:hAnsi="Calibri"/>
          <w:b/>
          <w:i w:val="0"/>
          <w:color w:val="1D4ED8"/>
          <w:sz w:val="24"/>
        </w:rPr>
        <w:t>Project Philosophy</w:t>
      </w:r>
    </w:p>
    <w:p>
      <w:pPr>
        <w:spacing w:before="40" w:after="80"/>
      </w:pPr>
      <w:r>
        <w:rPr>
          <w:rFonts w:ascii="Calibri" w:hAnsi="Calibri"/>
          <w:b w:val="0"/>
          <w:i w:val="0"/>
          <w:color w:val="1C1C1C"/>
          <w:sz w:val="21"/>
        </w:rPr>
        <w:t>Every design decision in this project prioritized production-readiness over notebook convenience. The code is modular, documented, and built so that any module can be replaced, upgraded, or extended without breaking the rest of the system. The bonus features are not afterthoughts — they are the parts that make the difference between a student project and something a real business could actually deploy.</w:t>
      </w:r>
    </w:p>
    <w:p>
      <w:pPr>
        <w:spacing w:before="0" w:after="0"/>
      </w:pPr>
      <w:r>
        <w:rPr>
          <w:rFonts w:ascii="Calibri" w:hAnsi="Calibri"/>
          <w:b w:val="0"/>
          <w:i w:val="0"/>
          <w:sz w:val="8"/>
        </w:rPr>
      </w:r>
    </w:p>
    <w:p>
      <w:pPr>
        <w:spacing w:before="80" w:after="80"/>
        <w:ind w:left="432" w:right="432"/>
        <w:pBdr>
          <w:top w:val="single" w:sz="4" w:space="4" w:color="ECFDF5"/>
          <w:bottom w:val="single" w:sz="4" w:space="4" w:color="ECFDF5"/>
          <w:right w:val="single" w:sz="4" w:space="4" w:color="ECFDF5"/>
          <w:left w:val="single" w:sz="18" w:space="8" w:color="065F46"/>
        </w:pBdr>
        <w:shd w:val="clear" w:color="auto" w:fill="ECFDF5"/>
      </w:pPr>
      <w:r>
        <w:rPr>
          <w:rFonts w:ascii="Calibri" w:hAnsi="Calibri"/>
          <w:b w:val="0"/>
          <w:i/>
          <w:color w:val="1E3A5F"/>
          <w:sz w:val="21"/>
        </w:rPr>
        <w:t>All 4 bonus items (Streamlit dashboard, SHAP explainability, weekly pipeline, email reporting) are fully functional and integrated — not just stub implementations.</w:t>
      </w:r>
    </w:p>
    <w:p>
      <w:pPr>
        <w:spacing w:before="0" w:after="0"/>
      </w:pPr>
      <w:r>
        <w:rPr>
          <w:rFonts w:ascii="Calibri" w:hAnsi="Calibri"/>
          <w:b w:val="0"/>
          <w:i w:val="0"/>
          <w:sz w:val="8"/>
        </w:rPr>
      </w:r>
    </w:p>
    <w:p>
      <w:pPr>
        <w:spacing w:before="0" w:after="0"/>
      </w:pPr>
      <w:r>
        <w:rPr>
          <w:rFonts w:ascii="Calibri" w:hAnsi="Calibri"/>
          <w:b w:val="0"/>
          <w:i w:val="0"/>
          <w:sz w:val="8"/>
        </w:rPr>
      </w:r>
    </w:p>
    <w:p>
      <w:pPr>
        <w:spacing w:before="240"/>
        <w:jc w:val="center"/>
        <w:pBdr>
          <w:top w:val="single" w:sz="6" w:space="4" w:color="1E3A8A"/>
        </w:pBdr>
      </w:pPr>
      <w:r>
        <w:rPr>
          <w:rFonts w:ascii="Calibri" w:hAnsi="Calibri"/>
          <w:b w:val="0"/>
          <w:i w:val="0"/>
          <w:color w:val="6B7280"/>
          <w:sz w:val="18"/>
        </w:rPr>
        <w:t>ChurnIQ  ·  Teyzix Core Internship  ·  June Batch 2026  ·  ML-INT-1</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