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>
          <w:lang w:val="nb-NO" w:eastAsia="en-US"/>
        </w:rPr>
      </w:pPr>
      <w:r>
        <w:rPr>
          <w:lang w:val="nb-NO" w:eastAsia="en-US"/>
        </w:rPr>
        <w:t>Anskaffelsesnotat: {{ procurement.name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Dato:</w:t>
      </w:r>
      <w:r>
        <w:rPr/>
        <w:t xml:space="preserve"> {{ assessment.date }}</w:t>
      </w:r>
    </w:p>
    <w:p>
      <w:pPr>
        <w:pStyle w:val="Normal"/>
        <w:bidi w:val="0"/>
        <w:jc w:val="start"/>
        <w:rPr/>
      </w:pPr>
      <w:r>
        <w:rPr>
          <w:b/>
        </w:rPr>
        <w:t>Saksbehandler:</w:t>
      </w:r>
      <w:r>
        <w:rPr/>
        <w:t xml:space="preserve"> {{ procurement.requested_by }}</w:t>
      </w:r>
    </w:p>
    <w:p>
      <w:pPr>
        <w:pStyle w:val="Normal"/>
        <w:bidi w:val="0"/>
        <w:jc w:val="start"/>
        <w:rPr/>
      </w:pPr>
      <w:r>
        <w:rPr>
          <w:b/>
        </w:rPr>
        <w:t>Anskaffelses-ID:</w:t>
      </w:r>
      <w:r>
        <w:rPr/>
        <w:t xml:space="preserve"> {{ </w:t>
      </w:r>
      <w:hyperlink r:id="rId2">
        <w:r>
          <w:rPr>
            <w:rStyle w:val="Hyperlink"/>
          </w:rPr>
          <w:t>procurement.id</w:t>
        </w:r>
      </w:hyperlink>
      <w:r>
        <w:rPr/>
        <w:t xml:space="preserve"> }}</w:t>
      </w:r>
    </w:p>
    <w:p>
      <w:pPr>
        <w:pStyle w:val="Normal"/>
        <w:bidi w:val="0"/>
        <w:jc w:val="start"/>
        <w:rPr/>
      </w:pPr>
      <w:r>
        <w:rPr>
          <w:b/>
        </w:rPr>
        <w:t>Saksnummer:</w:t>
      </w:r>
      <w:r>
        <w:rPr/>
        <w:t xml:space="preserve"> {{ procurement.case_number | default("Ikke angitt")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————————</w:t>
      </w:r>
    </w:p>
    <w:p>
      <w:pPr>
        <w:pStyle w:val="Heading1"/>
        <w:bidi w:val="0"/>
        <w:ind w:hanging="0" w:start="0"/>
        <w:jc w:val="start"/>
        <w:rPr/>
      </w:pPr>
      <w:r>
        <w:rPr/>
        <w:t>ffff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Ffff</w:t>
      </w:r>
    </w:p>
    <w:p>
      <w:pPr>
        <w:pStyle w:val="Heading3"/>
        <w:bidi w:val="0"/>
        <w:ind w:hanging="0" w:start="0"/>
        <w:jc w:val="start"/>
        <w:rPr/>
      </w:pPr>
      <w:r>
        <w:rPr/>
        <w:t>ffff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 Oppsummering av Anskaffelsen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Dette notatet er en automatisert vurdering og veiledning basert på informasjonen du har oppgitt: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2"/>
        </w:numPr>
        <w:bidi w:val="0"/>
        <w:jc w:val="start"/>
        <w:rPr/>
      </w:pPr>
      <w:r>
        <w:rPr>
          <w:b/>
        </w:rPr>
        <w:t>Kategori:</w:t>
      </w:r>
      <w:r>
        <w:rPr/>
        <w:t xml:space="preserve"> {{ procurement.category }}</w:t>
      </w:r>
    </w:p>
    <w:p>
      <w:pPr>
        <w:pStyle w:val="ListParagraph"/>
        <w:numPr>
          <w:ilvl w:val="0"/>
          <w:numId w:val="3"/>
        </w:numPr>
        <w:bidi w:val="0"/>
        <w:jc w:val="start"/>
        <w:rPr/>
      </w:pPr>
      <w:r>
        <w:rPr>
          <w:b/>
        </w:rPr>
        <w:t>Estimert Verdi:</w:t>
      </w:r>
      <w:r>
        <w:rPr/>
        <w:t xml:space="preserve"> {{ procurement.value }} NOK (eks. mva.)</w:t>
      </w:r>
    </w:p>
    <w:p>
      <w:pPr>
        <w:pStyle w:val="ListParagraph"/>
        <w:numPr>
          <w:ilvl w:val="0"/>
          <w:numId w:val="4"/>
        </w:numPr>
        <w:bidi w:val="0"/>
        <w:jc w:val="start"/>
        <w:rPr/>
      </w:pPr>
      <w:r>
        <w:rPr>
          <w:b/>
        </w:rPr>
        <w:t>Varighet:</w:t>
      </w:r>
      <w:r>
        <w:rPr/>
        <w:t xml:space="preserve"> {{ procurement.duration}} måned(er)</w:t>
      </w:r>
    </w:p>
    <w:p>
      <w:pPr>
        <w:pStyle w:val="ListParagraph"/>
        <w:numPr>
          <w:ilvl w:val="0"/>
          <w:numId w:val="5"/>
        </w:numPr>
        <w:bidi w:val="0"/>
        <w:jc w:val="start"/>
        <w:rPr/>
      </w:pPr>
      <w:r>
        <w:rPr>
          <w:b/>
        </w:rPr>
        <w:t>Kort Beskrivelse:</w:t>
      </w:r>
      <w:r>
        <w:rPr/>
        <w:t xml:space="preserve"> {{ procurement.description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————————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#if supplier_details }}</w:t>
      </w:r>
    </w:p>
    <w:p>
      <w:pPr>
        <w:pStyle w:val="Heading3"/>
        <w:bidi w:val="0"/>
        <w:ind w:hanging="0" w:start="0"/>
        <w:jc w:val="start"/>
        <w:rPr/>
      </w:pPr>
      <w:r>
        <w:rPr/>
        <w:t>2. Vurdering av Foreslått Leverandør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En automatisk kontroll er utført for </w:t>
      </w:r>
      <w:r>
        <w:rPr>
          <w:b/>
        </w:rPr>
        <w:t>{{ procurement.potential_supplier }}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#if supplier_check.has_critical_findings }}</w:t>
      </w:r>
    </w:p>
    <w:p>
      <w:pPr>
        <w:pStyle w:val="Quote"/>
        <w:bidi w:val="0"/>
        <w:rPr/>
      </w:pPr>
      <w:r>
        <w:rPr>
          <w:b/>
        </w:rPr>
        <w:t>KRITISK ADVARSEL: Potensielt alvorlig avvik funnet</w:t>
      </w:r>
    </w:p>
    <w:p>
      <w:pPr>
        <w:pStyle w:val="Quote"/>
        <w:bidi w:val="0"/>
        <w:rPr/>
      </w:pPr>
      <w:r>
        <w:rPr/>
        <w:t>Vår kontroll indikerer at leverandøren eller dens morselskap kan være listet på Oslomodellens OBS-liste eller internasjonale sanksjonslister.</w:t>
      </w:r>
    </w:p>
    <w:p>
      <w:pPr>
        <w:pStyle w:val="Quote"/>
        <w:bidi w:val="0"/>
        <w:rPr/>
      </w:pPr>
      <w:r>
        <w:rPr>
          <w:b/>
        </w:rPr>
        <w:t>Anbefaling:</w:t>
      </w:r>
      <w:r>
        <w:rPr/>
        <w:t xml:space="preserve"> Anskaffelsen </w:t>
      </w:r>
      <w:r>
        <w:rPr>
          <w:b/>
        </w:rPr>
        <w:t>må ikke</w:t>
      </w:r>
      <w:r>
        <w:rPr/>
        <w:t xml:space="preserve"> fortsette før funnene under er gjennomgått og avklart med Juridisk avdeling.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/if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6"/>
        </w:numPr>
        <w:bidi w:val="0"/>
        <w:jc w:val="start"/>
        <w:rPr/>
      </w:pPr>
      <w:r>
        <w:rPr>
          <w:b/>
        </w:rPr>
        <w:t>Firmainformasjon (Brønnøysund):</w:t>
      </w:r>
    </w:p>
    <w:p>
      <w:pPr>
        <w:pStyle w:val="ListParagraph"/>
        <w:numPr>
          <w:ilvl w:val="1"/>
          <w:numId w:val="7"/>
        </w:numPr>
        <w:bidi w:val="0"/>
        <w:jc w:val="start"/>
        <w:rPr/>
      </w:pPr>
      <w:r>
        <w:rPr>
          <w:b/>
        </w:rPr>
        <w:t>Offisielt Navn:</w:t>
      </w:r>
      <w:r>
        <w:rPr/>
        <w:t xml:space="preserve"> {{ supplier_details.name }}</w:t>
      </w:r>
    </w:p>
    <w:p>
      <w:pPr>
        <w:pStyle w:val="ListParagraph"/>
        <w:numPr>
          <w:ilvl w:val="1"/>
          <w:numId w:val="8"/>
        </w:numPr>
        <w:bidi w:val="0"/>
        <w:jc w:val="start"/>
        <w:rPr/>
      </w:pPr>
      <w:r>
        <w:rPr>
          <w:b/>
        </w:rPr>
        <w:t>Organisasjonsnummer:</w:t>
      </w:r>
      <w:r>
        <w:rPr/>
        <w:t xml:space="preserve"> {{ supplier_details.org_number }}</w:t>
      </w:r>
    </w:p>
    <w:p>
      <w:pPr>
        <w:pStyle w:val="ListParagraph"/>
        <w:numPr>
          <w:ilvl w:val="1"/>
          <w:numId w:val="9"/>
        </w:numPr>
        <w:bidi w:val="0"/>
        <w:jc w:val="start"/>
        <w:rPr/>
      </w:pPr>
      <w:r>
        <w:rPr>
          <w:b/>
        </w:rPr>
        <w:t>Signaturrett:</w:t>
      </w:r>
      <w:r>
        <w:rPr/>
        <w:t xml:space="preserve"> {{ supplier_details.signature_rights }}</w:t>
      </w:r>
    </w:p>
    <w:p>
      <w:pPr>
        <w:pStyle w:val="ListParagraph"/>
        <w:numPr>
          <w:ilvl w:val="1"/>
          <w:numId w:val="10"/>
        </w:numPr>
        <w:bidi w:val="0"/>
        <w:jc w:val="start"/>
        <w:rPr/>
      </w:pPr>
      <w:r>
        <w:rPr>
          <w:b/>
        </w:rPr>
        <w:t>Navn:</w:t>
      </w:r>
    </w:p>
    <w:p>
      <w:pPr>
        <w:pStyle w:val="ListParagraph"/>
        <w:numPr>
          <w:ilvl w:val="1"/>
          <w:numId w:val="11"/>
        </w:numPr>
        <w:bidi w:val="0"/>
        <w:jc w:val="start"/>
        <w:rPr/>
      </w:pPr>
      <w:r>
        <w:rPr>
          <w:i/>
        </w:rPr>
        <w:t>Merk: Kontroller at kontrakt/bestillingsbrev signeres av de som har fullmakt til dette.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2"/>
        </w:numPr>
        <w:bidi w:val="0"/>
        <w:jc w:val="start"/>
        <w:rPr/>
      </w:pPr>
      <w:r>
        <w:rPr>
          <w:b/>
        </w:rPr>
        <w:t>Kontroll mot OBS- og Sanksjonslister:</w:t>
      </w:r>
    </w:p>
    <w:p>
      <w:pPr>
        <w:pStyle w:val="ListParagraph"/>
        <w:numPr>
          <w:ilvl w:val="1"/>
          <w:numId w:val="13"/>
        </w:numPr>
        <w:bidi w:val="0"/>
        <w:jc w:val="start"/>
        <w:rPr/>
      </w:pPr>
      <w:r>
        <w:rPr>
          <w:b/>
        </w:rPr>
        <w:t>Oslomodellens OBS-liste:</w:t>
      </w:r>
      <w:r>
        <w:rPr/>
        <w:t xml:space="preserve"> {{ supplier_check.obs_list_status }}</w:t>
      </w:r>
    </w:p>
    <w:p>
      <w:pPr>
        <w:pStyle w:val="ListParagraph"/>
        <w:numPr>
          <w:ilvl w:val="1"/>
          <w:numId w:val="14"/>
        </w:numPr>
        <w:bidi w:val="0"/>
        <w:jc w:val="start"/>
        <w:rPr/>
      </w:pPr>
      <w:r>
        <w:rPr>
          <w:b/>
        </w:rPr>
        <w:t>EUs Sanksjonsliste:</w:t>
      </w:r>
      <w:r>
        <w:rPr/>
        <w:t xml:space="preserve"> {{ supplier_check.sanctions_list_status }}</w:t>
      </w:r>
    </w:p>
    <w:p>
      <w:pPr>
        <w:pStyle w:val="ListParagraph"/>
        <w:numPr>
          <w:ilvl w:val="1"/>
          <w:numId w:val="15"/>
        </w:numPr>
        <w:bidi w:val="0"/>
        <w:jc w:val="start"/>
        <w:rPr/>
      </w:pPr>
      <w:r>
        <w:rPr>
          <w:b/>
        </w:rPr>
        <w:t>Detaljer:</w:t>
      </w:r>
      <w:r>
        <w:rPr/>
        <w:t xml:space="preserve"> {{ supplier_check.findings_summary | default("Ingen funn.")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————————</w:t>
      </w:r>
    </w:p>
    <w:p>
      <w:pPr>
        <w:pStyle w:val="Normal"/>
        <w:bidi w:val="0"/>
        <w:jc w:val="start"/>
        <w:rPr/>
      </w:pPr>
      <w:r>
        <w:rPr/>
        <w:t>{{ /if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 Vurdering og Anvendelige Krav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Basert på en analyse av anskaffelsen, gjelder følgende overordnede krav og vurderinger.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Quote"/>
        <w:bidi w:val="0"/>
        <w:rPr/>
      </w:pPr>
      <w:r>
        <w:rPr>
          <w:b/>
        </w:rPr>
        <w:t>HOVEDKONKLUSJON:</w:t>
      </w:r>
    </w:p>
    <w:p>
      <w:pPr>
        <w:pStyle w:val="Quote"/>
        <w:bidi w:val="0"/>
        <w:rPr/>
      </w:pPr>
      <w:r>
        <w:rPr/>
        <w:t>{{ dynamic_summary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Detaljert kravliste:</w:t>
      </w:r>
    </w:p>
    <w:p>
      <w:pPr>
        <w:pStyle w:val="Normal"/>
        <w:bidi w:val="0"/>
        <w:jc w:val="start"/>
        <w:rPr/>
      </w:pPr>
      <w:r>
        <w:rPr/>
      </w:r>
    </w:p>
    <w:tbl>
      <w:tblPr>
        <w:tblStyle w:val="TableGrid"/>
        <w:tblW w:w="1803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VBand="1" w:noHBand="0" w:lastColumn="0" w:firstColumn="1" w:lastRow="0" w:firstRow="1"/>
      </w:tblPr>
      <w:tblGrid>
        <w:gridCol w:w="4508"/>
        <w:gridCol w:w="4508"/>
        <w:gridCol w:w="4508"/>
        <w:gridCol w:w="4507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bidi="ar-SA"/>
              </w:rPr>
              <w:t>Kravkode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bidi="ar-SA"/>
              </w:rPr>
              <w:t>Navn</w:t>
            </w:r>
          </w:p>
        </w:tc>
        <w:tc>
          <w:tcPr>
            <w:tcW w:w="4508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bidi="ar-SA"/>
              </w:rPr>
              <w:t>Kilde</w:t>
            </w:r>
          </w:p>
        </w:tc>
        <w:tc>
          <w:tcPr>
            <w:tcW w:w="4507" w:type="dxa"/>
            <w:tcBorders/>
          </w:tcPr>
          <w:p>
            <w:pPr>
              <w:pStyle w:val="Normal"/>
              <w:widowControl/>
              <w:bidi w:val="0"/>
              <w:spacing w:before="0" w:after="0"/>
              <w:jc w:val="start"/>
              <w:rPr>
                <w:kern w:val="0"/>
                <w:sz w:val="24"/>
                <w:szCs w:val="24"/>
                <w:lang w:val="en-US" w:bidi="ar-SA"/>
              </w:rPr>
            </w:pPr>
            <w:r>
              <w:rPr>
                <w:b/>
                <w:kern w:val="0"/>
                <w:sz w:val="24"/>
                <w:szCs w:val="24"/>
                <w:lang w:val="en-US" w:bidi="ar-SA"/>
              </w:rPr>
              <w:t>Kategori</w:t>
            </w:r>
          </w:p>
        </w:tc>
      </w:tr>
    </w:tbl>
    <w:p>
      <w:pPr>
        <w:pStyle w:val="Normal"/>
        <w:bidi w:val="0"/>
        <w:jc w:val="start"/>
        <w:rPr/>
      </w:pPr>
      <w:r>
        <w:rPr/>
        <w:t xml:space="preserve">   </w:t>
      </w:r>
      <w:r>
        <w:rPr/>
        <w:t>{{ #each assessment.applicable_requirements }}</w:t>
      </w:r>
    </w:p>
    <w:p>
      <w:pPr>
        <w:pStyle w:val="Normal"/>
        <w:bidi w:val="0"/>
        <w:jc w:val="start"/>
        <w:rPr/>
      </w:pPr>
      <w:r>
        <w:rPr/>
        <w:t>| [{{ this.code }}] | {{ this.name }}                     | {{ this.source }}        | {{ this.category }} |</w:t>
      </w:r>
    </w:p>
    <w:p>
      <w:pPr>
        <w:pStyle w:val="Normal"/>
        <w:bidi w:val="0"/>
        <w:jc w:val="start"/>
        <w:rPr/>
      </w:pPr>
      <w:r>
        <w:rPr/>
        <w:t>{{ /each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————————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4. Spesialistvurderinger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4.1. Aktsomhetsvurderinger i Leverandørkjeden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 analyse av risiko for brudd på grunnleggende rettigheter i leverandørkjeden er utført: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6"/>
        </w:numPr>
        <w:bidi w:val="0"/>
        <w:jc w:val="start"/>
        <w:rPr/>
      </w:pPr>
      <w:r>
        <w:rPr>
          <w:b/>
        </w:rPr>
        <w:t>Menneskerettigheter og Folkerett:</w:t>
      </w:r>
    </w:p>
    <w:p>
      <w:pPr>
        <w:pStyle w:val="ListParagraph"/>
        <w:numPr>
          <w:ilvl w:val="1"/>
          <w:numId w:val="17"/>
        </w:numPr>
        <w:bidi w:val="0"/>
        <w:jc w:val="start"/>
        <w:rPr/>
      </w:pPr>
      <w:r>
        <w:rPr>
          <w:b/>
        </w:rPr>
        <w:t>Risikonivå:</w:t>
      </w:r>
      <w:r>
        <w:rPr/>
        <w:t xml:space="preserve"> </w:t>
      </w:r>
      <w:r>
        <w:rPr>
          <w:color w:val="424242"/>
        </w:rPr>
        <w:t>{{ human_rights.risk_level | default("Ikke vurdert") }}</w:t>
      </w:r>
    </w:p>
    <w:p>
      <w:pPr>
        <w:pStyle w:val="ListParagraph"/>
        <w:numPr>
          <w:ilvl w:val="1"/>
          <w:numId w:val="18"/>
        </w:numPr>
        <w:bidi w:val="0"/>
        <w:jc w:val="start"/>
        <w:rPr/>
      </w:pPr>
      <w:r>
        <w:rPr>
          <w:b/>
        </w:rPr>
        <w:t>Begrunnelse:</w:t>
      </w:r>
      <w:r>
        <w:rPr/>
        <w:t xml:space="preserve"> </w:t>
      </w:r>
      <w:r>
        <w:rPr>
          <w:i/>
        </w:rPr>
        <w:t>{{ human_rights.justification | default("Ingen begrunnelse tilgjengelig.")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19"/>
        </w:numPr>
        <w:bidi w:val="0"/>
        <w:jc w:val="start"/>
        <w:rPr/>
      </w:pPr>
      <w:r>
        <w:rPr>
          <w:b/>
        </w:rPr>
        <w:t>Korrupsjon:</w:t>
      </w:r>
    </w:p>
    <w:p>
      <w:pPr>
        <w:pStyle w:val="ListParagraph"/>
        <w:numPr>
          <w:ilvl w:val="1"/>
          <w:numId w:val="20"/>
        </w:numPr>
        <w:bidi w:val="0"/>
        <w:jc w:val="start"/>
        <w:rPr/>
      </w:pPr>
      <w:r>
        <w:rPr>
          <w:b/>
        </w:rPr>
        <w:t>Risikonivå:</w:t>
      </w:r>
      <w:r>
        <w:rPr/>
        <w:t xml:space="preserve"> </w:t>
      </w:r>
      <w:r>
        <w:rPr>
          <w:color w:val="424242"/>
        </w:rPr>
        <w:t>{{ corruption.risk_level | default("Ikke vurdert") }}</w:t>
      </w:r>
    </w:p>
    <w:p>
      <w:pPr>
        <w:pStyle w:val="ListParagraph"/>
        <w:numPr>
          <w:ilvl w:val="1"/>
          <w:numId w:val="21"/>
        </w:numPr>
        <w:bidi w:val="0"/>
        <w:jc w:val="start"/>
        <w:rPr/>
      </w:pPr>
      <w:r>
        <w:rPr>
          <w:b/>
        </w:rPr>
        <w:t>Begrunnelse:</w:t>
      </w:r>
      <w:r>
        <w:rPr/>
        <w:t xml:space="preserve"> </w:t>
      </w:r>
      <w:r>
        <w:rPr>
          <w:i/>
        </w:rPr>
        <w:t>{{ corruption.justification | default("Ingen begrunnelse tilgjengelig.")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22"/>
        </w:numPr>
        <w:bidi w:val="0"/>
        <w:jc w:val="start"/>
        <w:rPr/>
      </w:pPr>
      <w:r>
        <w:rPr>
          <w:b/>
        </w:rPr>
        <w:t>Miljøødeleggelse:</w:t>
      </w:r>
    </w:p>
    <w:p>
      <w:pPr>
        <w:pStyle w:val="ListParagraph"/>
        <w:numPr>
          <w:ilvl w:val="1"/>
          <w:numId w:val="23"/>
        </w:numPr>
        <w:bidi w:val="0"/>
        <w:jc w:val="start"/>
        <w:rPr/>
      </w:pPr>
      <w:r>
        <w:rPr>
          <w:b/>
        </w:rPr>
        <w:t>Risikonivå:</w:t>
      </w:r>
      <w:r>
        <w:rPr/>
        <w:t xml:space="preserve"> </w:t>
      </w:r>
      <w:r>
        <w:rPr>
          <w:color w:val="424242"/>
        </w:rPr>
        <w:t>{{ environment.risk_level | default("Ikke vurdert") }}</w:t>
      </w:r>
    </w:p>
    <w:p>
      <w:pPr>
        <w:pStyle w:val="ListParagraph"/>
        <w:numPr>
          <w:ilvl w:val="1"/>
          <w:numId w:val="24"/>
        </w:numPr>
        <w:bidi w:val="0"/>
        <w:jc w:val="start"/>
        <w:rPr/>
      </w:pPr>
      <w:r>
        <w:rPr>
          <w:b/>
        </w:rPr>
        <w:t>Begrunnelse:</w:t>
      </w:r>
      <w:r>
        <w:rPr/>
        <w:t xml:space="preserve"> </w:t>
      </w:r>
      <w:r>
        <w:rPr>
          <w:i/>
        </w:rPr>
        <w:t>{{ environment.justification | default("Ingen begrunnelse tilgjengelig.")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Konsekvens:</w:t>
      </w:r>
      <w:r>
        <w:rPr/>
        <w:t xml:space="preserve"> Disse risikovurderingene har ført til at </w:t>
      </w:r>
      <w:r>
        <w:rPr>
          <w:b/>
        </w:rPr>
        <w:t>{{ list_of_due_diligence_requirements }}</w:t>
      </w:r>
      <w:r>
        <w:rPr/>
        <w:t xml:space="preserve"> er aktivert.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4.2. Krav til Bruk av Lærlinger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#if apprentice.is_applicable }}</w:t>
      </w:r>
    </w:p>
    <w:p>
      <w:pPr>
        <w:pStyle w:val="Normal"/>
        <w:bidi w:val="0"/>
        <w:jc w:val="start"/>
        <w:rPr/>
      </w:pPr>
      <w:r>
        <w:rPr/>
        <w:t>En analyse viser at anskaffelsen er egnet for bruk av lærlinger.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25"/>
        </w:numPr>
        <w:bidi w:val="0"/>
        <w:jc w:val="start"/>
        <w:rPr/>
      </w:pPr>
      <w:r>
        <w:rPr>
          <w:b/>
        </w:rPr>
        <w:t>Relevante Fagområder:</w:t>
      </w:r>
    </w:p>
    <w:p>
      <w:pPr>
        <w:pStyle w:val="ListParagraph"/>
        <w:numPr>
          <w:ilvl w:val="1"/>
          <w:numId w:val="26"/>
        </w:numPr>
        <w:bidi w:val="0"/>
        <w:jc w:val="start"/>
        <w:rPr/>
      </w:pPr>
      <w:r>
        <w:rPr/>
        <w:t>{{ apprentice.trade_list }}</w:t>
      </w:r>
    </w:p>
    <w:p>
      <w:pPr>
        <w:pStyle w:val="ListParagraph"/>
        <w:numPr>
          <w:ilvl w:val="0"/>
          <w:numId w:val="27"/>
        </w:numPr>
        <w:bidi w:val="0"/>
        <w:jc w:val="start"/>
        <w:rPr/>
      </w:pPr>
      <w:r>
        <w:rPr>
          <w:b/>
        </w:rPr>
        <w:t>Konsekvens:</w:t>
      </w:r>
      <w:r>
        <w:rPr/>
        <w:t xml:space="preserve"> </w:t>
      </w:r>
      <w:r>
        <w:rPr>
          <w:b/>
        </w:rPr>
        <w:t>Krav V (Krav til bruk av lærlinger)</w:t>
      </w:r>
      <w:r>
        <w:rPr/>
        <w:t xml:space="preserve"> er aktivert for denne anskaffelsen.</w:t>
      </w:r>
    </w:p>
    <w:p>
      <w:pPr>
        <w:pStyle w:val="Normal"/>
        <w:bidi w:val="0"/>
        <w:jc w:val="start"/>
        <w:rPr/>
      </w:pPr>
      <w:r>
        <w:rPr/>
        <w:t>{{ #else }}</w:t>
      </w:r>
    </w:p>
    <w:p>
      <w:pPr>
        <w:pStyle w:val="Normal"/>
        <w:bidi w:val="0"/>
        <w:jc w:val="start"/>
        <w:rPr/>
      </w:pPr>
      <w:r>
        <w:rPr/>
        <w:t>Anskaffelsen oppfyller ikke vilkårene for å stille krav om bruk av lærlinger.</w:t>
      </w:r>
    </w:p>
    <w:p>
      <w:pPr>
        <w:pStyle w:val="Normal"/>
        <w:bidi w:val="0"/>
        <w:jc w:val="start"/>
        <w:rPr/>
      </w:pPr>
      <w:r>
        <w:rPr/>
        <w:t>{{ /if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————————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 Veiledning for Videre Prosess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For å sikre en korrekt og effektiv prosess, anbefales følgende trinn i henhold til Oslobyggs "</w:t>
      </w:r>
      <w:hyperlink r:id="rId3">
        <w:r>
          <w:rPr>
            <w:rStyle w:val="Hyperlink"/>
          </w:rPr>
          <w:t>Prosedyre for enkeltanskaffelser (836-13)</w:t>
        </w:r>
      </w:hyperlink>
      <w:r>
        <w:rPr/>
        <w:t>":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#if procurement.supplier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>
          <w:color w:val="424242"/>
        </w:rPr>
        <w:t>&lt;!-- ****** Logikk når leverandør ER valgt ****** --&gt;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#### </w:t>
      </w:r>
      <w:r>
        <w:rPr>
          <w:b/>
        </w:rPr>
        <w:t>Fase 1: Vurdering av Direkteanskaffelse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1: Vurder Konkurranseplikt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#if procurement.value &gt; 100000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ADVARSEL:</w:t>
      </w:r>
      <w:r>
        <w:rPr/>
        <w:t xml:space="preserve"> Anskaffelsens verdi er over 100.000 kr. Hovedregelen er at konkurranse skal gjennomføres for å sikre effektiv ressursbruk. En direkte tildeling til </w:t>
      </w:r>
      <w:r>
        <w:rPr>
          <w:b/>
        </w:rPr>
        <w:t>{{ supplier_details.name }}</w:t>
      </w:r>
      <w:r>
        <w:rPr/>
        <w:t xml:space="preserve"> krever en særskilt begrunnelse.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#if procurement.value &gt; 500000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KRITISK:</w:t>
      </w:r>
      <w:r>
        <w:rPr/>
        <w:t xml:space="preserve"> Anskaffelsen er over 500.000 kr. Direkte tildeling er normalt ikke tillatt og krever at vilkårene for unntak fra kunngjøring er oppfylt (f.eks. enerett). </w:t>
      </w:r>
      <w:r>
        <w:rPr>
          <w:b/>
        </w:rPr>
        <w:t>Kontakt Juridisk avdeling umiddelbart</w:t>
      </w:r>
      <w:r>
        <w:rPr/>
        <w:t xml:space="preserve"> før du går videre.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/if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Du må dokumentere hvorfor konkurranse ikke er gjennomført i anskaffelsesprotokollen (se Trinn 3). Gyldige grunner kan være teknisk eksklusivitet, uforutsette omstendigheter, eller at verdien er så lav at konkurranse er uforholdsmessig.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#else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Anskaffelsens verdi er under 100.000 kr. Direkte tildeling til </w:t>
      </w:r>
      <w:r>
        <w:rPr>
          <w:b/>
        </w:rPr>
        <w:t>{{ supplier_details.name }}</w:t>
      </w:r>
      <w:r>
        <w:rPr/>
        <w:t xml:space="preserve"> er normalt akseptabelt. Protokoll er ikke påkrevd.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/if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2: Gjennomfør Habilitetsvurdering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Selv ved direkte tildeling, må habiliteten til de involverte i Oslobygg vurderes.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Bruk:</w:t>
      </w:r>
      <w:r>
        <w:rPr/>
        <w:t xml:space="preserve"> </w:t>
      </w:r>
      <w:hyperlink r:id="rId4">
        <w:r>
          <w:rPr>
            <w:rStyle w:val="Hyperlink"/>
          </w:rPr>
          <w:t>Veiledning habilitetsvurdering</w:t>
        </w:r>
      </w:hyperlink>
      <w:r>
        <w:rPr/>
        <w:t xml:space="preserve"> og </w:t>
      </w:r>
      <w:hyperlink r:id="rId5">
        <w:r>
          <w:rPr>
            <w:rStyle w:val="Hyperlink"/>
          </w:rPr>
          <w:t>Skjema for habilitetsvurdering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#### </w:t>
      </w:r>
      <w:r>
        <w:rPr>
          <w:b/>
        </w:rPr>
        <w:t>Fase 2: Kontrakt og Protokoll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3: Opprett og Fyll ut Anskaffelsesprotokoll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Det skal føres protokoll for alle anskaffelser over 100.000 kr.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Spesielt viktig her:</w:t>
      </w:r>
      <w:r>
        <w:rPr/>
        <w:t xml:space="preserve"> Begrunnelsen for valg av leverandør og hvorfor konkurranse eventuelt ikke ble avholdt, må dokumenteres grundig.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Bruk mal:</w:t>
      </w:r>
      <w:r>
        <w:rPr/>
        <w:t xml:space="preserve"> </w:t>
      </w:r>
      <w:hyperlink r:id="rId6">
        <w:r>
          <w:rPr>
            <w:rStyle w:val="Hyperlink"/>
          </w:rPr>
          <w:t>Protokoll for anskaffelse uten kunngjøring (ID: 999-4)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4: Inngå Kontrakt/Bestilling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#if procurement.value &gt; 500000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Det skal skrives en formell kontrakt. </w:t>
      </w:r>
      <w:r>
        <w:rPr>
          <w:b/>
        </w:rPr>
        <w:t>Innhent skatteattest</w:t>
      </w:r>
      <w:r>
        <w:rPr/>
        <w:t xml:space="preserve"> fra leverandøren (ikke eldre enn 6 mnd).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#else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Et signert bestillingsbrev er tilstrekkelig.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/if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Husk signaturrett:</w:t>
      </w:r>
      <w:r>
        <w:rPr/>
        <w:t xml:space="preserve"> Sørg for at riktig person hos leverandøren signerer (se punkt 2 over).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#else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>
          <w:color w:val="424242"/>
        </w:rPr>
        <w:t>&lt;!-- ****** Logikk når leverandør IKKE er valgt ****** --&gt;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#### </w:t>
      </w:r>
      <w:r>
        <w:rPr>
          <w:b/>
        </w:rPr>
        <w:t>Fase 1: Forberedelser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1: Kontroller Rammeavtaler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Før du starter en ny prosess, må du sjekke om behovet ditt allerede er dekket av en eksisterende rammeavtale eller samkjøpsavtale.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Sjekk her:</w:t>
      </w:r>
      <w:r>
        <w:rPr/>
        <w:t xml:space="preserve"> </w:t>
      </w:r>
      <w:hyperlink r:id="rId7">
        <w:r>
          <w:rPr>
            <w:rStyle w:val="Hyperlink"/>
          </w:rPr>
          <w:t>Samkjøpsavtaler A-Å (FEL)</w:t>
        </w:r>
      </w:hyperlink>
      <w:r>
        <w:rPr/>
        <w:t xml:space="preserve"> og </w:t>
      </w:r>
      <w:hyperlink r:id="rId8">
        <w:r>
          <w:rPr>
            <w:rStyle w:val="Hyperlink"/>
          </w:rPr>
          <w:t>Rammeavtaler i Oslobygg (OBF)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2: Gjennomfør Habilitetsvurdering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Alle involverte i anskaffelsen må vurdere sin habilitet.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Bruk:</w:t>
      </w:r>
      <w:r>
        <w:rPr/>
        <w:t xml:space="preserve"> </w:t>
      </w:r>
      <w:hyperlink r:id="rId9">
        <w:r>
          <w:rPr>
            <w:rStyle w:val="Hyperlink"/>
          </w:rPr>
          <w:t>Veiledning habilitetsvurdering</w:t>
        </w:r>
      </w:hyperlink>
      <w:r>
        <w:rPr/>
        <w:t xml:space="preserve"> og </w:t>
      </w:r>
      <w:hyperlink r:id="rId10">
        <w:r>
          <w:rPr>
            <w:rStyle w:val="Hyperlink"/>
          </w:rPr>
          <w:t>Skjema for habilitetsvurdering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#### </w:t>
      </w:r>
      <w:r>
        <w:rPr>
          <w:b/>
        </w:rPr>
        <w:t>Fase 2: Konkurranse og Dokumentasjon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3: Vurder Behov for Konkurranse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#if procurement.value &gt; 500000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For anskaffelser over 500.000 kr er konkurranse et krav. Hovedregelen er å invitere </w:t>
      </w:r>
      <w:r>
        <w:rPr>
          <w:b/>
        </w:rPr>
        <w:t>minimum 3 leverandører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#else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For anskaffelser under 500.000 kr er hovedregelen fortsatt at konkurranse skal arrangeres så langt det er mulig.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/if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4: Utarbeid Konkurransegrunnlag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Hvis du skal gjennomføre en konkurranse, bruk malen for tilbudsinnbydelse.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Bruk mal:</w:t>
      </w:r>
      <w:r>
        <w:rPr/>
        <w:t xml:space="preserve"> </w:t>
      </w:r>
      <w:hyperlink r:id="rId11">
        <w:r>
          <w:rPr>
            <w:rStyle w:val="Hyperlink"/>
          </w:rPr>
          <w:t>Tilbudsinnbydelse (ID: 1155-6)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5: Opprett og Før Anskaffelsesprotokoll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Det skal føres protokoll for alle anskaffelser over 100.000 kr.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</w:t>
      </w:r>
      <w:r>
        <w:rPr>
          <w:b/>
        </w:rPr>
        <w:t>Bruk mal:</w:t>
      </w:r>
      <w:r>
        <w:rPr/>
        <w:t xml:space="preserve"> </w:t>
      </w:r>
      <w:hyperlink r:id="rId12">
        <w:r>
          <w:rPr>
            <w:rStyle w:val="Hyperlink"/>
          </w:rPr>
          <w:t>Protokoll for anskaffelse uten kunngjøring (ID: 999-4)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#### </w:t>
      </w:r>
      <w:r>
        <w:rPr>
          <w:b/>
        </w:rPr>
        <w:t>Fase 3: Kontrakt</w:t>
      </w:r>
    </w:p>
    <w:p>
      <w:pPr>
        <w:pStyle w:val="Normal"/>
        <w:bidi w:val="0"/>
        <w:jc w:val="start"/>
        <w:rPr/>
      </w:pPr>
      <w:r>
        <w:rPr/>
        <w:t xml:space="preserve">    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 xml:space="preserve">*   </w:t>
      </w:r>
      <w:r>
        <w:rPr>
          <w:b/>
        </w:rPr>
        <w:t>[ ] Trinn 6: Utarbeid og Send Kontrakt/Bestillingsbrev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#if procurement.value &gt; 500000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*   Det skal skrives en formell kontrakt. </w:t>
      </w:r>
      <w:r>
        <w:rPr>
          <w:b/>
        </w:rPr>
        <w:t>Innhent skatteattest</w:t>
      </w:r>
      <w:r>
        <w:rPr/>
        <w:t xml:space="preserve"> fra valgt leverandør.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#else }}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*   Et signert bestillingsbrev er tilstrekkelig. Velg relevant mal under.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{{ /if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/if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————————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6. Ressurser og Sentrale Dokumenter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ListParagraph"/>
        <w:numPr>
          <w:ilvl w:val="0"/>
          <w:numId w:val="28"/>
        </w:numPr>
        <w:bidi w:val="0"/>
        <w:jc w:val="start"/>
        <w:rPr/>
      </w:pPr>
      <w:r>
        <w:rPr>
          <w:b/>
        </w:rPr>
        <w:t>Hovedprosedyre:</w:t>
      </w:r>
      <w:r>
        <w:rPr/>
        <w:t xml:space="preserve"> </w:t>
      </w:r>
      <w:hyperlink r:id="rId13">
        <w:r>
          <w:rPr>
            <w:rStyle w:val="Hyperlink"/>
          </w:rPr>
          <w:t>Prosedyre for enkeltanskaffelser (ID: 836-13)</w:t>
        </w:r>
      </w:hyperlink>
    </w:p>
    <w:p>
      <w:pPr>
        <w:pStyle w:val="ListParagraph"/>
        <w:numPr>
          <w:ilvl w:val="0"/>
          <w:numId w:val="29"/>
        </w:numPr>
        <w:bidi w:val="0"/>
        <w:jc w:val="start"/>
        <w:rPr/>
      </w:pPr>
      <w:r>
        <w:rPr>
          <w:b/>
        </w:rPr>
        <w:t>Protokollmal:</w:t>
      </w:r>
      <w:r>
        <w:rPr/>
        <w:t xml:space="preserve"> </w:t>
      </w:r>
      <w:hyperlink r:id="rId14">
        <w:r>
          <w:rPr>
            <w:rStyle w:val="Hyperlink"/>
          </w:rPr>
          <w:t>Protokoll (ID: 999-4)</w:t>
        </w:r>
      </w:hyperlink>
    </w:p>
    <w:p>
      <w:pPr>
        <w:pStyle w:val="ListParagraph"/>
        <w:numPr>
          <w:ilvl w:val="0"/>
          <w:numId w:val="30"/>
        </w:numPr>
        <w:bidi w:val="0"/>
        <w:jc w:val="start"/>
        <w:rPr/>
      </w:pPr>
      <w:r>
        <w:rPr>
          <w:b/>
        </w:rPr>
        <w:t>Tilbudsmal:</w:t>
      </w:r>
      <w:r>
        <w:rPr/>
        <w:t xml:space="preserve"> </w:t>
      </w:r>
      <w:hyperlink r:id="rId15">
        <w:r>
          <w:rPr>
            <w:rStyle w:val="Hyperlink"/>
          </w:rPr>
          <w:t>Tilbudsinnbydelse (ID: 1155-6)</w:t>
        </w:r>
      </w:hyperlink>
    </w:p>
    <w:p>
      <w:pPr>
        <w:pStyle w:val="ListParagraph"/>
        <w:numPr>
          <w:ilvl w:val="0"/>
          <w:numId w:val="31"/>
        </w:numPr>
        <w:bidi w:val="0"/>
        <w:jc w:val="start"/>
        <w:rPr/>
      </w:pPr>
      <w:r>
        <w:rPr>
          <w:b/>
        </w:rPr>
        <w:t>Bestillingsbrev (Varer):</w:t>
      </w:r>
      <w:r>
        <w:rPr/>
        <w:t xml:space="preserve"> </w:t>
      </w:r>
      <w:hyperlink r:id="rId16">
        <w:r>
          <w:rPr>
            <w:rStyle w:val="Hyperlink"/>
          </w:rPr>
          <w:t>Mal (ID: 1606-1)</w:t>
        </w:r>
      </w:hyperlink>
    </w:p>
    <w:p>
      <w:pPr>
        <w:pStyle w:val="ListParagraph"/>
        <w:numPr>
          <w:ilvl w:val="0"/>
          <w:numId w:val="32"/>
        </w:numPr>
        <w:bidi w:val="0"/>
        <w:jc w:val="start"/>
        <w:rPr/>
      </w:pPr>
      <w:r>
        <w:rPr>
          <w:b/>
        </w:rPr>
        <w:t>Bestillingsbrev (Tjenester):</w:t>
      </w:r>
      <w:r>
        <w:rPr/>
        <w:t xml:space="preserve"> </w:t>
      </w:r>
      <w:hyperlink r:id="rId17">
        <w:r>
          <w:rPr>
            <w:rStyle w:val="Hyperlink"/>
          </w:rPr>
          <w:t>Mal (ID: 1605-1)</w:t>
        </w:r>
      </w:hyperlink>
    </w:p>
    <w:p>
      <w:pPr>
        <w:pStyle w:val="ListParagraph"/>
        <w:numPr>
          <w:ilvl w:val="0"/>
          <w:numId w:val="33"/>
        </w:numPr>
        <w:bidi w:val="0"/>
        <w:jc w:val="start"/>
        <w:rPr/>
      </w:pPr>
      <w:r>
        <w:rPr>
          <w:b/>
        </w:rPr>
        <w:t>Bestillingsbrev (Bygg/Anlegg):</w:t>
      </w:r>
      <w:r>
        <w:rPr/>
        <w:t xml:space="preserve"> </w:t>
      </w:r>
      <w:hyperlink r:id="rId18">
        <w:r>
          <w:rPr>
            <w:rStyle w:val="Hyperlink"/>
          </w:rPr>
          <w:t>Mal (ID: 1604-1)</w:t>
        </w:r>
      </w:hyperlink>
    </w:p>
    <w:p>
      <w:pPr>
        <w:pStyle w:val="ListParagraph"/>
        <w:numPr>
          <w:ilvl w:val="0"/>
          <w:numId w:val="34"/>
        </w:numPr>
        <w:bidi w:val="0"/>
        <w:jc w:val="start"/>
        <w:rPr/>
      </w:pPr>
      <w:r>
        <w:rPr>
          <w:b/>
        </w:rPr>
        <w:t>Fullmakter:</w:t>
      </w:r>
      <w:r>
        <w:rPr/>
        <w:t xml:space="preserve"> </w:t>
      </w:r>
      <w:hyperlink r:id="rId19">
        <w:r>
          <w:rPr>
            <w:rStyle w:val="Hyperlink"/>
          </w:rPr>
          <w:t>Fullmaktsmatrise Oslobygg KF (ID: 634-14)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————————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 Kontakt og Forbehold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Denne veiledningen er generert automatisk og er ment som en støtte. Den erstatter ikke behovet for faglige og forretningsmessige vurderinger.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</w:rPr>
        <w:t>Er du usikker på noe?</w:t>
      </w:r>
    </w:p>
    <w:p>
      <w:pPr>
        <w:pStyle w:val="Normal"/>
        <w:bidi w:val="0"/>
        <w:jc w:val="start"/>
        <w:rPr/>
      </w:pPr>
      <w:r>
        <w:rPr>
          <w:b/>
        </w:rPr>
        <w:t>Kontakt alltid Juridisk avdeling (Jur) for bistand.</w:t>
      </w:r>
      <w:r>
        <w:rPr/>
        <w:t xml:space="preserve"> De kan hjelpe med alt fra konkurranse-vurderinger til valg av riktig kontraktsmal.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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"/>
      <w:lvlJc w:val="start"/>
      <w:pPr>
        <w:tabs>
          <w:tab w:val="num" w:pos="0"/>
        </w:tabs>
        <w:ind w:start="360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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start"/>
      <w:pPr>
        <w:tabs>
          <w:tab w:val="num" w:pos="0"/>
        </w:tabs>
        <w:ind w:star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ans CN Regular" w:cs="Lohit Devanagari"/>
        <w:kern w:val="2"/>
        <w:sz w:val="24"/>
        <w:szCs w:val="24"/>
        <w:lang w:val="nb-N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Source Han Sans CN Regular" w:cs="Lohit Devanagari"/>
      <w:color w:val="auto"/>
      <w:kern w:val="2"/>
      <w:sz w:val="24"/>
      <w:szCs w:val="24"/>
      <w:lang w:val="nb-NO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1D99F3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Title">
    <w:name w:val="Title"/>
    <w:basedOn w:val="Heading"/>
    <w:next w:val="Subtitle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Quote">
    <w:name w:val="Quote"/>
    <w:basedOn w:val="Normal"/>
    <w:next w:val="Normal"/>
    <w:qFormat/>
    <w:pPr>
      <w:spacing w:before="200" w:after="160"/>
      <w:ind w:start="864" w:end="864"/>
      <w:jc w:val="center"/>
    </w:pPr>
    <w:rPr>
      <w:iCs/>
      <w:color w:themeColor="text1" w:themeTint="bf" w:val="555C6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procurement.id" TargetMode="External"/><Relationship Id="rId3" Type="http://schemas.openxmlformats.org/officeDocument/2006/relationships/hyperlink" Target="https://tqm3.tqmenterprise.no/oslobygg/Publishing/Document/LoadLocalContent/836" TargetMode="External"/><Relationship Id="rId4" Type="http://schemas.openxmlformats.org/officeDocument/2006/relationships/hyperlink" Target="https://..." TargetMode="External"/><Relationship Id="rId5" Type="http://schemas.openxmlformats.org/officeDocument/2006/relationships/hyperlink" Target="https://..." TargetMode="External"/><Relationship Id="rId6" Type="http://schemas.openxmlformats.org/officeDocument/2006/relationships/hyperlink" Target="https://tqm3.tqmenterprise.no/oslobygg/Publishing/Document/LoadLocalContent/999" TargetMode="External"/><Relationship Id="rId7" Type="http://schemas.openxmlformats.org/officeDocument/2006/relationships/hyperlink" Target="https://..." TargetMode="External"/><Relationship Id="rId8" Type="http://schemas.openxmlformats.org/officeDocument/2006/relationships/hyperlink" Target="https://..." TargetMode="External"/><Relationship Id="rId9" Type="http://schemas.openxmlformats.org/officeDocument/2006/relationships/hyperlink" Target="https://..." TargetMode="External"/><Relationship Id="rId10" Type="http://schemas.openxmlformats.org/officeDocument/2006/relationships/hyperlink" Target="https://..." TargetMode="External"/><Relationship Id="rId11" Type="http://schemas.openxmlformats.org/officeDocument/2006/relationships/hyperlink" Target="https://tqm3.tqmenterprise.no/oslobygg/Publishing/Document/LoadLocalContent/1155" TargetMode="External"/><Relationship Id="rId12" Type="http://schemas.openxmlformats.org/officeDocument/2006/relationships/hyperlink" Target="https://tqm3.tqmenterprise.no/oslobygg/Publishing/Document/LoadLocalContent/999" TargetMode="External"/><Relationship Id="rId13" Type="http://schemas.openxmlformats.org/officeDocument/2006/relationships/hyperlink" Target="https://tqm3.tqmenterprise.no/oslobygg/Publishing/Document/LoadLocalContent/836" TargetMode="External"/><Relationship Id="rId14" Type="http://schemas.openxmlformats.org/officeDocument/2006/relationships/hyperlink" Target="https://tqm3.tqmenterprise.no/oslobygg/Publishing/Document/LoadLocalContent/999" TargetMode="External"/><Relationship Id="rId15" Type="http://schemas.openxmlformats.org/officeDocument/2006/relationships/hyperlink" Target="https://tqm3.tqmenterprise.no/oslobygg/Publishing/Document/LoadLocalContent/1155" TargetMode="External"/><Relationship Id="rId16" Type="http://schemas.openxmlformats.org/officeDocument/2006/relationships/hyperlink" Target="https://..." TargetMode="External"/><Relationship Id="rId17" Type="http://schemas.openxmlformats.org/officeDocument/2006/relationships/hyperlink" Target="https://..." TargetMode="External"/><Relationship Id="rId18" Type="http://schemas.openxmlformats.org/officeDocument/2006/relationships/hyperlink" Target="https://..." TargetMode="External"/><Relationship Id="rId19" Type="http://schemas.openxmlformats.org/officeDocument/2006/relationships/hyperlink" Target="https://..." TargetMode="Externa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</TotalTime>
  <Application>LibreOffice/25.2.4.3$MacOSX_AARCH64 LibreOffice_project/33e196637044ead23f5c3226cde09b47731f7e27</Application>
  <AppVersion>15.0000</AppVersion>
  <Pages>5</Pages>
  <Words>1066</Words>
  <Characters>6565</Characters>
  <CharactersWithSpaces>7931</CharactersWithSpaces>
  <Paragraphs>147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2025-09-02T20:39:55Z</dcterms:created>
  <dc:creator/>
  <dc:description/>
  <dc:language>nb-NO</dc:language>
  <cp:lastModifiedBy/>
  <dcterms:modified xsi:type="dcterms:W3CDTF">2025-09-02T20:41:28Z</dcterms:modified>
  <cp:revision>2</cp:revision>
  <dc:subject/>
  <dc:title>Default</dc:title>
</cp:coreProperties>
</file>