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ANSKAFFELSESPROTOKOLL — OSL0004</w:t>
      </w:r>
    </w:p>
    <w:p>
      <w:r>
        <w:rPr>
          <w:color w:val="666666"/>
          <w:sz w:val="18"/>
        </w:rPr>
        <w:t xml:space="preserve">Generert fra API-data 27.02.2026. </w:t>
      </w:r>
      <w:r>
        <w:rPr>
          <w:i/>
          <w:color w:val="996600"/>
          <w:sz w:val="18"/>
          <w:shd w:val="clear" w:color="auto" w:fill="FFFF00"/>
        </w:rPr>
        <w:t>Felter med gul bakgrunn krever manuell utfylling.</w:t>
      </w:r>
    </w:p>
    <w:p>
      <w:pPr>
        <w:pStyle w:val="Heading2"/>
      </w:pPr>
      <w:r>
        <w:t>Generell informasjon</w:t>
      </w:r>
    </w:p>
    <w:tbl>
      <w:tblPr>
        <w:tblStyle w:val="TableGrid"/>
        <w:tblW w:type="auto" w:w="0"/>
        <w:tblLook w:firstColumn="1" w:firstRow="1" w:lastColumn="0" w:lastRow="0" w:noHBand="0" w:noVBand="1" w:val="04A0"/>
      </w:tblPr>
      <w:tblGrid>
        <w:gridCol w:w="4986"/>
        <w:gridCol w:w="4986"/>
      </w:tblGrid>
      <w:tr>
        <w:tc>
          <w:tcPr>
            <w:tcW w:type="dxa" w:w="3402"/>
          </w:tcPr>
          <w:p>
            <w:r/>
            <w:r>
              <w:rPr>
                <w:b/>
              </w:rPr>
              <w:t>Konkurransens saksnummer:</w:t>
            </w:r>
          </w:p>
        </w:tc>
        <w:tc>
          <w:tcPr>
            <w:tcW w:type="dxa" w:w="6236"/>
          </w:tcPr>
          <w:p>
            <w:r>
              <w:t>OSL0004 (ekstern ref: 25/5894)</w:t>
            </w:r>
          </w:p>
        </w:tc>
      </w:tr>
      <w:tr>
        <w:tc>
          <w:tcPr>
            <w:tcW w:type="dxa" w:w="3402"/>
          </w:tcPr>
          <w:p>
            <w:r/>
            <w:r>
              <w:rPr>
                <w:b/>
              </w:rPr>
              <w:t>Oppdragsgiver(e):</w:t>
            </w:r>
          </w:p>
        </w:tc>
        <w:tc>
          <w:tcPr>
            <w:tcW w:type="dxa" w:w="6236"/>
          </w:tcPr>
          <w:p>
            <w:r>
              <w:t>Oslobygg Kf (org.nr. 924599545)</w:t>
            </w:r>
          </w:p>
        </w:tc>
      </w:tr>
      <w:tr>
        <w:tc>
          <w:tcPr>
            <w:tcW w:type="dxa" w:w="3402"/>
          </w:tcPr>
          <w:p>
            <w:r/>
            <w:r>
              <w:rPr>
                <w:b/>
              </w:rPr>
              <w:t>Protokollfører/saksbehandler:</w:t>
            </w:r>
          </w:p>
        </w:tc>
        <w:tc>
          <w:tcPr>
            <w:tcW w:type="dxa" w:w="6236"/>
          </w:tcPr>
          <w:p>
            <w:r>
              <w:t>Ole-Einar Vean</w:t>
            </w:r>
          </w:p>
        </w:tc>
      </w:tr>
      <w:tr>
        <w:tc>
          <w:tcPr>
            <w:tcW w:type="dxa" w:w="3402"/>
          </w:tcPr>
          <w:p>
            <w:r/>
            <w:r>
              <w:rPr>
                <w:b/>
              </w:rPr>
              <w:t>Beskrivelse av anskaffelsen:</w:t>
            </w:r>
          </w:p>
        </w:tc>
        <w:tc>
          <w:tcPr>
            <w:tcW w:type="dxa" w:w="6236"/>
          </w:tcPr>
          <w:p>
            <w:r>
              <w:t>Rammeavtale for manuelt slokkeutstyr. Formål og omfang Tjenesten skal dekke Oslobygg sitt behov for årlig, periodisk kontroll. Vedlikehold og service av manuelt slokkeutstyr, samt innkjøp og utskiftning av manuelt slokkeutstyr. Rammeavtalens hovedområde er kontroll og service, men omfatter også levering av nytt slokkeutstyr når eksisterende utstyr må erstattes, eller det er behov for ytterligere utstyr. Rammeavtalen skal sikre at Oslobyggs manuelle brannslokkeutstyr blir kontrollert og vedlikeholdt og innbefatter utbedring/installasjon av håndslokkere og brannslanger, destruksjon av håndslokkere/avfallshåndtering, kontroll/oppsett av plogskilt og alle arbeidsoperasjoner som er nødvendig for at utstyret skal fungere slik det er forutsatt. Oslobygg har ca. 2,8 millioner kvadratmeter eiendom og stadig nye prosjekter i porteføljen. Det er for tiden håndslukkere og brannslanger i mer enn 714 eiendommer og 1119 bygg. Vedlagt følger oversikt over antatt antall slokkeutstyr på hver enkelt eiendom/bygning, vedlegg 7. Våre eiendommer har mer enn 4530 brannslanger og 5690 håndslokkere. Oversikten er ikke uttømmende, og det må tas høyde for at det kan være utstyr og eiendommer som ikke er i oversikten. Oppdragsgiver gjør oppmerksom på at estimert verdi er basert på historisk data og forventet fremtidig behov . Estimatet er kun retningsgivende og innebærer ingen forpliktelse for Oppdragsgiver.</w:t>
            </w:r>
          </w:p>
        </w:tc>
      </w:tr>
      <w:tr>
        <w:tc>
          <w:tcPr>
            <w:tcW w:type="dxa" w:w="3402"/>
          </w:tcPr>
          <w:p>
            <w:r/>
            <w:r>
              <w:rPr>
                <w:b/>
              </w:rPr>
              <w:t>Anskaffelsens anslåtte verdi på kunngjøringstidspunktet:</w:t>
            </w:r>
          </w:p>
        </w:tc>
        <w:tc>
          <w:tcPr>
            <w:tcW w:type="dxa" w:w="6236"/>
          </w:tcPr>
          <w:p>
            <w:r>
              <w:t>18 000 000 NOK</w:t>
            </w:r>
          </w:p>
        </w:tc>
      </w:tr>
      <w:tr>
        <w:tc>
          <w:tcPr>
            <w:tcW w:type="dxa" w:w="3402"/>
          </w:tcPr>
          <w:p>
            <w:r/>
            <w:r>
              <w:rPr>
                <w:b/>
              </w:rPr>
              <w:t>Kontraktens varighet:</w:t>
            </w:r>
          </w:p>
        </w:tc>
        <w:tc>
          <w:tcPr>
            <w:tcW w:type="dxa" w:w="6236"/>
          </w:tcPr>
          <w:p>
            <w:r>
              <w:t>48 måneder</w:t>
            </w:r>
          </w:p>
        </w:tc>
      </w:tr>
      <w:tr>
        <w:tc>
          <w:tcPr>
            <w:tcW w:type="dxa" w:w="3402"/>
          </w:tcPr>
          <w:p>
            <w:r/>
            <w:r>
              <w:rPr>
                <w:b/>
              </w:rPr>
              <w:t>Frist for innlevering av tilbud:</w:t>
            </w:r>
          </w:p>
        </w:tc>
        <w:tc>
          <w:tcPr>
            <w:tcW w:type="dxa" w:w="6236"/>
          </w:tcPr>
          <w:p>
            <w:r>
              <w:t>02.01.2026, kl. 11:00</w:t>
            </w:r>
          </w:p>
        </w:tc>
      </w:tr>
    </w:tbl>
    <w:p>
      <w:r>
        <w:rPr>
          <w:b/>
        </w:rPr>
        <w:t>Tidspunkt for mottak av tilbud:</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rPr>
              <w:t>Leverandørens navn</w:t>
            </w:r>
          </w:p>
        </w:tc>
        <w:tc>
          <w:tcPr>
            <w:tcW w:type="dxa" w:w="4986"/>
            <w:shd w:val="clear" w:color="auto" w:fill="F2F2F2"/>
          </w:tcPr>
          <w:p>
            <w:r/>
            <w:r>
              <w:rPr>
                <w:b/>
              </w:rPr>
              <w:t>Tidspunkt for mottak</w:t>
            </w:r>
          </w:p>
        </w:tc>
      </w:tr>
      <w:tr>
        <w:tc>
          <w:tcPr>
            <w:tcW w:type="dxa" w:w="4986"/>
          </w:tcPr>
          <w:p>
            <w:r>
              <w:t>Nortronik AS</w:t>
            </w:r>
          </w:p>
        </w:tc>
        <w:tc>
          <w:tcPr>
            <w:tcW w:type="dxa" w:w="4986"/>
          </w:tcPr>
          <w:p>
            <w:r>
              <w:t>17.12.2025, kl. 14:00</w:t>
            </w:r>
          </w:p>
        </w:tc>
      </w:tr>
      <w:tr>
        <w:tc>
          <w:tcPr>
            <w:tcW w:type="dxa" w:w="4986"/>
          </w:tcPr>
          <w:p>
            <w:r>
              <w:t>Noha Norway AS</w:t>
            </w:r>
          </w:p>
        </w:tc>
        <w:tc>
          <w:tcPr>
            <w:tcW w:type="dxa" w:w="4986"/>
          </w:tcPr>
          <w:p>
            <w:r>
              <w:t>23.12.2025, kl. 14:00</w:t>
            </w:r>
          </w:p>
        </w:tc>
      </w:tr>
      <w:tr>
        <w:tc>
          <w:tcPr>
            <w:tcW w:type="dxa" w:w="4986"/>
          </w:tcPr>
          <w:p>
            <w:r>
              <w:t>Norsk Brannvern AS</w:t>
            </w:r>
          </w:p>
        </w:tc>
        <w:tc>
          <w:tcPr>
            <w:tcW w:type="dxa" w:w="4986"/>
          </w:tcPr>
          <w:p>
            <w:r>
              <w:t>30.12.2025, kl. 12:13</w:t>
            </w:r>
          </w:p>
        </w:tc>
      </w:tr>
      <w:tr>
        <w:tc>
          <w:tcPr>
            <w:tcW w:type="dxa" w:w="4986"/>
          </w:tcPr>
          <w:p>
            <w:r>
              <w:t>Presto AS</w:t>
            </w:r>
          </w:p>
        </w:tc>
        <w:tc>
          <w:tcPr>
            <w:tcW w:type="dxa" w:w="4986"/>
          </w:tcPr>
          <w:p>
            <w:r>
              <w:t>02.01.2026, kl. 09:49</w:t>
            </w:r>
          </w:p>
        </w:tc>
      </w:tr>
      <w:tr>
        <w:tc>
          <w:tcPr>
            <w:tcW w:type="dxa" w:w="4986"/>
          </w:tcPr>
          <w:p>
            <w:r>
              <w:t>alf</w:t>
            </w:r>
          </w:p>
        </w:tc>
        <w:tc>
          <w:tcPr>
            <w:tcW w:type="dxa" w:w="4986"/>
          </w:tcPr>
          <w:p>
            <w:r>
              <w:t>02.01.2026, kl. 10:16</w:t>
            </w:r>
          </w:p>
        </w:tc>
      </w:tr>
    </w:tbl>
    <w:p>
      <w:pPr>
        <w:pStyle w:val="Heading2"/>
      </w:pPr>
      <w:r>
        <w:t>Anskaffelsesprosedyre</w:t>
      </w:r>
    </w:p>
    <w:p>
      <w:r>
        <w:t>Følgende anskaffelsesprosedyre er lagt til grunn i denne konkurransen:</w:t>
      </w:r>
    </w:p>
    <w:p>
      <w:sdt>
        <w:sdtPr>
          <w14:checkbox>
            <w14:checked w14:val="1"/>
            <w14:checkedState w14:val="2612" w14:font="MS Gothic"/>
            <w14:uncheckedState w14:val="2610" w14:font="MS Gothic"/>
          </w14:checkbox>
        </w:sdtPr>
        <w:sdtContent>
          <w:r>
            <w:rPr>
              <w:rFonts w:ascii="MS Gothic" w:hAnsi="MS Gothic"/>
            </w:rPr>
            <w:t>☒</w:t>
          </w:r>
        </w:sdtContent>
      </w:sdt>
      <w:r>
        <w:rPr>
          <w:b/>
        </w:rPr>
        <w:t xml:space="preserve"> Åpen anbudskonkurranse</w:t>
      </w:r>
    </w:p>
    <w:p>
      <w:sdt>
        <w:sdtPr>
          <w14:checkbox>
            <w14:checked w14:val="0"/>
            <w14:checkedState w14:val="2612" w14:font="MS Gothic"/>
            <w14:uncheckedState w14:val="2610" w14:font="MS Gothic"/>
          </w14:checkbox>
        </w:sdtPr>
        <w:sdtContent>
          <w:r>
            <w:rPr>
              <w:rFonts w:ascii="MS Gothic" w:hAnsi="MS Gothic"/>
            </w:rPr>
            <w:t>☐</w:t>
          </w:r>
        </w:sdtContent>
      </w:sdt>
      <w:r>
        <w:t xml:space="preserve"> Begrenset anbudskonkurranse</w:t>
      </w:r>
    </w:p>
    <w:p>
      <w:sdt>
        <w:sdtPr>
          <w14:checkbox>
            <w14:checked w14:val="0"/>
            <w14:checkedState w14:val="2612" w14:font="MS Gothic"/>
            <w14:uncheckedState w14:val="2610" w14:font="MS Gothic"/>
          </w14:checkbox>
        </w:sdtPr>
        <w:sdtContent>
          <w:r>
            <w:rPr>
              <w:rFonts w:ascii="MS Gothic" w:hAnsi="MS Gothic"/>
            </w:rPr>
            <w:t>☐</w:t>
          </w:r>
        </w:sdtContent>
      </w:sdt>
      <w:r>
        <w:t xml:space="preserve"> Konkurranse med forhandling etter forutgående kunngjøring</w:t>
      </w:r>
    </w:p>
    <w:p>
      <w:sdt>
        <w:sdtPr>
          <w14:checkbox>
            <w14:checked w14:val="0"/>
            <w14:checkedState w14:val="2612" w14:font="MS Gothic"/>
            <w14:uncheckedState w14:val="2610" w14:font="MS Gothic"/>
          </w14:checkbox>
        </w:sdtPr>
        <w:sdtContent>
          <w:r>
            <w:rPr>
              <w:rFonts w:ascii="MS Gothic" w:hAnsi="MS Gothic"/>
            </w:rPr>
            <w:t>☐</w:t>
          </w:r>
        </w:sdtContent>
      </w:sdt>
      <w:r>
        <w:t xml:space="preserve"> Konkurransepreget dialog</w:t>
      </w:r>
    </w:p>
    <w:p>
      <w:sdt>
        <w:sdtPr>
          <w14:checkbox>
            <w14:checked w14:val="0"/>
            <w14:checkedState w14:val="2612" w14:font="MS Gothic"/>
            <w14:uncheckedState w14:val="2610" w14:font="MS Gothic"/>
          </w14:checkbox>
        </w:sdtPr>
        <w:sdtContent>
          <w:r>
            <w:rPr>
              <w:rFonts w:ascii="MS Gothic" w:hAnsi="MS Gothic"/>
            </w:rPr>
            <w:t>☐</w:t>
          </w:r>
        </w:sdtContent>
      </w:sdt>
      <w:r>
        <w:t xml:space="preserve"> Innovasjonspartnerskap</w:t>
      </w:r>
    </w:p>
    <w:p>
      <w:sdt>
        <w:sdtPr>
          <w14:checkbox>
            <w14:checked w14:val="0"/>
            <w14:checkedState w14:val="2612" w14:font="MS Gothic"/>
            <w14:uncheckedState w14:val="2610" w14:font="MS Gothic"/>
          </w14:checkbox>
        </w:sdtPr>
        <w:sdtContent>
          <w:r>
            <w:rPr>
              <w:rFonts w:ascii="MS Gothic" w:hAnsi="MS Gothic"/>
            </w:rPr>
            <w:t>☐</w:t>
          </w:r>
        </w:sdtContent>
      </w:sdt>
      <w:r>
        <w:t xml:space="preserve"> Konkurranse med forhandling uten forutgående kunngjøring</w:t>
      </w:r>
    </w:p>
    <w:p>
      <w:sdt>
        <w:sdtPr>
          <w14:checkbox>
            <w14:checked w14:val="0"/>
            <w14:checkedState w14:val="2612" w14:font="MS Gothic"/>
            <w14:uncheckedState w14:val="2610" w14:font="MS Gothic"/>
          </w14:checkbox>
        </w:sdtPr>
        <w:sdtContent>
          <w:r>
            <w:rPr>
              <w:rFonts w:ascii="MS Gothic" w:hAnsi="MS Gothic"/>
            </w:rPr>
            <w:t>☐</w:t>
          </w:r>
        </w:sdtContent>
      </w:sdt>
      <w:r>
        <w:t xml:space="preserve"> Anskaffelse uten konkurranse</w:t>
      </w:r>
    </w:p>
    <w:tbl>
      <w:tblPr>
        <w:tblStyle w:val="TableGrid"/>
        <w:tblW w:type="auto" w:w="0"/>
        <w:tblLook w:firstColumn="1" w:firstRow="1" w:lastColumn="0" w:lastRow="0" w:noHBand="0" w:noVBand="1" w:val="04A0"/>
      </w:tblPr>
      <w:tblGrid>
        <w:gridCol w:w="4986"/>
        <w:gridCol w:w="4986"/>
      </w:tblGrid>
      <w:tr>
        <w:tc>
          <w:tcPr>
            <w:tcW w:type="dxa" w:w="3402"/>
          </w:tcPr>
          <w:p>
            <w:r/>
            <w:r>
              <w:rPr>
                <w:b/>
              </w:rPr>
              <w:t>Begrunnelse for dialog/forhandling med kunngjøring:</w:t>
            </w:r>
          </w:p>
        </w:tc>
        <w:tc>
          <w:tcPr>
            <w:tcW w:type="dxa" w:w="6236"/>
          </w:tcPr>
          <w:p>
            <w:r>
              <w:t>Ikke relevant.</w:t>
            </w:r>
          </w:p>
        </w:tc>
      </w:tr>
      <w:tr>
        <w:tc>
          <w:tcPr>
            <w:tcW w:type="dxa" w:w="3402"/>
          </w:tcPr>
          <w:p>
            <w:r/>
            <w:r>
              <w:rPr>
                <w:b/>
              </w:rPr>
              <w:t>Begrunnelse for forhandling uten kunngjøring / uten konkurranse:</w:t>
            </w:r>
          </w:p>
        </w:tc>
        <w:tc>
          <w:tcPr>
            <w:tcW w:type="dxa" w:w="6236"/>
          </w:tcPr>
          <w:p>
            <w:r>
              <w:t>Ikke relevant.</w:t>
            </w:r>
          </w:p>
        </w:tc>
      </w:tr>
      <w:tr>
        <w:tc>
          <w:tcPr>
            <w:tcW w:type="dxa" w:w="3402"/>
          </w:tcPr>
          <w:p>
            <w:r/>
            <w:r>
              <w:rPr>
                <w:b/>
              </w:rPr>
              <w:t>Begrunnelse for ikke å dele opp i delkontrakter (FOA § 19-4):</w:t>
            </w:r>
          </w:p>
        </w:tc>
        <w:tc>
          <w:tcPr>
            <w:tcW w:type="dxa" w:w="6236"/>
          </w:tcPr>
          <w:p>
            <w:r/>
            <w:r>
              <w:rPr>
                <w:i/>
                <w:color w:val="996600"/>
                <w:shd w:val="clear" w:color="auto" w:fill="FFFF00"/>
              </w:rPr>
              <w:t>[Fyll inn]</w:t>
            </w:r>
          </w:p>
        </w:tc>
      </w:tr>
      <w:tr>
        <w:tc>
          <w:tcPr>
            <w:tcW w:type="dxa" w:w="3402"/>
          </w:tcPr>
          <w:p>
            <w:r/>
            <w:r>
              <w:rPr>
                <w:b/>
              </w:rPr>
              <w:t>Kunngjøring:</w:t>
            </w:r>
          </w:p>
        </w:tc>
        <w:tc>
          <w:tcPr>
            <w:tcW w:type="dxa" w:w="6236"/>
          </w:tcPr>
          <w:p>
            <w:r>
              <w:t>Kunngjort 24.11.2025 på Doffin, ref. 2025-117939 (NGOJ), TED 782337-2025</w:t>
            </w:r>
          </w:p>
        </w:tc>
      </w:tr>
    </w:tbl>
    <w:p>
      <w:pPr>
        <w:pStyle w:val="Heading2"/>
      </w:pPr>
      <w:r>
        <w:t>Avvisning på grunn av formalfeil, jf. FOA § 24-1</w:t>
      </w:r>
    </w:p>
    <w:p>
      <w:r>
        <w:rPr>
          <w:i/>
          <w:color w:val="996600"/>
          <w:shd w:val="clear" w:color="auto" w:fill="FFFF00"/>
        </w:rPr>
        <w:t>[Avgjør hvilke avvisninger som gjelder formalfeil (§ 24-1) vs. kvalifikasjon (§ 24-2)]</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Begrunnelsen for avvisningen</w:t>
            </w:r>
          </w:p>
        </w:tc>
        <w:tc>
          <w:tcPr>
            <w:tcW w:type="dxa" w:w="3324"/>
            <w:shd w:val="clear" w:color="auto" w:fill="F2F2F2"/>
          </w:tcPr>
          <w:p>
            <w:r/>
            <w:r>
              <w:rPr>
                <w:b/>
              </w:rPr>
              <w:t>Dato sendt</w:t>
            </w:r>
          </w:p>
        </w:tc>
      </w:tr>
      <w:tr>
        <w:tc>
          <w:tcPr>
            <w:tcW w:type="dxa" w:w="3324"/>
          </w:tcPr>
          <w:p>
            <w:r>
              <w:t>Presto AS</w:t>
            </w:r>
          </w:p>
        </w:tc>
        <w:tc>
          <w:tcPr>
            <w:tcW w:type="dxa" w:w="3324"/>
          </w:tcPr>
          <w:p>
            <w:r/>
            <w:r>
              <w:rPr>
                <w:i/>
                <w:color w:val="996600"/>
                <w:shd w:val="clear" w:color="auto" w:fill="FFFF00"/>
              </w:rPr>
              <w:t>[Fyll inn]</w:t>
            </w:r>
          </w:p>
        </w:tc>
        <w:tc>
          <w:tcPr>
            <w:tcW w:type="dxa" w:w="3324"/>
          </w:tcPr>
          <w:p>
            <w:r>
              <w:t>16.01.2026</w:t>
            </w:r>
          </w:p>
        </w:tc>
      </w:tr>
      <w:tr>
        <w:tc>
          <w:tcPr>
            <w:tcW w:type="dxa" w:w="3324"/>
          </w:tcPr>
          <w:p>
            <w:r>
              <w:t>Nortronik AS</w:t>
            </w:r>
          </w:p>
        </w:tc>
        <w:tc>
          <w:tcPr>
            <w:tcW w:type="dxa" w:w="3324"/>
          </w:tcPr>
          <w:p>
            <w:r/>
            <w:r>
              <w:rPr>
                <w:i/>
                <w:color w:val="996600"/>
                <w:shd w:val="clear" w:color="auto" w:fill="FFFF00"/>
              </w:rPr>
              <w:t>[Fyll inn]</w:t>
            </w:r>
          </w:p>
        </w:tc>
        <w:tc>
          <w:tcPr>
            <w:tcW w:type="dxa" w:w="3324"/>
          </w:tcPr>
          <w:p>
            <w:r>
              <w:t>16.01.2026</w:t>
            </w:r>
          </w:p>
        </w:tc>
      </w:tr>
    </w:tbl>
    <w:p>
      <w:pPr>
        <w:pStyle w:val="Heading2"/>
      </w:pPr>
      <w:r>
        <w:t>Foreløpig kvalifikasjonsvurdering, jf. FOA § 17-1 annet ledd</w:t>
      </w:r>
    </w:p>
    <w:p>
      <w:r>
        <w:t>Ikke relevant (åpen anbudskonkurranse).</w:t>
      </w:r>
    </w:p>
    <w:p>
      <w:pPr>
        <w:pStyle w:val="Heading2"/>
      </w:pPr>
      <w:r>
        <w:t>Kvalifikasjonsvurdering</w:t>
      </w:r>
    </w:p>
    <w:p>
      <w:r>
        <w:rPr>
          <w:i/>
          <w:color w:val="996600"/>
          <w:shd w:val="clear" w:color="auto" w:fill="FFFF00"/>
        </w:rPr>
        <w:t>[Kvalifikasjonskrav og -vurdering er ikke tilgjengelig via API. Fyll inn basert på konkurransegrunnlaget.]</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r>
        <w:tc>
          <w:tcPr>
            <w:tcW w:type="dxa" w:w="3402"/>
          </w:tcPr>
          <w:p>
            <w:r/>
            <w:r>
              <w:rPr>
                <w:b/>
              </w:rPr>
              <w:t>Hvis relevant, begrunnelse for hvorfor leverandører som har restanser i henhold til skatte- og avgiftslovgivningen har fått delta i konkurransen:</w:t>
            </w:r>
          </w:p>
        </w:tc>
        <w:tc>
          <w:tcPr>
            <w:tcW w:type="dxa" w:w="6236"/>
          </w:tcPr>
          <w:p>
            <w:r/>
            <w:r>
              <w:rPr>
                <w:i/>
                <w:color w:val="996600"/>
                <w:shd w:val="clear" w:color="auto" w:fill="FFFF00"/>
              </w:rPr>
              <w:t>[Fyll inn]</w:t>
            </w:r>
          </w:p>
        </w:tc>
      </w:tr>
    </w:tbl>
    <w:p>
      <w:pPr>
        <w:pStyle w:val="Heading2"/>
      </w:pPr>
      <w:r>
        <w:t>Leverandører som er avvist, jf. FOA § 24-2</w:t>
      </w:r>
    </w:p>
    <w:p>
      <w:r>
        <w:t>Følgende leverandører ble avvist: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Begrunnelsen for avvisningen</w:t>
            </w:r>
          </w:p>
        </w:tc>
        <w:tc>
          <w:tcPr>
            <w:tcW w:type="dxa" w:w="3324"/>
            <w:shd w:val="clear" w:color="auto" w:fill="F2F2F2"/>
          </w:tcPr>
          <w:p>
            <w:r/>
            <w:r>
              <w:rPr>
                <w:b/>
              </w:rPr>
              <w:t>Dato sendt</w:t>
            </w:r>
          </w:p>
        </w:tc>
      </w:tr>
      <w:tr>
        <w:tc>
          <w:tcPr>
            <w:tcW w:type="dxa" w:w="3324"/>
          </w:tcPr>
          <w:p>
            <w:r>
              <w:t>Presto AS</w:t>
            </w:r>
          </w:p>
        </w:tc>
        <w:tc>
          <w:tcPr>
            <w:tcW w:type="dxa" w:w="3324"/>
          </w:tcPr>
          <w:p>
            <w:r/>
            <w:r>
              <w:rPr>
                <w:i/>
                <w:color w:val="996600"/>
                <w:shd w:val="clear" w:color="auto" w:fill="FFFF00"/>
              </w:rPr>
              <w:t>[Fyll inn]</w:t>
            </w:r>
          </w:p>
        </w:tc>
        <w:tc>
          <w:tcPr>
            <w:tcW w:type="dxa" w:w="3324"/>
          </w:tcPr>
          <w:p>
            <w:r>
              <w:t>16.01.2026</w:t>
            </w:r>
          </w:p>
        </w:tc>
      </w:tr>
      <w:tr>
        <w:tc>
          <w:tcPr>
            <w:tcW w:type="dxa" w:w="3324"/>
          </w:tcPr>
          <w:p>
            <w:r>
              <w:t>Nortronik AS</w:t>
            </w:r>
          </w:p>
        </w:tc>
        <w:tc>
          <w:tcPr>
            <w:tcW w:type="dxa" w:w="3324"/>
          </w:tcPr>
          <w:p>
            <w:r/>
            <w:r>
              <w:rPr>
                <w:i/>
                <w:color w:val="996600"/>
                <w:shd w:val="clear" w:color="auto" w:fill="FFFF00"/>
              </w:rPr>
              <w:t>[Fyll inn]</w:t>
            </w:r>
          </w:p>
        </w:tc>
        <w:tc>
          <w:tcPr>
            <w:tcW w:type="dxa" w:w="3324"/>
          </w:tcPr>
          <w:p>
            <w:r>
              <w:t>16.01.2026</w:t>
            </w:r>
          </w:p>
        </w:tc>
      </w:tr>
    </w:tbl>
    <w:p>
      <w:pPr>
        <w:pStyle w:val="Heading2"/>
      </w:pPr>
      <w:r>
        <w:t>Utvelgelse av leverandører</w:t>
      </w:r>
    </w:p>
    <w:p>
      <w:r>
        <w:t>Ikke relevant (åpen anbudskonkurranse — ingen utvelgelsesfase).</w:t>
      </w:r>
    </w:p>
    <w:p>
      <w:pPr>
        <w:pStyle w:val="Heading2"/>
      </w:pPr>
      <w:r>
        <w:t>Tilbud som er avvist, jf. FOA §§ 24-8 og 24-9</w:t>
      </w:r>
    </w:p>
    <w:p>
      <w:sdt>
        <w:sdtPr>
          <w14:checkbox>
            <w14:checked w14:val="0"/>
            <w14:checkedState w14:val="2612" w14:font="MS Gothic"/>
            <w14:uncheckedState w14:val="2610" w14:font="MS Gothic"/>
          </w14:checkbox>
        </w:sdtPr>
        <w:sdtContent>
          <w:r>
            <w:rPr>
              <w:rFonts w:ascii="MS Gothic" w:hAnsi="MS Gothic"/>
            </w:rPr>
            <w:t>☐</w:t>
          </w:r>
        </w:sdtContent>
      </w:sdt>
      <w:r>
        <w:t xml:space="preserve"> Ingen tilbud ble avvist</w:t>
      </w:r>
      <w:r>
        <w:rPr>
          <w:i/>
          <w:color w:val="996600"/>
          <w:shd w:val="clear" w:color="auto" w:fill="FFFF00"/>
        </w:rPr>
        <w:t xml:space="preserve"> [Bekreft]</w:t>
      </w:r>
    </w:p>
    <w:p>
      <w:pPr>
        <w:pStyle w:val="Heading2"/>
      </w:pPr>
      <w:r>
        <w:t>Ettersending og avklaring av opplysninger og dokumentasjon, jf. FOA § 23-5</w:t>
      </w:r>
    </w:p>
    <w:p>
      <w:r>
        <w:t>Følgende avklaringer/ettersendinger ble gjennomført etter tilbudsfrist: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Dato</w:t>
            </w:r>
          </w:p>
        </w:tc>
        <w:tc>
          <w:tcPr>
            <w:tcW w:type="dxa" w:w="3324"/>
            <w:shd w:val="clear" w:color="auto" w:fill="F2F2F2"/>
          </w:tcPr>
          <w:p>
            <w:r/>
            <w:r>
              <w:rPr>
                <w:b/>
              </w:rPr>
              <w:t>Hvordan?</w:t>
            </w:r>
          </w:p>
        </w:tc>
      </w:tr>
      <w:tr>
        <w:tc>
          <w:tcPr>
            <w:tcW w:type="dxa" w:w="3324"/>
          </w:tcPr>
          <w:p>
            <w:r>
              <w:t>alf</w:t>
            </w:r>
          </w:p>
        </w:tc>
        <w:tc>
          <w:tcPr>
            <w:tcW w:type="dxa" w:w="3324"/>
          </w:tcPr>
          <w:p>
            <w:r>
              <w:t>30.01.2026</w:t>
            </w:r>
          </w:p>
        </w:tc>
        <w:tc>
          <w:tcPr>
            <w:tcW w:type="dxa" w:w="3324"/>
          </w:tcPr>
          <w:p>
            <w:r>
              <w:t>Melding i KGV: «Prosesstatus»</w:t>
            </w:r>
          </w:p>
        </w:tc>
      </w:tr>
      <w:tr>
        <w:tc>
          <w:tcPr>
            <w:tcW w:type="dxa" w:w="3324"/>
          </w:tcPr>
          <w:p>
            <w:r>
              <w:t>Noha Norway AS</w:t>
            </w:r>
          </w:p>
        </w:tc>
        <w:tc>
          <w:tcPr>
            <w:tcW w:type="dxa" w:w="3324"/>
          </w:tcPr>
          <w:p>
            <w:r>
              <w:t>30.01.2026</w:t>
            </w:r>
          </w:p>
        </w:tc>
        <w:tc>
          <w:tcPr>
            <w:tcW w:type="dxa" w:w="3324"/>
          </w:tcPr>
          <w:p>
            <w:r>
              <w:t>Melding i KGV: «Prosesstatus»</w:t>
            </w:r>
          </w:p>
        </w:tc>
      </w:tr>
      <w:tr>
        <w:tc>
          <w:tcPr>
            <w:tcW w:type="dxa" w:w="3324"/>
          </w:tcPr>
          <w:p>
            <w:r>
              <w:t>Presto AS</w:t>
            </w:r>
          </w:p>
        </w:tc>
        <w:tc>
          <w:tcPr>
            <w:tcW w:type="dxa" w:w="3324"/>
          </w:tcPr>
          <w:p>
            <w:r>
              <w:t>30.01.2026</w:t>
            </w:r>
          </w:p>
        </w:tc>
        <w:tc>
          <w:tcPr>
            <w:tcW w:type="dxa" w:w="3324"/>
          </w:tcPr>
          <w:p>
            <w:r>
              <w:t>Melding i KGV: «Prosesstatus»</w:t>
            </w:r>
          </w:p>
        </w:tc>
      </w:tr>
      <w:tr>
        <w:tc>
          <w:tcPr>
            <w:tcW w:type="dxa" w:w="3324"/>
          </w:tcPr>
          <w:p>
            <w:r>
              <w:t>Norsk Brannvern AS</w:t>
            </w:r>
          </w:p>
        </w:tc>
        <w:tc>
          <w:tcPr>
            <w:tcW w:type="dxa" w:w="3324"/>
          </w:tcPr>
          <w:p>
            <w:r>
              <w:t>30.01.2026</w:t>
            </w:r>
          </w:p>
        </w:tc>
        <w:tc>
          <w:tcPr>
            <w:tcW w:type="dxa" w:w="3324"/>
          </w:tcPr>
          <w:p>
            <w:r>
              <w:t>Melding i KGV: «Prosesstatus»</w:t>
            </w:r>
          </w:p>
        </w:tc>
      </w:tr>
      <w:tr>
        <w:tc>
          <w:tcPr>
            <w:tcW w:type="dxa" w:w="3324"/>
          </w:tcPr>
          <w:p>
            <w:r>
              <w:t>Nortronik AS</w:t>
            </w:r>
          </w:p>
        </w:tc>
        <w:tc>
          <w:tcPr>
            <w:tcW w:type="dxa" w:w="3324"/>
          </w:tcPr>
          <w:p>
            <w:r>
              <w:t>05.02.2026</w:t>
            </w:r>
          </w:p>
        </w:tc>
        <w:tc>
          <w:tcPr>
            <w:tcW w:type="dxa" w:w="3324"/>
          </w:tcPr>
          <w:p>
            <w:r>
              <w:t>Melding i KGV: «Meddelelsesbrev»</w:t>
            </w:r>
          </w:p>
        </w:tc>
      </w:tr>
    </w:tbl>
    <w:p>
      <w:pPr>
        <w:pStyle w:val="Heading2"/>
      </w:pPr>
      <w:r>
        <w:t>Forhandlinger</w:t>
      </w:r>
    </w:p>
    <w:p>
      <w:r>
        <w:t>Ikke relevant (åpen anbudskonkurranse).</w:t>
      </w:r>
    </w:p>
    <w:p>
      <w:pPr>
        <w:pStyle w:val="Heading2"/>
      </w:pPr>
      <w:r>
        <w:t>Dialog</w:t>
      </w:r>
    </w:p>
    <w:p>
      <w:r>
        <w:t>Ikke relevant (åpen anbudskonkurranse).</w:t>
      </w:r>
    </w:p>
    <w:p>
      <w:pPr>
        <w:pStyle w:val="Heading2"/>
      </w:pPr>
      <w:r>
        <w:t>Tilbud som er med i tildelingsvurderingen</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rPr>
              <w:t>Tilbuds-/løpenummer</w:t>
            </w:r>
          </w:p>
        </w:tc>
        <w:tc>
          <w:tcPr>
            <w:tcW w:type="dxa" w:w="4986"/>
            <w:shd w:val="clear" w:color="auto" w:fill="F2F2F2"/>
          </w:tcPr>
          <w:p>
            <w:r/>
            <w:r>
              <w:rPr>
                <w:b/>
              </w:rPr>
              <w:t>Leverandørenes navn</w:t>
            </w:r>
          </w:p>
        </w:tc>
      </w:tr>
      <w:tr>
        <w:tc>
          <w:tcPr>
            <w:tcW w:type="dxa" w:w="4986"/>
          </w:tcPr>
          <w:p>
            <w:r>
              <w:t>1</w:t>
            </w:r>
          </w:p>
        </w:tc>
        <w:tc>
          <w:tcPr>
            <w:tcW w:type="dxa" w:w="4986"/>
          </w:tcPr>
          <w:p>
            <w:r>
              <w:t>Noha Norway AS</w:t>
            </w:r>
          </w:p>
        </w:tc>
      </w:tr>
      <w:tr>
        <w:tc>
          <w:tcPr>
            <w:tcW w:type="dxa" w:w="4986"/>
          </w:tcPr>
          <w:p>
            <w:r>
              <w:t>2</w:t>
            </w:r>
          </w:p>
        </w:tc>
        <w:tc>
          <w:tcPr>
            <w:tcW w:type="dxa" w:w="4986"/>
          </w:tcPr>
          <w:p>
            <w:r>
              <w:t>Norsk Brannvern AS</w:t>
            </w:r>
          </w:p>
        </w:tc>
      </w:tr>
      <w:tr>
        <w:tc>
          <w:tcPr>
            <w:tcW w:type="dxa" w:w="4986"/>
          </w:tcPr>
          <w:p>
            <w:r>
              <w:t>3</w:t>
            </w:r>
          </w:p>
        </w:tc>
        <w:tc>
          <w:tcPr>
            <w:tcW w:type="dxa" w:w="4986"/>
          </w:tcPr>
          <w:p>
            <w:r>
              <w:t>alf</w:t>
            </w:r>
          </w:p>
        </w:tc>
      </w:tr>
    </w:tbl>
    <w:p>
      <w:pPr>
        <w:pStyle w:val="Heading2"/>
      </w:pPr>
      <w:r>
        <w:t>Det (de) valgte tilbud med begrunnelse og kontraktsverdi</w:t>
      </w:r>
    </w:p>
    <w:p>
      <w:r>
        <w:rPr>
          <w:i/>
          <w:color w:val="996600"/>
          <w:shd w:val="clear" w:color="auto" w:fill="FFFF00"/>
        </w:rPr>
        <w:t>[Fyll inn navn på valgt leverandør, tildelingsbegrunnelse og kontraktsverdi. API gir kun tenderIds, ikke leverandørnavn eller begrunnelse.]</w:t>
      </w:r>
    </w:p>
    <w:tbl>
      <w:tblPr>
        <w:tblStyle w:val="TableGrid"/>
        <w:tblW w:type="auto" w:w="0"/>
        <w:tblLook w:firstColumn="1" w:firstRow="1" w:lastColumn="0" w:lastRow="0" w:noHBand="0" w:noVBand="1" w:val="04A0"/>
      </w:tblPr>
      <w:tblGrid>
        <w:gridCol w:w="4986"/>
        <w:gridCol w:w="4986"/>
      </w:tblGrid>
      <w:tr>
        <w:tc>
          <w:tcPr>
            <w:tcW w:type="dxa" w:w="3402"/>
          </w:tcPr>
          <w:p>
            <w:r/>
            <w:r>
              <w:rPr>
                <w:b/>
              </w:rPr>
              <w:t>Kontraktsverdi:</w:t>
            </w:r>
          </w:p>
        </w:tc>
        <w:tc>
          <w:tcPr>
            <w:tcW w:type="dxa" w:w="6236"/>
          </w:tcPr>
          <w:p>
            <w:r>
              <w:t>25 000 000 NOK</w:t>
            </w:r>
          </w:p>
        </w:tc>
      </w:tr>
      <w:tr>
        <w:tc>
          <w:tcPr>
            <w:tcW w:type="dxa" w:w="3402"/>
          </w:tcPr>
          <w:p>
            <w:r/>
            <w:r>
              <w:rPr>
                <w:b/>
              </w:rPr>
              <w:t>Tildelingsbeslutning:</w:t>
            </w:r>
          </w:p>
        </w:tc>
        <w:tc>
          <w:tcPr>
            <w:tcW w:type="dxa" w:w="6236"/>
          </w:tcPr>
          <w:p>
            <w:r>
              <w:t>05.02.2026</w:t>
            </w:r>
          </w:p>
        </w:tc>
      </w:tr>
      <w:tr>
        <w:tc>
          <w:tcPr>
            <w:tcW w:type="dxa" w:w="3402"/>
          </w:tcPr>
          <w:p>
            <w:r/>
            <w:r>
              <w:rPr>
                <w:b/>
              </w:rPr>
              <w:t>Meddelelsesbrev sendt:</w:t>
            </w:r>
          </w:p>
        </w:tc>
        <w:tc>
          <w:tcPr>
            <w:tcW w:type="dxa" w:w="6236"/>
          </w:tcPr>
          <w:p>
            <w:r>
              <w:t>Sendt (dato ikke tilgjengelig i API)</w:t>
            </w:r>
          </w:p>
        </w:tc>
      </w:tr>
      <w:tr>
        <w:tc>
          <w:tcPr>
            <w:tcW w:type="dxa" w:w="3402"/>
          </w:tcPr>
          <w:p>
            <w:r/>
            <w:r>
              <w:rPr>
                <w:b/>
              </w:rPr>
              <w:t>Karensperiodens utløp:</w:t>
            </w:r>
          </w:p>
        </w:tc>
        <w:tc>
          <w:tcPr>
            <w:tcW w:type="dxa" w:w="6236"/>
          </w:tcPr>
          <w:p>
            <w:r/>
            <w:r>
              <w:rPr>
                <w:i/>
                <w:color w:val="996600"/>
                <w:shd w:val="clear" w:color="auto" w:fill="FFFF00"/>
              </w:rPr>
              <w:t>[Fyll inn]</w:t>
            </w:r>
          </w:p>
        </w:tc>
      </w:tr>
      <w:tr>
        <w:tc>
          <w:tcPr>
            <w:tcW w:type="dxa" w:w="3402"/>
          </w:tcPr>
          <w:p>
            <w:r/>
            <w:r>
              <w:rPr>
                <w:b/>
              </w:rPr>
              <w:t>Eventuelle klager:</w:t>
            </w:r>
          </w:p>
        </w:tc>
        <w:tc>
          <w:tcPr>
            <w:tcW w:type="dxa" w:w="6236"/>
          </w:tcPr>
          <w:p>
            <w:r/>
            <w:r>
              <w:rPr>
                <w:i/>
                <w:color w:val="996600"/>
                <w:shd w:val="clear" w:color="auto" w:fill="FFFF00"/>
              </w:rPr>
              <w:t>[Fyll inn]</w:t>
            </w:r>
          </w:p>
        </w:tc>
      </w:tr>
      <w:tr>
        <w:tc>
          <w:tcPr>
            <w:tcW w:type="dxa" w:w="3402"/>
          </w:tcPr>
          <w:p>
            <w:r/>
            <w:r>
              <w:rPr>
                <w:b/>
              </w:rPr>
              <w:t>Resultat av klage:</w:t>
            </w:r>
          </w:p>
        </w:tc>
        <w:tc>
          <w:tcPr>
            <w:tcW w:type="dxa" w:w="6236"/>
          </w:tcPr>
          <w:p>
            <w:r/>
            <w:r>
              <w:rPr>
                <w:i/>
                <w:color w:val="996600"/>
                <w:shd w:val="clear" w:color="auto" w:fill="FFFF00"/>
              </w:rPr>
              <w:t>[Fyll inn]</w:t>
            </w:r>
          </w:p>
        </w:tc>
      </w:tr>
    </w:tbl>
    <w:p>
      <w:pPr>
        <w:pStyle w:val="Heading2"/>
      </w:pPr>
      <w:r>
        <w:t>Tildeling av rammeavtaler</w:t>
      </w:r>
    </w:p>
    <w:tbl>
      <w:tblPr>
        <w:tblStyle w:val="TableGrid"/>
        <w:tblW w:type="auto" w:w="0"/>
        <w:tblLook w:firstColumn="1" w:firstRow="1" w:lastColumn="0" w:lastRow="0" w:noHBand="0" w:noVBand="1" w:val="04A0"/>
      </w:tblPr>
      <w:tblGrid>
        <w:gridCol w:w="4986"/>
        <w:gridCol w:w="4986"/>
      </w:tblGrid>
      <w:tr>
        <w:tc>
          <w:tcPr>
            <w:tcW w:type="dxa" w:w="3402"/>
          </w:tcPr>
          <w:p>
            <w:r/>
            <w:r>
              <w:rPr>
                <w:b/>
              </w:rPr>
              <w:t>Rammeavtale med én leverandør:</w:t>
            </w:r>
          </w:p>
        </w:tc>
        <w:tc>
          <w:tcPr>
            <w:tcW w:type="dxa" w:w="6236"/>
          </w:tcPr>
          <w:p>
            <w:r>
              <w:t>Ja</w:t>
            </w:r>
          </w:p>
        </w:tc>
      </w:tr>
      <w:tr>
        <w:tc>
          <w:tcPr>
            <w:tcW w:type="dxa" w:w="3402"/>
          </w:tcPr>
          <w:p>
            <w:r/>
            <w:r>
              <w:rPr>
                <w:b/>
              </w:rPr>
              <w:t>Rammeavtale med flere leverandører:</w:t>
            </w:r>
          </w:p>
        </w:tc>
        <w:tc>
          <w:tcPr>
            <w:tcW w:type="dxa" w:w="6236"/>
          </w:tcPr>
          <w:p>
            <w:r>
              <w:t>Nei</w:t>
            </w:r>
          </w:p>
        </w:tc>
      </w:tr>
    </w:tbl>
    <w:p>
      <w:pPr>
        <w:pStyle w:val="Heading2"/>
      </w:pPr>
      <w:r>
        <w:t>Andre opplysninger og avslutning</w:t>
      </w:r>
    </w:p>
    <w:tbl>
      <w:tblPr>
        <w:tblStyle w:val="TableGrid"/>
        <w:tblW w:type="auto" w:w="0"/>
        <w:tblLook w:firstColumn="1" w:firstRow="1" w:lastColumn="0" w:lastRow="0" w:noHBand="0" w:noVBand="1" w:val="04A0"/>
      </w:tblPr>
      <w:tblGrid>
        <w:gridCol w:w="4986"/>
        <w:gridCol w:w="4986"/>
      </w:tblGrid>
      <w:tr>
        <w:tc>
          <w:tcPr>
            <w:tcW w:type="dxa" w:w="3402"/>
          </w:tcPr>
          <w:p>
            <w:r/>
            <w:r>
              <w:rPr>
                <w:b/>
              </w:rPr>
              <w:t>Underleverandører (hvilke deler av kontrakten, navn):</w:t>
            </w:r>
          </w:p>
        </w:tc>
        <w:tc>
          <w:tcPr>
            <w:tcW w:type="dxa" w:w="6236"/>
          </w:tcPr>
          <w:p>
            <w:r/>
            <w:r>
              <w:rPr>
                <w:i/>
                <w:color w:val="996600"/>
                <w:shd w:val="clear" w:color="auto" w:fill="FFFF00"/>
              </w:rPr>
              <w:t>[Fyll inn]</w:t>
            </w:r>
          </w:p>
        </w:tc>
      </w:tr>
      <w:tr>
        <w:tc>
          <w:tcPr>
            <w:tcW w:type="dxa" w:w="3402"/>
          </w:tcPr>
          <w:p>
            <w:r/>
            <w:r>
              <w:rPr>
                <w:b/>
              </w:rPr>
              <w:t>Begrunnelse for avlysning, jf. FOA § 25-4:</w:t>
            </w:r>
          </w:p>
        </w:tc>
        <w:tc>
          <w:tcPr>
            <w:tcW w:type="dxa" w:w="6236"/>
          </w:tcPr>
          <w:p>
            <w:r>
              <w:t>Ikke relevant (konkurransen ble ikke avlyst).</w:t>
            </w:r>
          </w:p>
        </w:tc>
      </w:tr>
      <w:tr>
        <w:tc>
          <w:tcPr>
            <w:tcW w:type="dxa" w:w="3402"/>
          </w:tcPr>
          <w:p>
            <w:r/>
            <w:r>
              <w:rPr>
                <w:b/>
              </w:rPr>
              <w:t>Inhabilitet eller konkurransevridning, og eventuelle avhjelpende tiltak:</w:t>
            </w:r>
          </w:p>
        </w:tc>
        <w:tc>
          <w:tcPr>
            <w:tcW w:type="dxa" w:w="6236"/>
          </w:tcPr>
          <w:p>
            <w:r/>
            <w:r>
              <w:rPr>
                <w:i/>
                <w:color w:val="996600"/>
                <w:shd w:val="clear" w:color="auto" w:fill="FFFF00"/>
              </w:rPr>
              <w:t>[Fyll inn]</w:t>
            </w:r>
          </w:p>
        </w:tc>
      </w:tr>
      <w:tr>
        <w:tc>
          <w:tcPr>
            <w:tcW w:type="dxa" w:w="3402"/>
          </w:tcPr>
          <w:p>
            <w:r/>
            <w:r>
              <w:rPr>
                <w:b/>
              </w:rPr>
              <w:t>Andre opplysninger, vesentlige forhold eller viktige beslutninger:</w:t>
            </w:r>
          </w:p>
        </w:tc>
        <w:tc>
          <w:tcPr>
            <w:tcW w:type="dxa" w:w="6236"/>
          </w:tcPr>
          <w:p>
            <w:r/>
            <w:r>
              <w:rPr>
                <w:i/>
                <w:color w:val="996600"/>
                <w:shd w:val="clear" w:color="auto" w:fill="FFFF00"/>
              </w:rPr>
              <w:t>[Fyll inn]</w:t>
            </w:r>
          </w:p>
        </w:tc>
      </w:tr>
    </w:tbl>
    <w:p>
      <w:pPr>
        <w:pStyle w:val="Heading2"/>
      </w:pPr>
      <w:r>
        <w:t>Datakvalitet — API vs. manuelt</w:t>
      </w:r>
    </w:p>
    <w:p>
      <w:r>
        <w:rPr>
          <w:i/>
          <w:color w:val="888888"/>
          <w:sz w:val="18"/>
        </w:rPr>
        <w:t>Intern oversikt — ikke del av den formelle protokollen. Viser hvilke seksjoner som er fylt ut automatisk fra API-data og hvilke som krever manuell utfylling.</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Seksjon</w:t>
            </w:r>
          </w:p>
        </w:tc>
        <w:tc>
          <w:tcPr>
            <w:tcW w:type="dxa" w:w="3324"/>
            <w:shd w:val="clear" w:color="auto" w:fill="F2F2F2"/>
          </w:tcPr>
          <w:p>
            <w:r/>
            <w:r>
              <w:rPr>
                <w:b/>
              </w:rPr>
              <w:t>Kilde</w:t>
            </w:r>
          </w:p>
        </w:tc>
        <w:tc>
          <w:tcPr>
            <w:tcW w:type="dxa" w:w="3324"/>
            <w:shd w:val="clear" w:color="auto" w:fill="F2F2F2"/>
          </w:tcPr>
          <w:p>
            <w:r/>
            <w:r>
              <w:rPr>
                <w:b/>
              </w:rPr>
              <w:t>Merknad</w:t>
            </w:r>
          </w:p>
        </w:tc>
      </w:tr>
      <w:tr>
        <w:tc>
          <w:tcPr>
            <w:tcW w:type="dxa" w:w="3324"/>
          </w:tcPr>
          <w:p>
            <w:r>
              <w:t>Generell informasjon</w:t>
            </w:r>
          </w:p>
        </w:tc>
        <w:tc>
          <w:tcPr>
            <w:tcW w:type="dxa" w:w="3324"/>
          </w:tcPr>
          <w:p>
            <w:r>
              <w:t>API</w:t>
            </w:r>
          </w:p>
        </w:tc>
        <w:tc>
          <w:tcPr>
            <w:tcW w:type="dxa" w:w="3324"/>
          </w:tcPr>
          <w:p>
            <w:r>
              <w:t>Komplett</w:t>
            </w:r>
          </w:p>
        </w:tc>
      </w:tr>
      <w:tr>
        <w:tc>
          <w:tcPr>
            <w:tcW w:type="dxa" w:w="3324"/>
          </w:tcPr>
          <w:p>
            <w:r>
              <w:t>Tidspunkt for mottak</w:t>
            </w:r>
          </w:p>
        </w:tc>
        <w:tc>
          <w:tcPr>
            <w:tcW w:type="dxa" w:w="3324"/>
          </w:tcPr>
          <w:p>
            <w:r>
              <w:t>API (SUBMIT_BID)</w:t>
            </w:r>
          </w:p>
        </w:tc>
        <w:tc>
          <w:tcPr>
            <w:tcW w:type="dxa" w:w="3324"/>
          </w:tcPr>
          <w:p>
            <w:r>
              <w:t>Komplett</w:t>
            </w:r>
          </w:p>
        </w:tc>
      </w:tr>
      <w:tr>
        <w:tc>
          <w:tcPr>
            <w:tcW w:type="dxa" w:w="3324"/>
          </w:tcPr>
          <w:p>
            <w:r>
              <w:t>Prosedyretype</w:t>
            </w:r>
          </w:p>
        </w:tc>
        <w:tc>
          <w:tcPr>
            <w:tcW w:type="dxa" w:w="3324"/>
          </w:tcPr>
          <w:p>
            <w:r>
              <w:t>API (procedure)</w:t>
            </w:r>
          </w:p>
        </w:tc>
        <w:tc>
          <w:tcPr>
            <w:tcW w:type="dxa" w:w="3324"/>
          </w:tcPr>
          <w:p>
            <w:r>
              <w:t>Komplett</w:t>
            </w:r>
          </w:p>
        </w:tc>
      </w:tr>
      <w:tr>
        <w:tc>
          <w:tcPr>
            <w:tcW w:type="dxa" w:w="3324"/>
          </w:tcPr>
          <w:p>
            <w:r>
              <w:t>Kunngjøring</w:t>
            </w:r>
          </w:p>
        </w:tc>
        <w:tc>
          <w:tcPr>
            <w:tcW w:type="dxa" w:w="3324"/>
          </w:tcPr>
          <w:p>
            <w:r>
              <w:t>API (DOFFIN_NOTICE)</w:t>
            </w:r>
          </w:p>
        </w:tc>
        <w:tc>
          <w:tcPr>
            <w:tcW w:type="dxa" w:w="3324"/>
          </w:tcPr>
          <w:p>
            <w:r>
              <w:t>Komplett</w:t>
            </w:r>
          </w:p>
        </w:tc>
      </w:tr>
      <w:tr>
        <w:tc>
          <w:tcPr>
            <w:tcW w:type="dxa" w:w="3324"/>
          </w:tcPr>
          <w:p>
            <w:r>
              <w:t>Avvisning (formalfeil)</w:t>
            </w:r>
          </w:p>
        </w:tc>
        <w:tc>
          <w:tcPr>
            <w:tcW w:type="dxa" w:w="3324"/>
          </w:tcPr>
          <w:p>
            <w:r>
              <w:t>API (2 hendelser)</w:t>
            </w:r>
          </w:p>
        </w:tc>
        <w:tc>
          <w:tcPr>
            <w:tcW w:type="dxa" w:w="3324"/>
          </w:tcPr>
          <w:p>
            <w:r>
              <w:t>Trenger manuell klassifisering</w:t>
            </w:r>
          </w:p>
        </w:tc>
      </w:tr>
      <w:tr>
        <w:tc>
          <w:tcPr>
            <w:tcW w:type="dxa" w:w="3324"/>
          </w:tcPr>
          <w:p>
            <w:r>
              <w:t>Kvalifikasjonsvurdering</w:t>
            </w:r>
          </w:p>
        </w:tc>
        <w:tc>
          <w:tcPr>
            <w:tcW w:type="dxa" w:w="3324"/>
          </w:tcPr>
          <w:p>
            <w:r>
              <w:t>Manuelt</w:t>
            </w:r>
          </w:p>
        </w:tc>
        <w:tc>
          <w:tcPr>
            <w:tcW w:type="dxa" w:w="3324"/>
          </w:tcPr>
          <w:p>
            <w:r>
              <w:t>Ikke i API</w:t>
            </w:r>
          </w:p>
        </w:tc>
      </w:tr>
      <w:tr>
        <w:tc>
          <w:tcPr>
            <w:tcW w:type="dxa" w:w="3324"/>
          </w:tcPr>
          <w:p>
            <w:r>
              <w:t>Avvisning av leverandører</w:t>
            </w:r>
          </w:p>
        </w:tc>
        <w:tc>
          <w:tcPr>
            <w:tcW w:type="dxa" w:w="3324"/>
          </w:tcPr>
          <w:p>
            <w:r>
              <w:t>API (2 hendelser)</w:t>
            </w:r>
          </w:p>
        </w:tc>
        <w:tc>
          <w:tcPr>
            <w:tcW w:type="dxa" w:w="3324"/>
          </w:tcPr>
          <w:p>
            <w:r>
              <w:t>Begrunnelse mangler</w:t>
            </w:r>
          </w:p>
        </w:tc>
      </w:tr>
      <w:tr>
        <w:tc>
          <w:tcPr>
            <w:tcW w:type="dxa" w:w="3324"/>
          </w:tcPr>
          <w:p>
            <w:r>
              <w:t>Avvisning av tilbud</w:t>
            </w:r>
          </w:p>
        </w:tc>
        <w:tc>
          <w:tcPr>
            <w:tcW w:type="dxa" w:w="3324"/>
          </w:tcPr>
          <w:p>
            <w:r>
              <w:t>API (ingen hendelser)</w:t>
            </w:r>
          </w:p>
        </w:tc>
        <w:tc>
          <w:tcPr>
            <w:tcW w:type="dxa" w:w="3324"/>
          </w:tcPr>
          <w:p>
            <w:r>
              <w:t>Trenger bekreftelse</w:t>
            </w:r>
          </w:p>
        </w:tc>
      </w:tr>
      <w:tr>
        <w:tc>
          <w:tcPr>
            <w:tcW w:type="dxa" w:w="3324"/>
          </w:tcPr>
          <w:p>
            <w:r>
              <w:t>Ettersending/avklaring</w:t>
            </w:r>
          </w:p>
        </w:tc>
        <w:tc>
          <w:tcPr>
            <w:tcW w:type="dxa" w:w="3324"/>
          </w:tcPr>
          <w:p>
            <w:r>
              <w:t>API (5 meldinger etter frist)</w:t>
            </w:r>
          </w:p>
        </w:tc>
        <w:tc>
          <w:tcPr>
            <w:tcW w:type="dxa" w:w="3324"/>
          </w:tcPr>
          <w:p>
            <w:r>
              <w:t>Innhold mangler</w:t>
            </w:r>
          </w:p>
        </w:tc>
      </w:tr>
      <w:tr>
        <w:tc>
          <w:tcPr>
            <w:tcW w:type="dxa" w:w="3324"/>
          </w:tcPr>
          <w:p>
            <w:r>
              <w:t>Tilbud i vurdering</w:t>
            </w:r>
          </w:p>
        </w:tc>
        <w:tc>
          <w:tcPr>
            <w:tcW w:type="dxa" w:w="3324"/>
          </w:tcPr>
          <w:p>
            <w:r>
              <w:t>API (SUBMIT_BID)</w:t>
            </w:r>
          </w:p>
        </w:tc>
        <w:tc>
          <w:tcPr>
            <w:tcW w:type="dxa" w:w="3324"/>
          </w:tcPr>
          <w:p>
            <w:r>
              <w:t>Komplett</w:t>
            </w:r>
          </w:p>
        </w:tc>
      </w:tr>
      <w:tr>
        <w:tc>
          <w:tcPr>
            <w:tcW w:type="dxa" w:w="3324"/>
          </w:tcPr>
          <w:p>
            <w:r>
              <w:t>Valgte tilbud + begrunnelse</w:t>
            </w:r>
          </w:p>
        </w:tc>
        <w:tc>
          <w:tcPr>
            <w:tcW w:type="dxa" w:w="3324"/>
          </w:tcPr>
          <w:p>
            <w:r>
              <w:t>Manuelt</w:t>
            </w:r>
          </w:p>
        </w:tc>
        <w:tc>
          <w:tcPr>
            <w:tcW w:type="dxa" w:w="3324"/>
          </w:tcPr>
          <w:p>
            <w:r>
              <w:t>API har kun tenderIds</w:t>
            </w:r>
          </w:p>
        </w:tc>
      </w:tr>
      <w:tr>
        <w:tc>
          <w:tcPr>
            <w:tcW w:type="dxa" w:w="3324"/>
          </w:tcPr>
          <w:p>
            <w:r>
              <w:t>Meddelelsesbrev/karens</w:t>
            </w:r>
          </w:p>
        </w:tc>
        <w:tc>
          <w:tcPr>
            <w:tcW w:type="dxa" w:w="3324"/>
          </w:tcPr>
          <w:p>
            <w:r>
              <w:t>Manuelt</w:t>
            </w:r>
          </w:p>
        </w:tc>
        <w:tc>
          <w:tcPr>
            <w:tcW w:type="dxa" w:w="3324"/>
          </w:tcPr>
          <w:p>
            <w:r>
              <w:t>Kun flag, ikke datoer</w:t>
            </w:r>
          </w:p>
        </w:tc>
      </w:tr>
      <w:tr>
        <w:tc>
          <w:tcPr>
            <w:tcW w:type="dxa" w:w="3324"/>
          </w:tcPr>
          <w:p>
            <w:r>
              <w:t>Delkontrakter (begrunnelse)</w:t>
            </w:r>
          </w:p>
        </w:tc>
        <w:tc>
          <w:tcPr>
            <w:tcW w:type="dxa" w:w="3324"/>
          </w:tcPr>
          <w:p>
            <w:r>
              <w:t>Manuelt</w:t>
            </w:r>
          </w:p>
        </w:tc>
        <w:tc>
          <w:tcPr>
            <w:tcW w:type="dxa" w:w="3324"/>
          </w:tcPr>
          <w:p>
            <w:r>
              <w:t>Ikke i API</w:t>
            </w:r>
          </w:p>
        </w:tc>
      </w:tr>
      <w:tr>
        <w:tc>
          <w:tcPr>
            <w:tcW w:type="dxa" w:w="3324"/>
          </w:tcPr>
          <w:p>
            <w:r>
              <w:t>Underleverandører</w:t>
            </w:r>
          </w:p>
        </w:tc>
        <w:tc>
          <w:tcPr>
            <w:tcW w:type="dxa" w:w="3324"/>
          </w:tcPr>
          <w:p>
            <w:r>
              <w:t>Manuelt</w:t>
            </w:r>
          </w:p>
        </w:tc>
        <w:tc>
          <w:tcPr>
            <w:tcW w:type="dxa" w:w="3324"/>
          </w:tcPr>
          <w:p>
            <w:r>
              <w:t>Ikke i API</w:t>
            </w:r>
          </w:p>
        </w:tc>
      </w:tr>
      <w:tr>
        <w:tc>
          <w:tcPr>
            <w:tcW w:type="dxa" w:w="3324"/>
          </w:tcPr>
          <w:p>
            <w:r>
              <w:t>Inhabilitet</w:t>
            </w:r>
          </w:p>
        </w:tc>
        <w:tc>
          <w:tcPr>
            <w:tcW w:type="dxa" w:w="3324"/>
          </w:tcPr>
          <w:p>
            <w:r>
              <w:t>Manuelt</w:t>
            </w:r>
          </w:p>
        </w:tc>
        <w:tc>
          <w:tcPr>
            <w:tcW w:type="dxa" w:w="3324"/>
          </w:tcPr>
          <w:p>
            <w:r>
              <w:t>Ikke i API</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fldSimple w:instr=" PAGE "/>
    </w:r>
    <w:r>
      <w:rPr>
        <w:color w:val="999999"/>
        <w:sz w:val="16"/>
      </w:rPr>
      <w:t xml:space="preserve"> / </w:t>
    </w:r>
    <w:r>
      <w:rPr>
        <w:color w:val="999999"/>
        <w:sz w:val="16"/>
      </w:rPr>
      <w:fldSimple w:instr=" NUMPAGES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