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디자인 구성요소 제작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가이드와 웹 적용 대조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구성요소 번호·이름 / 실제 파일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대상 사용자와 요소의 목적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가이드 규칙과 웹 적용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초안과 최종의 차이 / 변경 또는 유지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참고자료 URL·관찰·선택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다른 위치에서도 같은 규칙이 유지되는가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디자인 구성요소 제작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화면·상태·이미지 점검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 파일과 브라우저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화면 너비 / 위치 / 상태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전 문제와 캡처 파일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같은 조건에서 재확인한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미해결 사항과 다음 조치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디자인 구성요소 제작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최종 인계 점검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초안·최종 13쌍 대응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HTML 두 파일 및 필요한 자산 확인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기획 설명과 출처 연결 확인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새 폴더에서 다시 열어본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잘 유지한 규칙과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사후관리로 넘길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sectPr>
      <w:pgSz w:w="11906" w:h="16838"/>
      <w:pgMar w:top="1000" w:right="1000" w:bottom="1000" w:left="1000"/>
    </w:sectPr>
  </w:body>
</w:document>
</file>