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13개 구성요소 대응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구성요소 번호와 기본 항목명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초안 파일명 / 최종 파일명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원래 역할과 내 브랜드에서의 역할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필수 역할·상태가 남아 있는가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확장 항목과 분리할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웹 적용 위치 / 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변경·유지 결정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항목 번호와 실제 파일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초안의 문제 또는 유지할 강점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사용자·브랜드에 미치는 영향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추가 조사 URL과 관찰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변경·유지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최종 가이드·웹의 적용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결과와 남은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리서치 비교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사례 1 직접 URL·관찰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사례 1 관찰 원리와 채택·배제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사례 2 직접 URL·관찰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사례 2 관찰 원리와 채택·배제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내 과제의 문제와 연결되는 번호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반영 내용과 실제 결과 확인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제작 | B그룹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8단계 과정 연결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1~2 기본 분석·선호 조사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3~4 가이드 초안·웹 초안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5~6 자기 비평·추가 조사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7~8 최종 가이드·웹 적용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설명과 실제 결과의 불일치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보완 후 확인 결과 /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