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14D7" w14:textId="77777777" w:rsidR="002A5785" w:rsidRDefault="00000000">
      <w:pPr>
        <w:jc w:val="center"/>
      </w:pPr>
      <w:r>
        <w:rPr>
          <w:b/>
          <w:sz w:val="44"/>
        </w:rPr>
        <w:t>CogLoad — Cognitive Load Detection</w:t>
      </w:r>
    </w:p>
    <w:p w14:paraId="29936216" w14:textId="1A58F603" w:rsidR="002A5785" w:rsidRDefault="002334E0">
      <w:pPr>
        <w:jc w:val="center"/>
        <w:rPr>
          <w:color w:val="555555"/>
          <w:sz w:val="26"/>
        </w:rPr>
      </w:pPr>
      <w:r>
        <w:rPr>
          <w:color w:val="555555"/>
          <w:sz w:val="26"/>
        </w:rPr>
        <w:t>Business and Technical Documentation</w:t>
      </w:r>
    </w:p>
    <w:p w14:paraId="4CF87E56" w14:textId="77777777" w:rsidR="002334E0" w:rsidRDefault="002334E0">
      <w:pPr>
        <w:jc w:val="center"/>
        <w:rPr>
          <w:color w:val="555555"/>
          <w:sz w:val="26"/>
        </w:rPr>
      </w:pPr>
    </w:p>
    <w:p w14:paraId="2A147FC3" w14:textId="77777777" w:rsidR="002334E0" w:rsidRDefault="002334E0">
      <w:pPr>
        <w:jc w:val="center"/>
        <w:rPr>
          <w:color w:val="555555"/>
          <w:sz w:val="26"/>
        </w:rPr>
      </w:pPr>
    </w:p>
    <w:p w14:paraId="220AC782" w14:textId="77777777" w:rsidR="002334E0" w:rsidRDefault="002334E0">
      <w:pPr>
        <w:jc w:val="center"/>
        <w:rPr>
          <w:color w:val="555555"/>
          <w:sz w:val="26"/>
        </w:rPr>
      </w:pPr>
    </w:p>
    <w:p w14:paraId="6A54C347" w14:textId="0A9303E7" w:rsidR="002334E0" w:rsidRDefault="002334E0">
      <w:pPr>
        <w:jc w:val="center"/>
        <w:rPr>
          <w:color w:val="555555"/>
          <w:sz w:val="26"/>
        </w:rPr>
      </w:pPr>
      <w:r>
        <w:rPr>
          <w:color w:val="555555"/>
          <w:sz w:val="26"/>
        </w:rPr>
        <w:t>Khaled Nasser (kwn02)</w:t>
      </w:r>
    </w:p>
    <w:p w14:paraId="24645C84" w14:textId="768F4B86" w:rsidR="002334E0" w:rsidRDefault="002334E0">
      <w:pPr>
        <w:jc w:val="center"/>
        <w:rPr>
          <w:color w:val="555555"/>
          <w:sz w:val="26"/>
        </w:rPr>
      </w:pPr>
      <w:r>
        <w:rPr>
          <w:color w:val="555555"/>
          <w:sz w:val="26"/>
        </w:rPr>
        <w:t xml:space="preserve">Jad El </w:t>
      </w:r>
      <w:proofErr w:type="spellStart"/>
      <w:r>
        <w:rPr>
          <w:color w:val="555555"/>
          <w:sz w:val="26"/>
        </w:rPr>
        <w:t>Harakeh</w:t>
      </w:r>
      <w:proofErr w:type="spellEnd"/>
      <w:r>
        <w:rPr>
          <w:color w:val="555555"/>
          <w:sz w:val="26"/>
        </w:rPr>
        <w:t xml:space="preserve"> (jne17)</w:t>
      </w:r>
    </w:p>
    <w:p w14:paraId="28AEA5FB" w14:textId="2D82D081" w:rsidR="002334E0" w:rsidRDefault="002334E0">
      <w:pPr>
        <w:jc w:val="center"/>
        <w:rPr>
          <w:color w:val="555555"/>
          <w:sz w:val="26"/>
        </w:rPr>
      </w:pPr>
      <w:r>
        <w:rPr>
          <w:color w:val="555555"/>
          <w:sz w:val="26"/>
        </w:rPr>
        <w:t>EECE 500</w:t>
      </w:r>
    </w:p>
    <w:p w14:paraId="37E9DF7E" w14:textId="77777777" w:rsidR="002334E0" w:rsidRDefault="002334E0">
      <w:pPr>
        <w:jc w:val="center"/>
      </w:pPr>
    </w:p>
    <w:p w14:paraId="1626B8A4" w14:textId="77777777" w:rsidR="002A5785" w:rsidRDefault="00000000">
      <w:r>
        <w:br w:type="page"/>
      </w:r>
    </w:p>
    <w:p w14:paraId="66862C77" w14:textId="77777777" w:rsidR="002A5785" w:rsidRDefault="00000000">
      <w:pPr>
        <w:pStyle w:val="Heading1"/>
      </w:pPr>
      <w:r>
        <w:lastRenderedPageBreak/>
        <w:t>CogLoad — Business Documentation</w:t>
      </w:r>
    </w:p>
    <w:p w14:paraId="4464B69C" w14:textId="77777777" w:rsidR="002A5785" w:rsidRDefault="00000000">
      <w:r>
        <w:rPr>
          <w:i/>
        </w:rPr>
        <w:t>Positioning, problem framing, baseline justification, value, and go-to-market.</w:t>
      </w:r>
      <w:r>
        <w:t xml:space="preserve"> </w:t>
      </w:r>
      <w:r>
        <w:rPr>
          <w:i/>
        </w:rPr>
        <w:t>(Covers spec §3 Idea &amp; Positioning and rubric P1–P4; references §5 tradeoffs and §10 cost.)</w:t>
      </w:r>
    </w:p>
    <w:p w14:paraId="66BE4F4B" w14:textId="77777777" w:rsidR="002A5785" w:rsidRDefault="00000000">
      <w:pPr>
        <w:pStyle w:val="Heading2"/>
      </w:pPr>
      <w:r>
        <w:t>1. The Problem</w:t>
      </w:r>
    </w:p>
    <w:p w14:paraId="2DF4DB2C" w14:textId="77777777" w:rsidR="002A5785" w:rsidRDefault="00000000">
      <w:r>
        <w:t xml:space="preserve">Cognitive overload is a measurable safety and performance risk wherever people make high-stakes decisions under load — air-traffic control, surgery, driving and fleet operations, defense, and demanding knowledge work. When an operator's mental load exceeds their capacity, </w:t>
      </w:r>
      <w:r>
        <w:rPr>
          <w:b/>
        </w:rPr>
        <w:t>error rates climb and reaction time degrades before the person themselves notices</w:t>
      </w:r>
      <w:r>
        <w:t>. The operational question this system answers, in real time:</w:t>
      </w:r>
    </w:p>
    <w:p w14:paraId="2588E22E" w14:textId="77777777" w:rsidR="002A5785" w:rsidRDefault="00000000">
      <w:pPr>
        <w:ind w:left="360"/>
      </w:pPr>
      <w:r>
        <w:rPr>
          <w:b/>
          <w:i/>
        </w:rPr>
        <w:t>Is this person, right now, in a state of high cognitive load?</w:t>
      </w:r>
    </w:p>
    <w:p w14:paraId="0F59C539" w14:textId="77777777" w:rsidR="002A5785" w:rsidRDefault="00000000">
      <w:r>
        <w:t xml:space="preserve">A reliable answer lets a system intervene </w:t>
      </w:r>
      <w:r>
        <w:rPr>
          <w:i/>
        </w:rPr>
        <w:t>before</w:t>
      </w:r>
      <w:r>
        <w:t xml:space="preserve"> the error: defer a non-urgent alert, hand a task to a teammate, trigger a micro-break, or log the episode for workload analysis.</w:t>
      </w:r>
    </w:p>
    <w:p w14:paraId="01EFCC44" w14:textId="77777777" w:rsidR="002A5785" w:rsidRDefault="00000000">
      <w:pPr>
        <w:pStyle w:val="Heading2"/>
      </w:pPr>
      <w:r>
        <w:t>2. The Decision Being Automated</w:t>
      </w:r>
    </w:p>
    <w:p w14:paraId="677BF4CA" w14:textId="77777777" w:rsidR="002A5785" w:rsidRDefault="00000000">
      <w:r>
        <w:t xml:space="preserve">A binary, per-60-second classification — </w:t>
      </w:r>
      <w:r>
        <w:rPr>
          <w:b/>
        </w:rPr>
        <w:t>high vs. low load</w:t>
      </w:r>
      <w:r>
        <w:t xml:space="preserve"> — from </w:t>
      </w:r>
      <w:r>
        <w:rPr>
          <w:b/>
        </w:rPr>
        <w:t>only a consumer wrist wearable</w:t>
      </w:r>
      <w:r>
        <w:t xml:space="preserve"> (Empatica E4: blood-volume pulse, electrodermal activity, skin temperature). No EEG, no chest strap, no lab. The hardware constraint is the point: anything requiring medical-grade equipment will never be worn through a real shift. </w:t>
      </w:r>
      <w:r>
        <w:rPr>
          <w:b/>
        </w:rPr>
        <w:t>The contribution is showing a ~$300-class wristband is enough.</w:t>
      </w:r>
    </w:p>
    <w:p w14:paraId="196ACA0C" w14:textId="77777777" w:rsidR="002A5785" w:rsidRDefault="00000000">
      <w:r>
        <w:rPr>
          <w:b/>
        </w:rPr>
        <w:t>Stated objective.</w:t>
      </w:r>
      <w:r>
        <w:t xml:space="preserve"> Our explicit goal was to </w:t>
      </w:r>
      <w:r>
        <w:rPr>
          <w:b/>
        </w:rPr>
        <w:t>beat the best published result on this exact dataset</w:t>
      </w:r>
      <w:r>
        <w:t xml:space="preserve"> — the </w:t>
      </w:r>
      <w:r>
        <w:rPr>
          <w:b/>
        </w:rPr>
        <w:t>F1 ≈ 0.620</w:t>
      </w:r>
      <w:r>
        <w:t xml:space="preserve"> reported by Grzeszczyk et al. [1], who estimate cognitive load from the </w:t>
      </w:r>
      <w:r>
        <w:rPr>
          <w:i/>
        </w:rPr>
        <w:t>same</w:t>
      </w:r>
      <w:r>
        <w:t xml:space="preserve"> CogWear wristband using </w:t>
      </w:r>
      <w:r>
        <w:rPr>
          <w:b/>
        </w:rPr>
        <w:t>PPG only</w:t>
      </w:r>
      <w:r>
        <w:t xml:space="preserve"> — and to do so under an honest held-out evaluation rather than a favourable cross-validation slice. Every design choice below is in service of clearing that bar defensibly.</w:t>
      </w:r>
    </w:p>
    <w:p w14:paraId="30D5DE9D" w14:textId="77777777" w:rsidR="002A5785" w:rsidRDefault="00000000">
      <w:pPr>
        <w:pStyle w:val="Heading2"/>
      </w:pPr>
      <w:r>
        <w:t>3. Why a Non-AI Baseline Is Insufficient</w:t>
      </w:r>
    </w:p>
    <w:p w14:paraId="17CA05FA" w14:textId="77777777" w:rsidR="002A5785" w:rsidRDefault="00000000">
      <w:r>
        <w:t xml:space="preserve">The natural non-AI baseline is a </w:t>
      </w:r>
      <w:r>
        <w:rPr>
          <w:b/>
        </w:rPr>
        <w:t>fixed-threshold heuristic on heart rate</w:t>
      </w:r>
      <w:r>
        <w:t xml:space="preserve"> (or HR + EDA): flag "high load" when HR exceeds a global cutoff, or exceeds resting HR by a fixed margin. We treat this as the explicit baseline — and it fails for concrete, measurable reasons:</w:t>
      </w:r>
    </w:p>
    <w:p w14:paraId="3C541299" w14:textId="77777777" w:rsidR="002A5785" w:rsidRDefault="00000000">
      <w:pPr>
        <w:ind w:left="360"/>
      </w:pPr>
      <w:r>
        <w:rPr>
          <w:b/>
        </w:rPr>
        <w:t>1. Inter-subject variability dominates.</w:t>
      </w:r>
      <w:r>
        <w:t xml:space="preserve"> Resting HR, EDA tonic level, and skin temperature</w:t>
      </w:r>
    </w:p>
    <w:p w14:paraId="005A5C11" w14:textId="77777777" w:rsidR="002A5785" w:rsidRDefault="00000000">
      <w:r>
        <w:t xml:space="preserve">differ enormously between people. One global threshold that fits one subject mislabels the next. (This is precisely why the system has a per-user </w:t>
      </w:r>
      <w:r>
        <w:rPr>
          <w:b/>
        </w:rPr>
        <w:t>calibration</w:t>
      </w:r>
      <w:r>
        <w:t xml:space="preserve"> step.) Even per-subject </w:t>
      </w:r>
      <w:r>
        <w:rPr>
          <w:i/>
        </w:rPr>
        <w:t>single-signal</w:t>
      </w:r>
      <w:r>
        <w:t xml:space="preserve"> thresholds ignore the multivariate structure — HRV morphology, skin-conductance response dynamics, thermal slope — that actually separates the classes.</w:t>
      </w:r>
    </w:p>
    <w:p w14:paraId="258A9B8B" w14:textId="77777777" w:rsidR="002A5785" w:rsidRDefault="00000000">
      <w:pPr>
        <w:ind w:left="360"/>
      </w:pPr>
      <w:r>
        <w:rPr>
          <w:b/>
        </w:rPr>
        <w:t>2. Confounds.</w:t>
      </w:r>
      <w:r>
        <w:t xml:space="preserve"> HR rises with physical movement, caffeine, and ambient heat — none of which</w:t>
      </w:r>
    </w:p>
    <w:p w14:paraId="517DF325" w14:textId="77777777" w:rsidR="002A5785" w:rsidRDefault="00000000">
      <w:r>
        <w:t>are cognitive load. A threshold cannot disentangle these; a model weighing 18 features across three physiological systems can.</w:t>
      </w:r>
    </w:p>
    <w:p w14:paraId="67E5BDE3" w14:textId="77777777" w:rsidR="002A5785" w:rsidRDefault="00000000">
      <w:pPr>
        <w:ind w:left="360"/>
      </w:pPr>
      <w:r>
        <w:rPr>
          <w:b/>
        </w:rPr>
        <w:t>3. Measured ceiling.</w:t>
      </w:r>
      <w:r>
        <w:t xml:space="preserve"> The published benchmark on this exact dataset (Grzeszczyk et</w:t>
      </w:r>
    </w:p>
    <w:p w14:paraId="73B2996F" w14:textId="77777777" w:rsidR="002A5785" w:rsidRDefault="00000000">
      <w:r>
        <w:lastRenderedPageBreak/>
        <w:t xml:space="preserve">al. [1], CogWear) reports </w:t>
      </w:r>
      <w:r>
        <w:rPr>
          <w:b/>
        </w:rPr>
        <w:t>F1 ≈ 0.620</w:t>
      </w:r>
      <w:r>
        <w:t xml:space="preserve"> — and does so using </w:t>
      </w:r>
      <w:r>
        <w:rPr>
          <w:b/>
        </w:rPr>
        <w:t>PPG only</w:t>
      </w:r>
      <w:r>
        <w:t>, leaving the EDA and temperature signals on the same wristband unused. The non-AI ceiling is empirically visible, and our multimodal pipeline clears it by a wide margin.</w:t>
      </w:r>
    </w:p>
    <w:p w14:paraId="25B52DB6" w14:textId="77777777" w:rsidR="002A5785" w:rsidRDefault="00000000">
      <w:pPr>
        <w:pStyle w:val="Heading2"/>
      </w:pPr>
      <w:r>
        <w:t>4. Related Work (Literature Review)</w:t>
      </w:r>
    </w:p>
    <w:p w14:paraId="32A778A8" w14:textId="77777777" w:rsidR="002A5785" w:rsidRDefault="00000000">
      <w:r>
        <w:t xml:space="preserve">Cognitive-load (CL) estimation from physiological signals has converged on a common experimental paradigm — contrasting a </w:t>
      </w:r>
      <w:r>
        <w:rPr>
          <w:b/>
        </w:rPr>
        <w:t>resting baseline</w:t>
      </w:r>
      <w:r>
        <w:t xml:space="preserve"> against a </w:t>
      </w:r>
      <w:r>
        <w:rPr>
          <w:b/>
        </w:rPr>
        <w:t>Stroop-test load condition</w:t>
      </w:r>
      <w:r>
        <w:t xml:space="preserve"> (the same paradigm we use) — but the literature splits sharply on </w:t>
      </w:r>
      <w:r>
        <w:rPr>
          <w:i/>
        </w:rPr>
        <w:t>sensor modality</w:t>
      </w:r>
      <w:r>
        <w:t>, and that split defines our opportunity.</w:t>
      </w:r>
    </w:p>
    <w:p w14:paraId="5DCCA131" w14:textId="77777777" w:rsidR="002A5785" w:rsidRDefault="00000000">
      <w:pPr>
        <w:pStyle w:val="ListBullet"/>
      </w:pPr>
      <w:r>
        <w:rPr>
          <w:b/>
        </w:rPr>
        <w:t>EEG-based approaches are accurate but not field-deployable.</w:t>
      </w:r>
      <w:r>
        <w:t xml:space="preserve"> Hassan et al. [2] estimate a</w:t>
      </w:r>
    </w:p>
    <w:p w14:paraId="0E50BEAE" w14:textId="77777777" w:rsidR="002A5785" w:rsidRDefault="00000000">
      <w:r>
        <w:t xml:space="preserve">CL index from a four-channel wearable EEG device using a hybrid, cluster-based </w:t>
      </w:r>
      <w:r>
        <w:rPr>
          <w:i/>
        </w:rPr>
        <w:t>unsupervised</w:t>
      </w:r>
      <w:r>
        <w:t xml:space="preserve"> pipeline (a 1-D CNN for feature extraction feeding clustering, removing the need for manual labels), reporting </w:t>
      </w:r>
      <w:r>
        <w:rPr>
          <w:b/>
        </w:rPr>
        <w:t>93.2 % accuracy</w:t>
      </w:r>
      <w:r>
        <w:t xml:space="preserve"> (silhouette 0.5, adjusted Rand index 0.78) on the same baseline-vs-Stroop contrast. The accuracy is excellent, but the dependence on a head-mounted multi-channel EEG cap is precisely the constraint that prevents real-world, all-shift use.</w:t>
      </w:r>
    </w:p>
    <w:p w14:paraId="4AAFBF93" w14:textId="77777777" w:rsidR="002A5785" w:rsidRDefault="00000000">
      <w:pPr>
        <w:pStyle w:val="ListBullet"/>
      </w:pPr>
      <w:r>
        <w:rPr>
          <w:b/>
        </w:rPr>
        <w:t>Wrist/PPG-based approaches are deployable but, to date, lower-performing.</w:t>
      </w:r>
      <w:r>
        <w:t xml:space="preserve"> Grzeszczyk et</w:t>
      </w:r>
    </w:p>
    <w:p w14:paraId="5355443E" w14:textId="77777777" w:rsidR="002A5785" w:rsidRDefault="00000000">
      <w:r>
        <w:t xml:space="preserve">al. [1] — our direct benchmark — estimate CL from a consumer wristband on the </w:t>
      </w:r>
      <w:r>
        <w:rPr>
          <w:b/>
        </w:rPr>
        <w:t>CogWear</w:t>
      </w:r>
      <w:r>
        <w:t xml:space="preserve"> dataset using </w:t>
      </w:r>
      <w:r>
        <w:rPr>
          <w:b/>
        </w:rPr>
        <w:t>PPG (blood-volume pulse) only</w:t>
      </w:r>
      <w:r>
        <w:t xml:space="preserve">, training personalized detectors on 11 participants and evaluating on 13, and report </w:t>
      </w:r>
      <w:r>
        <w:rPr>
          <w:b/>
        </w:rPr>
        <w:t>F1 ≈ 0.620</w:t>
      </w:r>
      <w:r>
        <w:t xml:space="preserve">. Notably, they leave the EDA and temperature channels available on the </w:t>
      </w:r>
      <w:r>
        <w:rPr>
          <w:i/>
        </w:rPr>
        <w:t>same</w:t>
      </w:r>
      <w:r>
        <w:t xml:space="preserve"> wristband unused. Earlier wearable work using SVMs on GSR+PPG reports ~74–78 % accuracy but adds extra electrodes (as surveyed in [1]).</w:t>
      </w:r>
    </w:p>
    <w:p w14:paraId="0927D033" w14:textId="77777777" w:rsidR="002A5785" w:rsidRDefault="00000000">
      <w:r>
        <w:rPr>
          <w:b/>
        </w:rPr>
        <w:t>The gap we target.</w:t>
      </w:r>
      <w:r>
        <w:t xml:space="preserve"> The field offers either </w:t>
      </w:r>
      <w:r>
        <w:rPr>
          <w:i/>
        </w:rPr>
        <w:t>accurate-but-unwearable</w:t>
      </w:r>
      <w:r>
        <w:t xml:space="preserve"> (EEG) or </w:t>
      </w:r>
      <w:r>
        <w:rPr>
          <w:i/>
        </w:rPr>
        <w:t>wearable-but-PPG-only</w:t>
      </w:r>
      <w:r>
        <w:t xml:space="preserve"> (CogWear) CL detection. Our contribution sits in the deployable quadrant: we keep the consumer-wristband form factor of [1] but </w:t>
      </w:r>
      <w:r>
        <w:rPr>
          <w:b/>
        </w:rPr>
        <w:t>fuse all three of its signals (BVP + EDA + temperature)</w:t>
      </w:r>
      <w:r>
        <w:t xml:space="preserve"> and add </w:t>
      </w:r>
      <w:r>
        <w:rPr>
          <w:b/>
        </w:rPr>
        <w:t>per-user rest calibration</w:t>
      </w:r>
      <w:r>
        <w:t xml:space="preserve">, lifting held-out performance to </w:t>
      </w:r>
      <w:r>
        <w:rPr>
          <w:b/>
        </w:rPr>
        <w:t>F1 0.785 vs the 0.620 benchmark</w:t>
      </w:r>
      <w:r>
        <w:t xml:space="preserve"> — without ever requiring an EEG headset.</w:t>
      </w:r>
    </w:p>
    <w:p w14:paraId="576AE78D" w14:textId="77777777" w:rsidR="002A5785" w:rsidRDefault="00000000">
      <w:pPr>
        <w:pStyle w:val="Heading2"/>
      </w:pPr>
      <w:r>
        <w:t>5. Why the AI Approach Is Justified — Quantitatively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785" w14:paraId="418DAA67" w14:textId="77777777" w:rsidTr="002A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200D0" w14:textId="77777777" w:rsidR="002A5785" w:rsidRDefault="00000000">
            <w:r>
              <w:t>Lever</w:t>
            </w:r>
          </w:p>
        </w:tc>
        <w:tc>
          <w:tcPr>
            <w:tcW w:w="4320" w:type="dxa"/>
          </w:tcPr>
          <w:p w14:paraId="6E25F750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Effect</w:t>
            </w:r>
          </w:p>
        </w:tc>
      </w:tr>
      <w:tr w:rsidR="002A5785" w14:paraId="03CCFF6C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F124C" w14:textId="77777777" w:rsidR="002A5785" w:rsidRDefault="00000000">
            <w:r>
              <w:t>Multivariate feature engineering (7 EDA + 6 BVP/HRV + 5 temp)</w:t>
            </w:r>
          </w:p>
        </w:tc>
        <w:tc>
          <w:tcPr>
            <w:tcW w:w="4320" w:type="dxa"/>
          </w:tcPr>
          <w:p w14:paraId="0CFDE87F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captures interactions a threshold cannot</w:t>
            </w:r>
          </w:p>
        </w:tc>
      </w:tr>
      <w:tr w:rsidR="002A5785" w14:paraId="31B66A50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F76F2" w14:textId="77777777" w:rsidR="002A5785" w:rsidRDefault="00000000">
            <w:r>
              <w:t>Per-subject normalization + rest-only calibration</w:t>
            </w:r>
          </w:p>
        </w:tc>
        <w:tc>
          <w:tcPr>
            <w:tcW w:w="4320" w:type="dxa"/>
          </w:tcPr>
          <w:p w14:paraId="51332244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removes the inter-subject variance that sinks global thresholds — without label leakage</w:t>
            </w:r>
          </w:p>
        </w:tc>
      </w:tr>
      <w:tr w:rsidR="002A5785" w14:paraId="2DCEE9EE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95036" w14:textId="77777777" w:rsidR="002A5785" w:rsidRDefault="00000000">
            <w:r>
              <w:t>23-fold bagging ensemble</w:t>
            </w:r>
          </w:p>
        </w:tc>
        <w:tc>
          <w:tcPr>
            <w:tcW w:w="4320" w:type="dxa"/>
          </w:tcPr>
          <w:p w14:paraId="6C26F697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reduces high between-subject variance (LOSO std 0.083)</w:t>
            </w:r>
          </w:p>
        </w:tc>
      </w:tr>
      <w:tr w:rsidR="002A5785" w14:paraId="2C0EFF9B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118AA" w14:textId="77777777" w:rsidR="002A5785" w:rsidRDefault="00000000">
            <w:r>
              <w:t>Honest holdout (subject 24)</w:t>
            </w:r>
          </w:p>
        </w:tc>
        <w:tc>
          <w:tcPr>
            <w:tcW w:w="4320" w:type="dxa"/>
          </w:tcPr>
          <w:p w14:paraId="3D4C1D5B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result is on a person the system never saw</w:t>
            </w:r>
          </w:p>
        </w:tc>
      </w:tr>
    </w:tbl>
    <w:p w14:paraId="5670A517" w14:textId="77777777" w:rsidR="002A5785" w:rsidRDefault="00000000">
      <w:r>
        <w:rPr>
          <w:b/>
        </w:rPr>
        <w:t>Result:</w:t>
      </w:r>
      <w:r>
        <w:t xml:space="preserve"> </w:t>
      </w:r>
      <w:r>
        <w:rPr>
          <w:b/>
        </w:rPr>
        <w:t>F1 0.785 on a completely unseen subject vs the 0.620 benchmark [1].</w:t>
      </w:r>
      <w:r>
        <w:t xml:space="preserve"> Subject 24 influenced no hyperparameter, no threshold, and no configuration choice — so this is the defensible headline, not a cross-validation number. (Our cross-validated </w:t>
      </w:r>
      <w:r>
        <w:rPr>
          <w:b/>
        </w:rPr>
        <w:t>LOSO mean F1 is 0.910</w:t>
      </w:r>
      <w:r>
        <w:t xml:space="preserve"> against the same 0.620 benchmark; we quote the held-out figure as the honest claim a customer would actually see.)</w:t>
      </w:r>
    </w:p>
    <w:p w14:paraId="3A7A3DA5" w14:textId="77777777" w:rsidR="002A5785" w:rsidRDefault="00000000">
      <w:pPr>
        <w:pStyle w:val="Heading2"/>
      </w:pPr>
      <w:r>
        <w:lastRenderedPageBreak/>
        <w:t>6. Who Would Deploy or Pay for This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85" w14:paraId="23C74E9B" w14:textId="77777777" w:rsidTr="002A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9BB80E" w14:textId="77777777" w:rsidR="002A5785" w:rsidRDefault="00000000">
            <w:r>
              <w:t>Segment</w:t>
            </w:r>
          </w:p>
        </w:tc>
        <w:tc>
          <w:tcPr>
            <w:tcW w:w="2880" w:type="dxa"/>
          </w:tcPr>
          <w:p w14:paraId="36F0FE7A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  <w:tc>
          <w:tcPr>
            <w:tcW w:w="2880" w:type="dxa"/>
          </w:tcPr>
          <w:p w14:paraId="565F5EDE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Buyer</w:t>
            </w:r>
          </w:p>
        </w:tc>
      </w:tr>
      <w:tr w:rsidR="002A5785" w14:paraId="07831691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1F4FA0" w14:textId="77777777" w:rsidR="002A5785" w:rsidRDefault="00000000">
            <w:r>
              <w:t>Safety-critical operations (ATC, rail, fleet/driver monitoring, defense)</w:t>
            </w:r>
          </w:p>
        </w:tc>
        <w:tc>
          <w:tcPr>
            <w:tcW w:w="2880" w:type="dxa"/>
          </w:tcPr>
          <w:p w14:paraId="3C3E7342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workload monitoring → task reallocation / alertness intervention</w:t>
            </w:r>
          </w:p>
        </w:tc>
        <w:tc>
          <w:tcPr>
            <w:tcW w:w="2880" w:type="dxa"/>
          </w:tcPr>
          <w:p w14:paraId="42D8856A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operations &amp; safety functions</w:t>
            </w:r>
          </w:p>
        </w:tc>
      </w:tr>
      <w:tr w:rsidR="002A5785" w14:paraId="5B987DBE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057119" w14:textId="77777777" w:rsidR="002A5785" w:rsidRDefault="00000000">
            <w:r>
              <w:t>Surgical / clinical training</w:t>
            </w:r>
          </w:p>
        </w:tc>
        <w:tc>
          <w:tcPr>
            <w:tcW w:w="2880" w:type="dxa"/>
          </w:tcPr>
          <w:p w14:paraId="2AD09D4E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objective load measurement during simulation</w:t>
            </w:r>
          </w:p>
        </w:tc>
        <w:tc>
          <w:tcPr>
            <w:tcW w:w="2880" w:type="dxa"/>
          </w:tcPr>
          <w:p w14:paraId="202F8F48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medical-education programs</w:t>
            </w:r>
          </w:p>
        </w:tc>
      </w:tr>
      <w:tr w:rsidR="002A5785" w14:paraId="5A4CAA87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1CD1E5" w14:textId="77777777" w:rsidR="002A5785" w:rsidRDefault="00000000">
            <w:r>
              <w:t>Adaptive learning platforms</w:t>
            </w:r>
          </w:p>
        </w:tc>
        <w:tc>
          <w:tcPr>
            <w:tcW w:w="2880" w:type="dxa"/>
          </w:tcPr>
          <w:p w14:paraId="60ACF8EF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pace content to the learner's measured load</w:t>
            </w:r>
          </w:p>
        </w:tc>
        <w:tc>
          <w:tcPr>
            <w:tcW w:w="2880" w:type="dxa"/>
          </w:tcPr>
          <w:p w14:paraId="66D6D23F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EdTech product teams</w:t>
            </w:r>
          </w:p>
        </w:tc>
      </w:tr>
      <w:tr w:rsidR="002A5785" w14:paraId="15C560EE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36EF9C" w14:textId="77777777" w:rsidR="002A5785" w:rsidRDefault="00000000">
            <w:r>
              <w:t>Occupational health &amp; wellbeing</w:t>
            </w:r>
          </w:p>
        </w:tc>
        <w:tc>
          <w:tcPr>
            <w:tcW w:w="2880" w:type="dxa"/>
          </w:tcPr>
          <w:p w14:paraId="38930319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burnout/overload analytics from existing wearables</w:t>
            </w:r>
          </w:p>
        </w:tc>
        <w:tc>
          <w:tcPr>
            <w:tcW w:w="2880" w:type="dxa"/>
          </w:tcPr>
          <w:p w14:paraId="7AEA9E3C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HR / wellbeing vendors</w:t>
            </w:r>
          </w:p>
        </w:tc>
      </w:tr>
    </w:tbl>
    <w:p w14:paraId="50244AF9" w14:textId="77777777" w:rsidR="002A5785" w:rsidRDefault="00000000">
      <w:r>
        <w:t xml:space="preserve">The buyer is an operations, safety, or L&amp;D function that </w:t>
      </w:r>
      <w:r>
        <w:rPr>
          <w:b/>
        </w:rPr>
        <w:t>already issues wearables</w:t>
      </w:r>
      <w:r>
        <w:t xml:space="preserve"> and needs a workload signal that survives real-world inter-subject variation — exactly where the fixed-threshold baseline breaks. Integration is an API call, not a new hardware rollout.</w:t>
      </w:r>
    </w:p>
    <w:p w14:paraId="1B5D1B5C" w14:textId="77777777" w:rsidR="002A5785" w:rsidRDefault="00000000">
      <w:pPr>
        <w:pStyle w:val="Heading2"/>
      </w:pPr>
      <w:r>
        <w:t>7. Novelty Claim (Explicit)</w:t>
      </w:r>
    </w:p>
    <w:p w14:paraId="5DEF5749" w14:textId="77777777" w:rsidR="002A5785" w:rsidRDefault="00000000">
      <w:r>
        <w:t xml:space="preserve">The novelty is </w:t>
      </w:r>
      <w:r>
        <w:rPr>
          <w:b/>
        </w:rPr>
        <w:t>not</w:t>
      </w:r>
      <w:r>
        <w:t xml:space="preserve"> a new model architecture. It is the </w:t>
      </w:r>
      <w:r>
        <w:rPr>
          <w:b/>
        </w:rPr>
        <w:t>engineering result</w:t>
      </w:r>
      <w:r>
        <w:t xml:space="preserve">: a </w:t>
      </w:r>
      <w:r>
        <w:rPr>
          <w:i/>
        </w:rPr>
        <w:t>deployable, calibrated, single-wristband</w:t>
      </w:r>
      <w:r>
        <w:t xml:space="preserve"> pipeline that beats the published CogWear benchmark [1] on a held-out subject (F1 0.785 vs 0.620), served behind a real cloud API with </w:t>
      </w:r>
      <w:r>
        <w:rPr>
          <w:b/>
        </w:rPr>
        <w:t>calibration as a first-class service</w:t>
      </w:r>
      <w:r>
        <w:t xml:space="preserve">. The combination — consumer-hardware-only inputs + per-user calibration + honest holdout evaluation + production serving with monitoring — is the contribution. Per the spec's "should not have been done before" requirement, the explicit claim is on this </w:t>
      </w:r>
      <w:r>
        <w:rPr>
          <w:i/>
        </w:rPr>
        <w:t>system-level</w:t>
      </w:r>
      <w:r>
        <w:t xml:space="preserve"> result, not on the underlying classifier.</w:t>
      </w:r>
    </w:p>
    <w:p w14:paraId="41F47492" w14:textId="77777777" w:rsidR="002A5785" w:rsidRDefault="00000000">
      <w:pPr>
        <w:pStyle w:val="Heading2"/>
      </w:pPr>
      <w:r>
        <w:t>8. Value Proposition &amp; Operating Economics</w:t>
      </w:r>
    </w:p>
    <w:p w14:paraId="5A28D1D7" w14:textId="77777777" w:rsidR="002A5785" w:rsidRDefault="00000000">
      <w:pPr>
        <w:pStyle w:val="ListBullet"/>
      </w:pPr>
      <w:r>
        <w:rPr>
          <w:b/>
        </w:rPr>
        <w:t>Cost to run:</w:t>
      </w:r>
      <w:r>
        <w:t xml:space="preserve"> ≈ </w:t>
      </w:r>
      <w:r>
        <w:rPr>
          <w:b/>
        </w:rPr>
        <w:t>$4–5/day</w:t>
      </w:r>
      <w:r>
        <w:t xml:space="preserve"> on AWS EKS (control plane dominates; compute is the</w:t>
      </w:r>
    </w:p>
    <w:p w14:paraId="6B0705E9" w14:textId="77777777" w:rsidR="002A5785" w:rsidRDefault="00000000">
      <w:r>
        <w:t>smallest line item — see Technical Documentation §3.6). A single small cluster serves the whole API; scaling is per-pod, not per-rollout.</w:t>
      </w:r>
    </w:p>
    <w:p w14:paraId="077AAF90" w14:textId="77777777" w:rsidR="002A5785" w:rsidRDefault="00000000">
      <w:pPr>
        <w:pStyle w:val="ListBullet"/>
      </w:pPr>
      <w:r>
        <w:rPr>
          <w:b/>
        </w:rPr>
        <w:t>Cost to adopt:</w:t>
      </w:r>
      <w:r>
        <w:t xml:space="preserve"> no new hardware where wearables already exist; onboarding a user is one</w:t>
      </w:r>
    </w:p>
    <w:p w14:paraId="08ADDACB" w14:textId="77777777" w:rsidR="002A5785" w:rsidRDefault="00000000">
      <w:r>
        <w:t>~30 s rest-calibration call.</w:t>
      </w:r>
    </w:p>
    <w:p w14:paraId="10AF490F" w14:textId="77777777" w:rsidR="002A5785" w:rsidRDefault="00000000">
      <w:pPr>
        <w:pStyle w:val="ListBullet"/>
      </w:pPr>
      <w:r>
        <w:rPr>
          <w:b/>
        </w:rPr>
        <w:t>Risk posture:</w:t>
      </w:r>
      <w:r>
        <w:t xml:space="preserve"> explicit, auditable model promotion (no accidental swaps); full</w:t>
      </w:r>
    </w:p>
    <w:p w14:paraId="2F92777A" w14:textId="77777777" w:rsidR="002A5785" w:rsidRDefault="00000000">
      <w:r>
        <w:t xml:space="preserve">observability with </w:t>
      </w:r>
      <w:r>
        <w:rPr>
          <w:b/>
        </w:rPr>
        <w:t>ML-specific drift signals</w:t>
      </w:r>
      <w:r>
        <w:t xml:space="preserve"> so silent degradation is caught early; honest holdout evaluation so the quoted accuracy is the one a customer actually gets.</w:t>
      </w:r>
    </w:p>
    <w:p w14:paraId="20FE518C" w14:textId="77777777" w:rsidR="002A5785" w:rsidRDefault="00000000">
      <w:pPr>
        <w:pStyle w:val="Heading2"/>
      </w:pPr>
      <w:r>
        <w:t>9. Limitations &amp; Honest Scope</w:t>
      </w:r>
    </w:p>
    <w:p w14:paraId="578B339C" w14:textId="77777777" w:rsidR="002A5785" w:rsidRDefault="00000000">
      <w:pPr>
        <w:pStyle w:val="ListBullet"/>
      </w:pPr>
      <w:r>
        <w:rPr>
          <w:b/>
        </w:rPr>
        <w:t>Calibration dependency:</w:t>
      </w:r>
      <w:r>
        <w:t xml:space="preserve"> predictions are trustworthy only after a brief rest-calibration;</w:t>
      </w:r>
    </w:p>
    <w:p w14:paraId="1247DA04" w14:textId="77777777" w:rsidR="002A5785" w:rsidRDefault="00000000">
      <w:r>
        <w:t>uncalibrated requests run in a flagged degraded mode (and are counted in monitoring).</w:t>
      </w:r>
    </w:p>
    <w:p w14:paraId="698385F8" w14:textId="77777777" w:rsidR="002A5785" w:rsidRDefault="00000000">
      <w:pPr>
        <w:pStyle w:val="ListBullet"/>
      </w:pPr>
      <w:r>
        <w:rPr>
          <w:b/>
        </w:rPr>
        <w:t>Train/serve normalization mismatch:</w:t>
      </w:r>
      <w:r>
        <w:t xml:space="preserve"> training normalizes over all of a subject's windows;</w:t>
      </w:r>
    </w:p>
    <w:p w14:paraId="75B775F9" w14:textId="77777777" w:rsidR="002A5785" w:rsidRDefault="00000000">
      <w:r>
        <w:t xml:space="preserve">deployment calibrates on rest only. This is documented and </w:t>
      </w:r>
      <w:r>
        <w:rPr>
          <w:b/>
        </w:rPr>
        <w:t>monitored</w:t>
      </w:r>
      <w:r>
        <w:t xml:space="preserve"> via the input-drift signal rather than hidden (Technical Documentation §7, Tradeoff 4).</w:t>
      </w:r>
    </w:p>
    <w:p w14:paraId="1A35CD77" w14:textId="77777777" w:rsidR="002A5785" w:rsidRDefault="00000000">
      <w:pPr>
        <w:pStyle w:val="ListBullet"/>
      </w:pPr>
      <w:r>
        <w:rPr>
          <w:b/>
        </w:rPr>
        <w:lastRenderedPageBreak/>
        <w:t>Dataset scope:</w:t>
      </w:r>
      <w:r>
        <w:t xml:space="preserve"> 24 subjects (CogWear); Muse EEG and Samsung BVP are intentionally out of</w:t>
      </w:r>
    </w:p>
    <w:p w14:paraId="1D181963" w14:textId="77777777" w:rsidR="002A5785" w:rsidRDefault="00000000">
      <w:r>
        <w:t>scope. Broader populations and field conditions are the natural next validation step.</w:t>
      </w:r>
    </w:p>
    <w:p w14:paraId="4092A58F" w14:textId="77777777" w:rsidR="002A5785" w:rsidRDefault="00000000">
      <w:pPr>
        <w:pStyle w:val="ListBullet"/>
      </w:pPr>
      <w:r>
        <w:rPr>
          <w:b/>
        </w:rPr>
        <w:t>Binary output:</w:t>
      </w:r>
      <w:r>
        <w:t xml:space="preserve"> high/low only — graded load levels are future work.</w:t>
      </w:r>
    </w:p>
    <w:p w14:paraId="54E63A70" w14:textId="77777777" w:rsidR="002A5785" w:rsidRDefault="00000000">
      <w:pPr>
        <w:pStyle w:val="Heading2"/>
      </w:pPr>
      <w:r>
        <w:t>10. Summary</w:t>
      </w:r>
    </w:p>
    <w:p w14:paraId="1F5CAC36" w14:textId="77777777" w:rsidR="002A5785" w:rsidRDefault="00000000">
      <w:r>
        <w:t xml:space="preserve">A consumer wristband, a calibration service, and a 23-model ensemble — deployed on a public AWS API with full observability — turn a signal that defeats fixed thresholds into a </w:t>
      </w:r>
      <w:r>
        <w:rPr>
          <w:b/>
        </w:rPr>
        <w:t>cognitive-load detector scoring F1 0.785 on an unseen subject vs the 0.620 published benchmark [1]</w:t>
      </w:r>
      <w:r>
        <w:t>, at roughly the cost of a coffee per day to operate.</w:t>
      </w:r>
    </w:p>
    <w:p w14:paraId="41475F12" w14:textId="77777777" w:rsidR="002A5785" w:rsidRDefault="00000000">
      <w:pPr>
        <w:pStyle w:val="Heading2"/>
      </w:pPr>
      <w:r>
        <w:t>References</w:t>
      </w:r>
    </w:p>
    <w:p w14:paraId="6A170C01" w14:textId="77777777" w:rsidR="002A5785" w:rsidRDefault="00000000">
      <w:r>
        <w:t xml:space="preserve">[1] M. K. Grzeszczyk, P. Adamczyk, S. Marek, R. Pręcikowski, M. Kuś, M. P. Lelujko, R. Blanco, T. Trzciński, A. Sitek, M. Malawski, and A. Lisowska, </w:t>
      </w:r>
      <w:r>
        <w:rPr>
          <w:i/>
        </w:rPr>
        <w:t>"Can gamification reduce the burden of self-reporting in mHealth applications? A feasibility study using machine learning from smartwatch data to estimate cognitive load,"</w:t>
      </w:r>
      <w:r>
        <w:t xml:space="preserve"> arXiv preprint arXiv:2302.03616,</w:t>
      </w:r>
    </w:p>
    <w:p w14:paraId="113473BC" w14:textId="77777777" w:rsidR="002A5785" w:rsidRDefault="00000000">
      <w:pPr>
        <w:ind w:left="360"/>
      </w:pPr>
      <w:r>
        <w:rPr>
          <w:b/>
        </w:rPr>
        <w:t xml:space="preserve">2023. </w:t>
      </w:r>
      <w:r>
        <w:t>Available: https://arxiv.org/abs/2302.03616 — the CogWear benchmark (F1 ≈ 0.620,</w:t>
      </w:r>
    </w:p>
    <w:p w14:paraId="24489FF5" w14:textId="77777777" w:rsidR="002A5785" w:rsidRDefault="00000000">
      <w:r>
        <w:t>PPG-only; 11 training / 13 evaluation participants).</w:t>
      </w:r>
    </w:p>
    <w:p w14:paraId="112D3760" w14:textId="77777777" w:rsidR="002A5785" w:rsidRDefault="00000000">
      <w:r>
        <w:t xml:space="preserve">[2] I. Hassan, M. Zolezzi, H. Khalil, R. M. Al Saady, S. Pedersen, and M. E. H. Chowdhury, </w:t>
      </w:r>
      <w:r>
        <w:rPr>
          <w:i/>
        </w:rPr>
        <w:t>"Cognitive Load Estimation Using a Hybrid Cluster-Based Unsupervised Machine Learning Technique,"</w:t>
      </w:r>
      <w:r>
        <w:t xml:space="preserve"> IEEE Access, vol. 12, pp. 118785–118799, 2024, doi: 10.1109/ACCESS.2024.3428691 — four-channel wearable EEG; unsupervised 1-D CNN + clustering; 93.2 % accuracy on a baseline-vs-Stroop CL contrast. &lt;/content&gt;</w:t>
      </w:r>
    </w:p>
    <w:p w14:paraId="0EB2084A" w14:textId="77777777" w:rsidR="002A5785" w:rsidRDefault="00000000">
      <w:r>
        <w:br w:type="page"/>
      </w:r>
    </w:p>
    <w:p w14:paraId="5EF4AB04" w14:textId="77777777" w:rsidR="002A5785" w:rsidRDefault="00000000">
      <w:pPr>
        <w:pStyle w:val="Heading1"/>
      </w:pPr>
      <w:r>
        <w:lastRenderedPageBreak/>
        <w:t>CogLoad — Technical Documentation</w:t>
      </w:r>
    </w:p>
    <w:p w14:paraId="6B5191C4" w14:textId="77777777" w:rsidR="002A5785" w:rsidRDefault="00000000">
      <w:r>
        <w:t xml:space="preserve">Production-oriented AI system for </w:t>
      </w:r>
      <w:r>
        <w:rPr>
          <w:b/>
        </w:rPr>
        <w:t>binary cognitive-load classification</w:t>
      </w:r>
      <w:r>
        <w:t xml:space="preserve"> (high / low) from Empatica E4 wrist signals (BVP 64 Hz, EDA 4 Hz, Temperature 4 Hz) on the CogWear dataset (24 subjects).</w:t>
      </w:r>
    </w:p>
    <w:p w14:paraId="3351F9D3" w14:textId="77777777" w:rsidR="002A5785" w:rsidRDefault="00000000">
      <w:r>
        <w:rPr>
          <w:b/>
        </w:rPr>
        <w:t>Result:</w:t>
      </w:r>
      <w:r>
        <w:t xml:space="preserve"> LOSO F1 </w:t>
      </w:r>
      <w:r>
        <w:rPr>
          <w:b/>
        </w:rPr>
        <w:t>0.910 ± 0.083</w:t>
      </w:r>
      <w:r>
        <w:t xml:space="preserve"> · Holdout subject-24 F1 </w:t>
      </w:r>
      <w:r>
        <w:rPr>
          <w:b/>
        </w:rPr>
        <w:t>0.785</w:t>
      </w:r>
      <w:r>
        <w:t xml:space="preserve"> · Benchmark (Grzeszczyk et al.) </w:t>
      </w:r>
      <w:r>
        <w:rPr>
          <w:b/>
        </w:rPr>
        <w:t>0.620</w:t>
      </w:r>
      <w:r>
        <w:t xml:space="preserve"> — i.e. </w:t>
      </w:r>
      <w:r>
        <w:rPr>
          <w:b/>
        </w:rPr>
        <w:t>F1 0.785 vs 0.620 benchmark</w:t>
      </w:r>
      <w:r>
        <w:t xml:space="preserve"> on the held-out subject, served behind a public AWS API.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785" w14:paraId="4689713C" w14:textId="77777777" w:rsidTr="002A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9E399" w14:textId="77777777" w:rsidR="002A5785" w:rsidRDefault="00000000">
            <w:r>
              <w:t>Champion parameter</w:t>
            </w:r>
          </w:p>
        </w:tc>
        <w:tc>
          <w:tcPr>
            <w:tcW w:w="4320" w:type="dxa"/>
          </w:tcPr>
          <w:p w14:paraId="29CD5D85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2A5785" w14:paraId="373EDB01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9F44C" w14:textId="77777777" w:rsidR="002A5785" w:rsidRDefault="00000000">
            <w:r>
              <w:t>Window / hop</w:t>
            </w:r>
          </w:p>
        </w:tc>
        <w:tc>
          <w:tcPr>
            <w:tcW w:w="4320" w:type="dxa"/>
          </w:tcPr>
          <w:p w14:paraId="5BADD7DB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s / 15 s</w:t>
            </w:r>
          </w:p>
        </w:tc>
      </w:tr>
      <w:tr w:rsidR="002A5785" w14:paraId="4E72F35B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64852B" w14:textId="77777777" w:rsidR="002A5785" w:rsidRDefault="00000000">
            <w:r>
              <w:t>Baseline offset</w:t>
            </w:r>
          </w:p>
        </w:tc>
        <w:tc>
          <w:tcPr>
            <w:tcW w:w="4320" w:type="dxa"/>
          </w:tcPr>
          <w:p w14:paraId="085560E5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s</w:t>
            </w:r>
          </w:p>
        </w:tc>
      </w:tr>
      <w:tr w:rsidR="002A5785" w14:paraId="43A9A0D6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EEB7F3" w14:textId="77777777" w:rsidR="002A5785" w:rsidRDefault="00000000">
            <w:r>
              <w:t>XGBoost max_depth</w:t>
            </w:r>
          </w:p>
        </w:tc>
        <w:tc>
          <w:tcPr>
            <w:tcW w:w="4320" w:type="dxa"/>
          </w:tcPr>
          <w:p w14:paraId="2313A4E5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2A5785" w14:paraId="6831F50A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8BFBB2" w14:textId="77777777" w:rsidR="002A5785" w:rsidRDefault="00000000">
            <w:r>
              <w:t>Decision threshold</w:t>
            </w:r>
          </w:p>
        </w:tc>
        <w:tc>
          <w:tcPr>
            <w:tcW w:w="4320" w:type="dxa"/>
          </w:tcPr>
          <w:p w14:paraId="5E43C037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0.20</w:t>
            </w:r>
          </w:p>
        </w:tc>
      </w:tr>
      <w:tr w:rsidR="002A5785" w14:paraId="101AB1C9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27286" w14:textId="77777777" w:rsidR="002A5785" w:rsidRDefault="00000000">
            <w:r>
              <w:t>Ensemble</w:t>
            </w:r>
          </w:p>
        </w:tc>
        <w:tc>
          <w:tcPr>
            <w:tcW w:w="4320" w:type="dxa"/>
          </w:tcPr>
          <w:p w14:paraId="10405C1E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LOSO fold models, mean of </w:t>
            </w:r>
            <w:r>
              <w:rPr>
                <w:rFonts w:ascii="Courier New" w:hAnsi="Courier New"/>
              </w:rPr>
              <w:t>predict_proba</w:t>
            </w:r>
          </w:p>
        </w:tc>
      </w:tr>
      <w:tr w:rsidR="002A5785" w14:paraId="51C277FE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3190D" w14:textId="77777777" w:rsidR="002A5785" w:rsidRDefault="00000000">
            <w:r>
              <w:t>ROC-AUC / PR-AUC</w:t>
            </w:r>
          </w:p>
        </w:tc>
        <w:tc>
          <w:tcPr>
            <w:tcW w:w="4320" w:type="dxa"/>
          </w:tcPr>
          <w:p w14:paraId="3C84E7EE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0.919 / 0.956</w:t>
            </w:r>
          </w:p>
        </w:tc>
      </w:tr>
    </w:tbl>
    <w:p w14:paraId="2C821FA5" w14:textId="77777777" w:rsidR="002A5785" w:rsidRDefault="00000000">
      <w:r>
        <w:t xml:space="preserve">Registered as </w:t>
      </w:r>
      <w:r>
        <w:rPr>
          <w:rFonts w:ascii="Courier New" w:hAnsi="Courier New"/>
        </w:rPr>
        <w:t>cogload-ensemble@champion</w:t>
      </w:r>
      <w:r>
        <w:t xml:space="preserve"> in the MLflow Model Registry.</w:t>
      </w:r>
    </w:p>
    <w:p w14:paraId="1704C4A7" w14:textId="77777777" w:rsidR="002A5785" w:rsidRDefault="00000000">
      <w:pPr>
        <w:pStyle w:val="Heading2"/>
      </w:pPr>
      <w:r>
        <w:t>1. System Architecture</w:t>
      </w:r>
    </w:p>
    <w:p w14:paraId="2CF8E7A0" w14:textId="77777777" w:rsidR="002A5785" w:rsidRDefault="00000000">
      <w:pPr>
        <w:pStyle w:val="Heading3"/>
      </w:pPr>
      <w:r>
        <w:t>1.1 Topology</w:t>
      </w:r>
    </w:p>
    <w:p w14:paraId="63DABE5D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┌──────────────────────────────────────────────┐</w:t>
      </w:r>
    </w:p>
    <w:p w14:paraId="59C5DC70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client  ───────► │  EEP — External Endpoint (public, FastAPI)    │</w:t>
      </w:r>
    </w:p>
    <w:p w14:paraId="16A688AF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(NLB :80)        │  validation · rate limit · timeouts · retries │</w:t>
      </w:r>
    </w:p>
    <w:p w14:paraId="0DD66CCE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│  /calibrate  /predict  /health  /metrics      │</w:t>
      </w:r>
    </w:p>
    <w:p w14:paraId="7618DC65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└───────┬───────────────────────────┬──────────┘</w:t>
      </w:r>
    </w:p>
    <w:p w14:paraId="32CC0C6C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        │ (rest signals)            │ (window + calib)</w:t>
      </w:r>
    </w:p>
    <w:p w14:paraId="59055D21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        ▼                            ▼</w:t>
      </w:r>
    </w:p>
    <w:p w14:paraId="3DD2A948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┌────────────────────────┐   ┌────────────────────────────┐</w:t>
      </w:r>
    </w:p>
    <w:p w14:paraId="55B51761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│ IEP-2  Calibration     │   │ IEP-1  Inference            │</w:t>
      </w:r>
    </w:p>
    <w:p w14:paraId="1F4ED77B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│ POST /calibrate        │   │ POST /predict               │</w:t>
      </w:r>
    </w:p>
    <w:p w14:paraId="2EAD4B19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│ rest signals → windows │   │ window → features →         │</w:t>
      </w:r>
    </w:p>
    <w:p w14:paraId="4926C783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│ → features → per-user  │   │ apply (x-μ)/σ → champion    │</w:t>
      </w:r>
    </w:p>
    <w:p w14:paraId="6FC0C6BA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│ mean/std (13 features) │   │ → threshold 0.20 → result   │</w:t>
      </w:r>
    </w:p>
    <w:p w14:paraId="5194BB1D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│ ClusterIP :8001        │   │ loads model from S3 (IRSA)  │</w:t>
      </w:r>
    </w:p>
    <w:p w14:paraId="51DB36CE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└────────────────────────┘   │ ClusterIP :8000             │</w:t>
      </w:r>
    </w:p>
    <w:p w14:paraId="61D24C8F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└──────────────┬──────────────┘</w:t>
      </w:r>
    </w:p>
    <w:p w14:paraId="5BCFEDFA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                                      │ /metrics</w:t>
      </w:r>
    </w:p>
    <w:p w14:paraId="52E97C77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        ┌─────────────────────────────▼─────────────┐</w:t>
      </w:r>
    </w:p>
    <w:p w14:paraId="6258C99B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        │ Prometheus (scrape 15s) → Grafana (7 panel)│</w:t>
      </w:r>
    </w:p>
    <w:p w14:paraId="033B1A20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                        └────────────────────────────────────────────┘</w:t>
      </w:r>
    </w:p>
    <w:p w14:paraId="0D65F6CC" w14:textId="77777777" w:rsidR="002A5785" w:rsidRDefault="00000000">
      <w:r>
        <w:t xml:space="preserve">Three services, three Docker images, three Kubernetes Deployments. The </w:t>
      </w:r>
      <w:r>
        <w:rPr>
          <w:b/>
        </w:rPr>
        <w:t>EEP is the only public service</w:t>
      </w:r>
      <w:r>
        <w:t xml:space="preserve">; both IEPs are </w:t>
      </w:r>
      <w:r>
        <w:rPr>
          <w:rFonts w:ascii="Courier New" w:hAnsi="Courier New"/>
        </w:rPr>
        <w:t>ClusterIP</w:t>
      </w:r>
      <w:r>
        <w:t xml:space="preserve"> (internal-only).</w:t>
      </w:r>
    </w:p>
    <w:p w14:paraId="1BB9BA4B" w14:textId="77777777" w:rsidR="002A5785" w:rsidRDefault="00000000">
      <w:pPr>
        <w:pStyle w:val="Heading3"/>
      </w:pPr>
      <w:r>
        <w:t>1.2 Why two *independent* IEPs (not a monolith)</w:t>
      </w:r>
    </w:p>
    <w:p w14:paraId="3F2C92FB" w14:textId="77777777" w:rsidR="002A5785" w:rsidRDefault="00000000">
      <w:r>
        <w:t>The internal services solve genuinely different problems with different lifecycles — they are not near-duplicates: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85" w14:paraId="463A05E1" w14:textId="77777777" w:rsidTr="002A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0F88D1" w14:textId="77777777" w:rsidR="002A5785" w:rsidRDefault="002A5785"/>
        </w:tc>
        <w:tc>
          <w:tcPr>
            <w:tcW w:w="2880" w:type="dxa"/>
          </w:tcPr>
          <w:p w14:paraId="6B008766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IEP-1 Inference</w:t>
            </w:r>
          </w:p>
        </w:tc>
        <w:tc>
          <w:tcPr>
            <w:tcW w:w="2880" w:type="dxa"/>
          </w:tcPr>
          <w:p w14:paraId="0E574D38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IEP-2 Calibration</w:t>
            </w:r>
          </w:p>
        </w:tc>
      </w:tr>
      <w:tr w:rsidR="002A5785" w14:paraId="3E05B445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06CD8" w14:textId="77777777" w:rsidR="002A5785" w:rsidRDefault="00000000">
            <w:r>
              <w:t>Job</w:t>
            </w:r>
          </w:p>
        </w:tc>
        <w:tc>
          <w:tcPr>
            <w:tcW w:w="2880" w:type="dxa"/>
          </w:tcPr>
          <w:p w14:paraId="1A5C67B9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Produce a </w:t>
            </w:r>
            <w:r>
              <w:rPr>
                <w:i/>
              </w:rPr>
              <w:t>prediction</w:t>
            </w:r>
          </w:p>
        </w:tc>
        <w:tc>
          <w:tcPr>
            <w:tcW w:w="2880" w:type="dxa"/>
          </w:tcPr>
          <w:p w14:paraId="6603E219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Produce </w:t>
            </w:r>
            <w:r>
              <w:rPr>
                <w:i/>
              </w:rPr>
              <w:t>normalization statistics</w:t>
            </w:r>
          </w:p>
        </w:tc>
      </w:tr>
      <w:tr w:rsidR="002A5785" w14:paraId="78CA59E1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E19713" w14:textId="77777777" w:rsidR="002A5785" w:rsidRDefault="00000000">
            <w:r>
              <w:t>Input</w:t>
            </w:r>
          </w:p>
        </w:tc>
        <w:tc>
          <w:tcPr>
            <w:tcW w:w="2880" w:type="dxa"/>
          </w:tcPr>
          <w:p w14:paraId="186DB635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One 60 s window + calib </w:t>
            </w:r>
            <w:r>
              <w:lastRenderedPageBreak/>
              <w:t>params</w:t>
            </w:r>
          </w:p>
        </w:tc>
        <w:tc>
          <w:tcPr>
            <w:tcW w:w="2880" w:type="dxa"/>
          </w:tcPr>
          <w:p w14:paraId="43F3BDEF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≥30 s of known-</w:t>
            </w:r>
            <w:r>
              <w:rPr>
                <w:b/>
              </w:rPr>
              <w:t>rest</w:t>
            </w:r>
            <w:r>
              <w:t xml:space="preserve"> signals</w:t>
            </w:r>
          </w:p>
        </w:tc>
      </w:tr>
      <w:tr w:rsidR="002A5785" w14:paraId="73D84000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E707B3" w14:textId="77777777" w:rsidR="002A5785" w:rsidRDefault="00000000">
            <w:r>
              <w:t>Output</w:t>
            </w:r>
          </w:p>
        </w:tc>
        <w:tc>
          <w:tcPr>
            <w:tcW w:w="2880" w:type="dxa"/>
          </w:tcPr>
          <w:p w14:paraId="0B1F145B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</w:rPr>
              <w:t>{probability, prediction, drift_score}</w:t>
            </w:r>
          </w:p>
        </w:tc>
        <w:tc>
          <w:tcPr>
            <w:tcW w:w="2880" w:type="dxa"/>
          </w:tcPr>
          <w:p w14:paraId="425C8E9F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</w:rPr>
              <w:t>{mu, sigma}</w:t>
            </w:r>
            <w:r>
              <w:t xml:space="preserve"> per feature</w:t>
            </w:r>
          </w:p>
        </w:tc>
      </w:tr>
      <w:tr w:rsidR="002A5785" w14:paraId="292E13B7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1C42D3" w14:textId="77777777" w:rsidR="002A5785" w:rsidRDefault="00000000">
            <w:r>
              <w:t>State</w:t>
            </w:r>
          </w:p>
        </w:tc>
        <w:tc>
          <w:tcPr>
            <w:tcW w:w="2880" w:type="dxa"/>
          </w:tcPr>
          <w:p w14:paraId="393C7809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Loads the 23-model champion at startup</w:t>
            </w:r>
          </w:p>
        </w:tc>
        <w:tc>
          <w:tcPr>
            <w:tcW w:w="2880" w:type="dxa"/>
          </w:tcPr>
          <w:p w14:paraId="5FD5D3E0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Stateless math</w:t>
            </w:r>
          </w:p>
        </w:tc>
      </w:tr>
      <w:tr w:rsidR="002A5785" w14:paraId="573621FB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1710" w14:textId="77777777" w:rsidR="002A5785" w:rsidRDefault="00000000">
            <w:r>
              <w:t>When called</w:t>
            </w:r>
          </w:p>
        </w:tc>
        <w:tc>
          <w:tcPr>
            <w:tcW w:w="2880" w:type="dxa"/>
          </w:tcPr>
          <w:p w14:paraId="75FCBADE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inference (hot path)</w:t>
            </w:r>
          </w:p>
        </w:tc>
        <w:tc>
          <w:tcPr>
            <w:tcW w:w="2880" w:type="dxa"/>
          </w:tcPr>
          <w:p w14:paraId="7B99D2BA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Once per user, up front (cold path)</w:t>
            </w:r>
          </w:p>
        </w:tc>
      </w:tr>
      <w:tr w:rsidR="002A5785" w14:paraId="1C0FE52D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27020" w14:textId="77777777" w:rsidR="002A5785" w:rsidRDefault="00000000">
            <w:r>
              <w:t>Failure cost</w:t>
            </w:r>
          </w:p>
        </w:tc>
        <w:tc>
          <w:tcPr>
            <w:tcW w:w="2880" w:type="dxa"/>
          </w:tcPr>
          <w:p w14:paraId="08546295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prediction</w:t>
            </w:r>
          </w:p>
        </w:tc>
        <w:tc>
          <w:tcPr>
            <w:tcW w:w="2880" w:type="dxa"/>
          </w:tcPr>
          <w:p w14:paraId="28569146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Degraded (uncalibrated) prediction</w:t>
            </w:r>
          </w:p>
        </w:tc>
      </w:tr>
    </w:tbl>
    <w:p w14:paraId="28D7B269" w14:textId="77777777" w:rsidR="002A5785" w:rsidRDefault="00000000">
      <w:r>
        <w:t>They share the same feature-extraction library (</w:t>
      </w:r>
      <w:r>
        <w:rPr>
          <w:rFonts w:ascii="Courier New" w:hAnsi="Courier New"/>
        </w:rPr>
        <w:t>cogload.features</w:t>
      </w:r>
      <w:r>
        <w:t xml:space="preserve">) applied to different ends — one computes per-subject statistics, the other consumes them. The split lets calibration be re-run, cached, and rate-limited independently of the inference hot path. </w:t>
      </w:r>
      <w:r>
        <w:rPr>
          <w:i/>
        </w:rPr>
        <w:t>(Satisfies §4 service boundaries, T2/T3 IEP independence.)</w:t>
      </w:r>
    </w:p>
    <w:p w14:paraId="75E42F6C" w14:textId="77777777" w:rsidR="002A5785" w:rsidRDefault="00000000">
      <w:pPr>
        <w:pStyle w:val="Heading3"/>
      </w:pPr>
      <w:r>
        <w:t>1.3 Service contracts</w:t>
      </w:r>
    </w:p>
    <w:p w14:paraId="4DFC34CD" w14:textId="77777777" w:rsidR="002A5785" w:rsidRDefault="00000000">
      <w:r>
        <w:t xml:space="preserve">All request/response bodies are </w:t>
      </w:r>
      <w:r>
        <w:rPr>
          <w:b/>
        </w:rPr>
        <w:t>Pydantic models</w:t>
      </w:r>
      <w:r>
        <w:t xml:space="preserve"> in </w:t>
      </w:r>
      <w:r>
        <w:rPr>
          <w:rFonts w:ascii="Courier New" w:hAnsi="Courier New"/>
        </w:rPr>
        <w:t>src/cogload/serving/schemas.py</w:t>
      </w:r>
      <w:r>
        <w:t xml:space="preserve"> — a single source of truth shared by all three services.</w:t>
      </w:r>
    </w:p>
    <w:p w14:paraId="5F826BF8" w14:textId="77777777" w:rsidR="002A5785" w:rsidRDefault="00000000">
      <w:pPr>
        <w:pStyle w:val="ListBullet"/>
      </w:pPr>
      <w:r>
        <w:rPr>
          <w:b/>
        </w:rPr>
        <w:t>`SignalWindow`</w:t>
      </w:r>
      <w:r>
        <w:t xml:space="preserve"> — parallel value/timestamp arrays for BVP/EDA/Temp. Validators enforce</w:t>
      </w:r>
    </w:p>
    <w:p w14:paraId="2974FE95" w14:textId="77777777" w:rsidR="002A5785" w:rsidRDefault="00000000">
      <w:r>
        <w:t xml:space="preserve">non-empty arrays, value↔timestamp length parity, and </w:t>
      </w:r>
      <w:r>
        <w:rPr>
          <w:b/>
        </w:rPr>
        <w:t>≥30 s coverage</w:t>
      </w:r>
      <w:r>
        <w:t xml:space="preserve"> per signal.</w:t>
      </w:r>
    </w:p>
    <w:p w14:paraId="08576CC7" w14:textId="77777777" w:rsidR="002A5785" w:rsidRDefault="00000000">
      <w:pPr>
        <w:pStyle w:val="ListBullet"/>
      </w:pPr>
      <w:r>
        <w:rPr>
          <w:b/>
        </w:rPr>
        <w:t>Calibration:</w:t>
      </w:r>
      <w:r>
        <w:t xml:space="preserve"> </w:t>
      </w:r>
      <w:r>
        <w:rPr>
          <w:rFonts w:ascii="Courier New" w:hAnsi="Courier New"/>
        </w:rPr>
        <w:t>CalibrateRequest {windows[]}</w:t>
      </w:r>
      <w:r>
        <w:t xml:space="preserve"> → `CalibrateResponse {params{mu,sigma},</w:t>
      </w:r>
    </w:p>
    <w:p w14:paraId="1CF4CF2F" w14:textId="77777777" w:rsidR="002A5785" w:rsidRDefault="00000000">
      <w:r>
        <w:t>windows_used, features_computed}</w:t>
      </w:r>
      <w:r>
        <w:rPr>
          <w:rFonts w:ascii="Courier New" w:hAnsi="Courier New"/>
        </w:rPr>
        <w:t xml:space="preserve">; </w:t>
      </w:r>
      <w:r>
        <w:t>CalibrationParams</w:t>
      </w:r>
      <w:r>
        <w:rPr>
          <w:rFonts w:ascii="Courier New" w:hAnsi="Courier New"/>
        </w:rPr>
        <w:t xml:space="preserve"> validates </w:t>
      </w:r>
      <w:r>
        <w:t>mu</w:t>
      </w:r>
      <w:r>
        <w:rPr>
          <w:rFonts w:ascii="Courier New" w:hAnsi="Courier New"/>
        </w:rPr>
        <w:t>/</w:t>
      </w:r>
      <w:r>
        <w:t>sigma` share keys.</w:t>
      </w:r>
    </w:p>
    <w:p w14:paraId="76BCFD16" w14:textId="77777777" w:rsidR="002A5785" w:rsidRDefault="00000000">
      <w:pPr>
        <w:pStyle w:val="ListBullet"/>
      </w:pPr>
      <w:r>
        <w:rPr>
          <w:b/>
        </w:rPr>
        <w:t>Inference:</w:t>
      </w:r>
      <w:r>
        <w:t xml:space="preserve"> </w:t>
      </w:r>
      <w:r>
        <w:rPr>
          <w:rFonts w:ascii="Courier New" w:hAnsi="Courier New"/>
        </w:rPr>
        <w:t>PredictRequest {window, calib?}</w:t>
      </w:r>
      <w:r>
        <w:t xml:space="preserve"> → `PredictResponse {probability,</w:t>
      </w:r>
    </w:p>
    <w:p w14:paraId="4B462BFA" w14:textId="77777777" w:rsidR="002A5785" w:rsidRDefault="00000000">
      <w:r>
        <w:t>prediction(0/1), threshold, calibrated, drift_score}</w:t>
      </w:r>
      <w:r>
        <w:rPr>
          <w:rFonts w:ascii="Courier New" w:hAnsi="Courier New"/>
        </w:rPr>
        <w:t xml:space="preserve">. </w:t>
      </w:r>
      <w:r>
        <w:t xml:space="preserve">calib` is optional — its absence is the explicit degraded path. </w:t>
      </w:r>
      <w:r>
        <w:rPr>
          <w:i/>
        </w:rPr>
        <w:t>(§4.2 input-output contracts, S1.)</w:t>
      </w:r>
    </w:p>
    <w:p w14:paraId="5E1200BE" w14:textId="77777777" w:rsidR="002A5785" w:rsidRDefault="00000000">
      <w:pPr>
        <w:pStyle w:val="Heading3"/>
      </w:pPr>
      <w:r>
        <w:t>1.4 EEP orchestration</w:t>
      </w:r>
    </w:p>
    <w:p w14:paraId="73B35A94" w14:textId="77777777" w:rsidR="002A5785" w:rsidRDefault="00000000">
      <w:r>
        <w:t>A true orchestrator, not a pass-through:</w:t>
      </w:r>
    </w:p>
    <w:p w14:paraId="42A6CCA3" w14:textId="77777777" w:rsidR="002A5785" w:rsidRDefault="00000000">
      <w:pPr>
        <w:pStyle w:val="ListBullet"/>
      </w:pPr>
      <w:r>
        <w:rPr>
          <w:rFonts w:ascii="Courier New" w:hAnsi="Courier New"/>
        </w:rPr>
        <w:t>POST /calibrate</w:t>
      </w:r>
      <w:r>
        <w:t xml:space="preserve"> → forwards to IEP-2, records metrics, maps failures to </w:t>
      </w:r>
      <w:r>
        <w:rPr>
          <w:rFonts w:ascii="Courier New" w:hAnsi="Courier New"/>
        </w:rPr>
        <w:t>503</w:t>
      </w:r>
      <w:r>
        <w:t>.</w:t>
      </w:r>
    </w:p>
    <w:p w14:paraId="14056036" w14:textId="77777777" w:rsidR="002A5785" w:rsidRDefault="00000000">
      <w:pPr>
        <w:pStyle w:val="ListBullet"/>
      </w:pPr>
      <w:r>
        <w:rPr>
          <w:rFonts w:ascii="Courier New" w:hAnsi="Courier New"/>
        </w:rPr>
        <w:t>POST /predict</w:t>
      </w:r>
      <w:r>
        <w:t xml:space="preserve"> → forwards window + calibration to IEP-1, records metrics, maps to </w:t>
      </w:r>
      <w:r>
        <w:rPr>
          <w:rFonts w:ascii="Courier New" w:hAnsi="Courier New"/>
        </w:rPr>
        <w:t>503</w:t>
      </w:r>
      <w:r>
        <w:t>.</w:t>
      </w:r>
    </w:p>
    <w:p w14:paraId="2D48A6AC" w14:textId="77777777" w:rsidR="002A5785" w:rsidRDefault="00000000">
      <w:pPr>
        <w:pStyle w:val="ListBullet"/>
      </w:pPr>
      <w:r>
        <w:rPr>
          <w:rFonts w:ascii="Courier New" w:hAnsi="Courier New"/>
        </w:rPr>
        <w:t>GET /health</w:t>
      </w:r>
      <w:r>
        <w:t xml:space="preserve"> → </w:t>
      </w:r>
      <w:r>
        <w:rPr>
          <w:b/>
        </w:rPr>
        <w:t>fans out</w:t>
      </w:r>
      <w:r>
        <w:t xml:space="preserve"> to both IEP </w:t>
      </w:r>
      <w:r>
        <w:rPr>
          <w:rFonts w:ascii="Courier New" w:hAnsi="Courier New"/>
        </w:rPr>
        <w:t>/health</w:t>
      </w:r>
      <w:r>
        <w:t xml:space="preserve"> endpoints and </w:t>
      </w:r>
      <w:r>
        <w:rPr>
          <w:b/>
        </w:rPr>
        <w:t>aggregates</w:t>
      </w:r>
      <w:r>
        <w:t>: both</w:t>
      </w:r>
    </w:p>
    <w:p w14:paraId="572EF105" w14:textId="77777777" w:rsidR="002A5785" w:rsidRDefault="00000000">
      <w:r>
        <w:t xml:space="preserve">healthy → </w:t>
      </w:r>
      <w:r>
        <w:rPr>
          <w:rFonts w:ascii="Courier New" w:hAnsi="Courier New"/>
        </w:rPr>
        <w:t>ok</w:t>
      </w:r>
      <w:r>
        <w:t xml:space="preserve">; one → </w:t>
      </w:r>
      <w:r>
        <w:rPr>
          <w:rFonts w:ascii="Courier New" w:hAnsi="Courier New"/>
        </w:rPr>
        <w:t>degraded</w:t>
      </w:r>
      <w:r>
        <w:t xml:space="preserve">; neither → </w:t>
      </w:r>
      <w:r>
        <w:rPr>
          <w:rFonts w:ascii="Courier New" w:hAnsi="Courier New"/>
        </w:rPr>
        <w:t>error</w:t>
      </w:r>
      <w:r>
        <w:t>.</w:t>
      </w:r>
    </w:p>
    <w:p w14:paraId="3EE1332B" w14:textId="77777777" w:rsidR="002A5785" w:rsidRDefault="00000000">
      <w:pPr>
        <w:pStyle w:val="ListBullet"/>
      </w:pPr>
      <w:r>
        <w:t xml:space="preserve">Shared connection-pooled </w:t>
      </w:r>
      <w:r>
        <w:rPr>
          <w:rFonts w:ascii="Courier New" w:hAnsi="Courier New"/>
        </w:rPr>
        <w:t>httpx.AsyncClient</w:t>
      </w:r>
      <w:r>
        <w:t xml:space="preserve"> managed in the FastAPI lifespan.</w:t>
      </w:r>
    </w:p>
    <w:p w14:paraId="6074D71B" w14:textId="77777777" w:rsidR="002A5785" w:rsidRDefault="00000000">
      <w:r>
        <w:rPr>
          <w:i/>
        </w:rPr>
        <w:t>(§4.3 EEP requirements, T4.)</w:t>
      </w:r>
    </w:p>
    <w:p w14:paraId="7D6D0284" w14:textId="77777777" w:rsidR="002A5785" w:rsidRDefault="00000000">
      <w:pPr>
        <w:pStyle w:val="Heading3"/>
      </w:pPr>
      <w:r>
        <w:t>1.5 AI depth (the inference pipeline)</w:t>
      </w:r>
    </w:p>
    <w:p w14:paraId="5A068EBE" w14:textId="77777777" w:rsidR="002A5785" w:rsidRDefault="00000000">
      <w:pPr>
        <w:pStyle w:val="ListBullet"/>
      </w:pPr>
      <w:r>
        <w:rPr>
          <w:b/>
        </w:rPr>
        <w:t>18 engineered features</w:t>
      </w:r>
      <w:r>
        <w:t xml:space="preserve"> per window: EDA decomposition via neurokit2 (7), BVP/HRV (6),</w:t>
      </w:r>
    </w:p>
    <w:p w14:paraId="489EF48D" w14:textId="77777777" w:rsidR="002A5785" w:rsidRDefault="00000000">
      <w:r>
        <w:lastRenderedPageBreak/>
        <w:t>temperature slope + statistics (5).</w:t>
      </w:r>
    </w:p>
    <w:p w14:paraId="1518A3C9" w14:textId="77777777" w:rsidR="002A5785" w:rsidRDefault="00000000">
      <w:pPr>
        <w:pStyle w:val="ListBullet"/>
      </w:pPr>
      <w:r>
        <w:rPr>
          <w:b/>
        </w:rPr>
        <w:t>Per-subject z-score</w:t>
      </w:r>
      <w:r>
        <w:t xml:space="preserve"> on the </w:t>
      </w:r>
      <w:r>
        <w:rPr>
          <w:b/>
        </w:rPr>
        <w:t>13</w:t>
      </w:r>
      <w:r>
        <w:t xml:space="preserve"> level/amplitude features (</w:t>
      </w:r>
      <w:r>
        <w:rPr>
          <w:rFonts w:ascii="Courier New" w:hAnsi="Courier New"/>
        </w:rPr>
        <w:t>NORMALIZE_FEATURES</w:t>
      </w:r>
      <w:r>
        <w:t>); the</w:t>
      </w:r>
    </w:p>
    <w:p w14:paraId="6D501256" w14:textId="77777777" w:rsidR="002A5785" w:rsidRDefault="00000000">
      <w:r>
        <w:rPr>
          <w:b/>
        </w:rPr>
        <w:t>5</w:t>
      </w:r>
      <w:r>
        <w:t xml:space="preserve"> offset-invariant features (</w:t>
      </w:r>
      <w:r>
        <w:rPr>
          <w:rFonts w:ascii="Courier New" w:hAnsi="Courier New"/>
        </w:rPr>
        <w:t>eda_tonic_slope</w:t>
      </w:r>
      <w:r>
        <w:t xml:space="preserve">, </w:t>
      </w:r>
      <w:r>
        <w:rPr>
          <w:rFonts w:ascii="Courier New" w:hAnsi="Courier New"/>
        </w:rPr>
        <w:t>scr_count</w:t>
      </w:r>
      <w:r>
        <w:t xml:space="preserve">, </w:t>
      </w:r>
      <w:r>
        <w:rPr>
          <w:rFonts w:ascii="Courier New" w:hAnsi="Courier New"/>
        </w:rPr>
        <w:t>scr_rate</w:t>
      </w:r>
      <w:r>
        <w:t xml:space="preserve">, </w:t>
      </w:r>
      <w:r>
        <w:rPr>
          <w:rFonts w:ascii="Courier New" w:hAnsi="Courier New"/>
        </w:rPr>
        <w:t>temp_slope</w:t>
      </w:r>
      <w:r>
        <w:t xml:space="preserve">, </w:t>
      </w:r>
      <w:r>
        <w:rPr>
          <w:rFonts w:ascii="Courier New" w:hAnsi="Courier New"/>
        </w:rPr>
        <w:t>temp_range</w:t>
      </w:r>
      <w:r>
        <w:t xml:space="preserve">) are intentionally </w:t>
      </w:r>
      <w:r>
        <w:rPr>
          <w:b/>
        </w:rPr>
        <w:t>not</w:t>
      </w:r>
      <w:r>
        <w:t xml:space="preserve"> normalized.</w:t>
      </w:r>
    </w:p>
    <w:p w14:paraId="33DC4F8D" w14:textId="77777777" w:rsidR="002A5785" w:rsidRDefault="00000000">
      <w:pPr>
        <w:pStyle w:val="ListBullet"/>
      </w:pPr>
      <w:r>
        <w:rPr>
          <w:b/>
        </w:rPr>
        <w:t>23-model LOSO ensemble</w:t>
      </w:r>
      <w:r>
        <w:t xml:space="preserve"> (</w:t>
      </w:r>
      <w:r>
        <w:rPr>
          <w:rFonts w:ascii="Courier New" w:hAnsi="Courier New"/>
        </w:rPr>
        <w:t>FoldEnsembleModel</w:t>
      </w:r>
      <w:r>
        <w:t xml:space="preserve">): averages </w:t>
      </w:r>
      <w:r>
        <w:rPr>
          <w:rFonts w:ascii="Courier New" w:hAnsi="Courier New"/>
        </w:rPr>
        <w:t>predict_proba</w:t>
      </w:r>
      <w:r>
        <w:t xml:space="preserve"> across folds,</w:t>
      </w:r>
    </w:p>
    <w:p w14:paraId="25E493B0" w14:textId="77777777" w:rsidR="002A5785" w:rsidRDefault="00000000">
      <w:r>
        <w:t xml:space="preserve">applies the 0.20 threshold post-hoc. </w:t>
      </w:r>
      <w:r>
        <w:rPr>
          <w:i/>
        </w:rPr>
        <w:t>(§4 AI complexity, T1.)</w:t>
      </w:r>
    </w:p>
    <w:p w14:paraId="4D029B02" w14:textId="77777777" w:rsidR="002A5785" w:rsidRDefault="00000000">
      <w:pPr>
        <w:pStyle w:val="Heading2"/>
      </w:pPr>
      <w:r>
        <w:t>2. Validation, Limits &amp; Robustness</w:t>
      </w:r>
    </w:p>
    <w:p w14:paraId="78016DEB" w14:textId="77777777" w:rsidR="002A5785" w:rsidRDefault="00000000">
      <w:r>
        <w:rPr>
          <w:i/>
        </w:rPr>
        <w:t>(§12 Security &amp; Robustness, S2/S3.)</w:t>
      </w:r>
    </w:p>
    <w:p w14:paraId="69E2DA89" w14:textId="77777777" w:rsidR="002A5785" w:rsidRDefault="00000000">
      <w:pPr>
        <w:pStyle w:val="ListBullet"/>
      </w:pPr>
      <w:r>
        <w:rPr>
          <w:b/>
        </w:rPr>
        <w:t>Input validation:</w:t>
      </w:r>
      <w:r>
        <w:t xml:space="preserve"> Pydantic at the boundary — bad schema, empty arrays, mismatched</w:t>
      </w:r>
    </w:p>
    <w:p w14:paraId="3EE6B7E0" w14:textId="77777777" w:rsidR="002A5785" w:rsidRDefault="00000000">
      <w:r>
        <w:t xml:space="preserve">lengths, or &lt;30 s windows are rejected with </w:t>
      </w:r>
      <w:r>
        <w:rPr>
          <w:b/>
        </w:rPr>
        <w:t>HTTP 422</w:t>
      </w:r>
      <w:r>
        <w:t xml:space="preserve"> before any compute.</w:t>
      </w:r>
    </w:p>
    <w:p w14:paraId="3428DAC0" w14:textId="77777777" w:rsidR="002A5785" w:rsidRDefault="00000000">
      <w:pPr>
        <w:pStyle w:val="ListBullet"/>
      </w:pPr>
      <w:r>
        <w:rPr>
          <w:b/>
        </w:rPr>
        <w:t>Rate limiting:</w:t>
      </w:r>
      <w:r>
        <w:t xml:space="preserve"> </w:t>
      </w:r>
      <w:r>
        <w:rPr>
          <w:rFonts w:ascii="Courier New" w:hAnsi="Courier New"/>
        </w:rPr>
        <w:t>slowapi</w:t>
      </w:r>
      <w:r>
        <w:t xml:space="preserve">, </w:t>
      </w:r>
      <w:r>
        <w:rPr>
          <w:b/>
        </w:rPr>
        <w:t>60 requests/minute per client IP</w:t>
      </w:r>
      <w:r>
        <w:t xml:space="preserve"> on </w:t>
      </w:r>
      <w:r>
        <w:rPr>
          <w:rFonts w:ascii="Courier New" w:hAnsi="Courier New"/>
        </w:rPr>
        <w:t>/calibrate</w:t>
      </w:r>
      <w:r>
        <w:t xml:space="preserve"> and</w:t>
      </w:r>
    </w:p>
    <w:p w14:paraId="1E5CD171" w14:textId="77777777" w:rsidR="002A5785" w:rsidRDefault="00000000">
      <w:r>
        <w:rPr>
          <w:rFonts w:ascii="Courier New" w:hAnsi="Courier New"/>
        </w:rPr>
        <w:t>/predict</w:t>
      </w:r>
      <w:r>
        <w:t xml:space="preserve">; over-limit → </w:t>
      </w:r>
      <w:r>
        <w:rPr>
          <w:rFonts w:ascii="Courier New" w:hAnsi="Courier New"/>
        </w:rPr>
        <w:t>429</w:t>
      </w:r>
      <w:r>
        <w:t>.</w:t>
      </w:r>
    </w:p>
    <w:p w14:paraId="69DB9FC9" w14:textId="77777777" w:rsidR="002A5785" w:rsidRDefault="00000000">
      <w:pPr>
        <w:pStyle w:val="ListBullet"/>
      </w:pPr>
      <w:r>
        <w:rPr>
          <w:b/>
        </w:rPr>
        <w:t>Timeouts:</w:t>
      </w:r>
      <w:r>
        <w:t xml:space="preserve"> httpx client timeout </w:t>
      </w:r>
      <w:r>
        <w:rPr>
          <w:b/>
        </w:rPr>
        <w:t>10 s</w:t>
      </w:r>
      <w:r>
        <w:t xml:space="preserve"> per IEP call (</w:t>
      </w:r>
      <w:r>
        <w:rPr>
          <w:rFonts w:ascii="Courier New" w:hAnsi="Courier New"/>
        </w:rPr>
        <w:t>IEP_TIMEOUT_S</w:t>
      </w:r>
      <w:r>
        <w:t>).</w:t>
      </w:r>
    </w:p>
    <w:p w14:paraId="298DC3A7" w14:textId="77777777" w:rsidR="002A5785" w:rsidRDefault="00000000">
      <w:pPr>
        <w:pStyle w:val="ListBullet"/>
      </w:pPr>
      <w:r>
        <w:rPr>
          <w:b/>
        </w:rPr>
        <w:t>Retries:</w:t>
      </w:r>
      <w:r>
        <w:t xml:space="preserve"> failed IEP calls retried up to </w:t>
      </w:r>
      <w:r>
        <w:rPr>
          <w:b/>
        </w:rPr>
        <w:t>2×</w:t>
      </w:r>
      <w:r>
        <w:t xml:space="preserve"> (</w:t>
      </w:r>
      <w:r>
        <w:rPr>
          <w:rFonts w:ascii="Courier New" w:hAnsi="Courier New"/>
        </w:rPr>
        <w:t>MAX_RETRIES</w:t>
      </w:r>
      <w:r>
        <w:t>, 3 attempts total) on</w:t>
      </w:r>
    </w:p>
    <w:p w14:paraId="3E97AB25" w14:textId="77777777" w:rsidR="002A5785" w:rsidRDefault="00000000">
      <w:r>
        <w:rPr>
          <w:rFonts w:ascii="Courier New" w:hAnsi="Courier New"/>
        </w:rPr>
        <w:t>TimeoutException</w:t>
      </w:r>
      <w:r>
        <w:t>/</w:t>
      </w:r>
      <w:r>
        <w:rPr>
          <w:rFonts w:ascii="Courier New" w:hAnsi="Courier New"/>
        </w:rPr>
        <w:t>ConnectError</w:t>
      </w:r>
      <w:r>
        <w:t xml:space="preserve">, then increment </w:t>
      </w:r>
      <w:r>
        <w:rPr>
          <w:rFonts w:ascii="Courier New" w:hAnsi="Courier New"/>
        </w:rPr>
        <w:t>eep_downstream_errors_total</w:t>
      </w:r>
      <w:r>
        <w:t>.</w:t>
      </w:r>
    </w:p>
    <w:p w14:paraId="5B8D7D3C" w14:textId="77777777" w:rsidR="002A5785" w:rsidRDefault="00000000">
      <w:pPr>
        <w:pStyle w:val="ListBullet"/>
      </w:pPr>
      <w:r>
        <w:rPr>
          <w:b/>
        </w:rPr>
        <w:t>Fallbacks:</w:t>
      </w:r>
    </w:p>
    <w:p w14:paraId="5E0A5BFC" w14:textId="77777777" w:rsidR="002A5785" w:rsidRDefault="00000000">
      <w:pPr>
        <w:pStyle w:val="ListBullet2"/>
      </w:pPr>
      <w:r>
        <w:t xml:space="preserve">IEP unreachable after retries → EEP returns </w:t>
      </w:r>
      <w:r>
        <w:rPr>
          <w:b/>
        </w:rPr>
        <w:t>`503`</w:t>
      </w:r>
      <w:r>
        <w:t xml:space="preserve"> with a clear </w:t>
      </w:r>
      <w:r>
        <w:rPr>
          <w:rFonts w:ascii="Courier New" w:hAnsi="Courier New"/>
        </w:rPr>
        <w:t>detail</w:t>
      </w:r>
      <w:r>
        <w:t xml:space="preserve"> (no silent</w:t>
      </w:r>
    </w:p>
    <w:p w14:paraId="4E77AFAF" w14:textId="77777777" w:rsidR="002A5785" w:rsidRDefault="00000000">
      <w:r>
        <w:t>failure, no hang).</w:t>
      </w:r>
    </w:p>
    <w:p w14:paraId="609B9DF2" w14:textId="77777777" w:rsidR="002A5785" w:rsidRDefault="00000000">
      <w:pPr>
        <w:pStyle w:val="ListBullet2"/>
      </w:pPr>
      <w:r>
        <w:t>Predict without calibration → IEP-1 still runs on un-normalized features, returns</w:t>
      </w:r>
    </w:p>
    <w:p w14:paraId="4D0730CB" w14:textId="77777777" w:rsidR="002A5785" w:rsidRDefault="00000000">
      <w:r>
        <w:rPr>
          <w:rFonts w:ascii="Courier New" w:hAnsi="Courier New"/>
        </w:rPr>
        <w:t>calibrated: false</w:t>
      </w:r>
      <w:r>
        <w:t xml:space="preserve">, and increments </w:t>
      </w:r>
      <w:r>
        <w:rPr>
          <w:rFonts w:ascii="Courier New" w:hAnsi="Courier New"/>
        </w:rPr>
        <w:t>iep1_uncalibrated_requests_total</w:t>
      </w:r>
      <w:r>
        <w:t xml:space="preserve"> so the degraded mode is observable.</w:t>
      </w:r>
    </w:p>
    <w:p w14:paraId="27E7BA75" w14:textId="77777777" w:rsidR="002A5785" w:rsidRDefault="00000000">
      <w:pPr>
        <w:pStyle w:val="ListBullet2"/>
      </w:pPr>
      <w:r>
        <w:t xml:space="preserve">Unhandled exceptions → global handler returns </w:t>
      </w:r>
      <w:r>
        <w:rPr>
          <w:rFonts w:ascii="Courier New" w:hAnsi="Courier New"/>
        </w:rPr>
        <w:t>500</w:t>
      </w:r>
      <w:r>
        <w:t xml:space="preserve"> with a generic body (no stack leak).</w:t>
      </w:r>
    </w:p>
    <w:p w14:paraId="7FE8E4C1" w14:textId="77777777" w:rsidR="002A5785" w:rsidRDefault="00000000">
      <w:pPr>
        <w:pStyle w:val="Heading2"/>
      </w:pPr>
      <w:r>
        <w:t>3. Containerization &amp; Deployment</w:t>
      </w:r>
    </w:p>
    <w:p w14:paraId="249CC08B" w14:textId="77777777" w:rsidR="002A5785" w:rsidRDefault="00000000">
      <w:r>
        <w:rPr>
          <w:i/>
        </w:rPr>
        <w:t>(§9 Containerization, §10 Cloud deployment, S4/S5.)</w:t>
      </w:r>
    </w:p>
    <w:p w14:paraId="2C9354B6" w14:textId="77777777" w:rsidR="002A5785" w:rsidRDefault="00000000">
      <w:pPr>
        <w:pStyle w:val="Heading3"/>
      </w:pPr>
      <w:r>
        <w:t>3.1 Cloud target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5785" w14:paraId="74306DEE" w14:textId="77777777" w:rsidTr="002A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59725" w14:textId="77777777" w:rsidR="002A5785" w:rsidRDefault="002A5785"/>
        </w:tc>
        <w:tc>
          <w:tcPr>
            <w:tcW w:w="4320" w:type="dxa"/>
          </w:tcPr>
          <w:p w14:paraId="5C2435CA" w14:textId="77777777" w:rsidR="002A5785" w:rsidRDefault="002A57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5785" w14:paraId="3CD6D9B1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F644B7" w14:textId="77777777" w:rsidR="002A5785" w:rsidRDefault="00000000">
            <w:r>
              <w:t>Provider / Region</w:t>
            </w:r>
          </w:p>
        </w:tc>
        <w:tc>
          <w:tcPr>
            <w:tcW w:w="4320" w:type="dxa"/>
          </w:tcPr>
          <w:p w14:paraId="02B6E0B3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AWS / </w:t>
            </w:r>
            <w:r>
              <w:rPr>
                <w:rFonts w:ascii="Courier New" w:hAnsi="Courier New"/>
              </w:rPr>
              <w:t>eu-central-1</w:t>
            </w:r>
            <w:r>
              <w:t xml:space="preserve"> (Frankfurt)</w:t>
            </w:r>
          </w:p>
        </w:tc>
      </w:tr>
      <w:tr w:rsidR="002A5785" w14:paraId="5A95674D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6A3627" w14:textId="77777777" w:rsidR="002A5785" w:rsidRDefault="00000000">
            <w:r>
              <w:t>Orchestrator</w:t>
            </w:r>
          </w:p>
        </w:tc>
        <w:tc>
          <w:tcPr>
            <w:tcW w:w="4320" w:type="dxa"/>
          </w:tcPr>
          <w:p w14:paraId="1AAC2F0B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Amazon EKS (managed Kubernetes 1.34)</w:t>
            </w:r>
          </w:p>
        </w:tc>
      </w:tr>
      <w:tr w:rsidR="002A5785" w14:paraId="080043FA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A8D88E" w14:textId="77777777" w:rsidR="002A5785" w:rsidRDefault="00000000">
            <w:r>
              <w:t>Cluster</w:t>
            </w:r>
          </w:p>
        </w:tc>
        <w:tc>
          <w:tcPr>
            <w:tcW w:w="4320" w:type="dxa"/>
          </w:tcPr>
          <w:p w14:paraId="5888826C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</w:rPr>
              <w:t>cogload</w:t>
            </w:r>
            <w:r>
              <w:t xml:space="preserve">, 2× </w:t>
            </w:r>
            <w:r>
              <w:rPr>
                <w:rFonts w:ascii="Courier New" w:hAnsi="Courier New"/>
              </w:rPr>
              <w:t>t3.small</w:t>
            </w:r>
            <w:r>
              <w:t xml:space="preserve"> nodes (2 vCPU / 2 GB each)</w:t>
            </w:r>
          </w:p>
        </w:tc>
      </w:tr>
      <w:tr w:rsidR="002A5785" w14:paraId="06D22569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3C8007" w14:textId="77777777" w:rsidR="002A5785" w:rsidRDefault="00000000">
            <w:r>
              <w:lastRenderedPageBreak/>
              <w:t>Registry / Model store</w:t>
            </w:r>
          </w:p>
        </w:tc>
        <w:tc>
          <w:tcPr>
            <w:tcW w:w="4320" w:type="dxa"/>
          </w:tcPr>
          <w:p w14:paraId="6508347A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Amazon ECR / Amazon S3</w:t>
            </w:r>
          </w:p>
        </w:tc>
      </w:tr>
      <w:tr w:rsidR="002A5785" w14:paraId="6C3106F4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F1CEA3" w14:textId="77777777" w:rsidR="002A5785" w:rsidRDefault="00000000">
            <w:r>
              <w:t>Secrets</w:t>
            </w:r>
          </w:p>
        </w:tc>
        <w:tc>
          <w:tcPr>
            <w:tcW w:w="4320" w:type="dxa"/>
          </w:tcPr>
          <w:p w14:paraId="45912479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SSM Parameter Store → Kubernetes Secret</w:t>
            </w:r>
          </w:p>
        </w:tc>
      </w:tr>
      <w:tr w:rsidR="002A5785" w14:paraId="5770F2A8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E4A60B" w14:textId="77777777" w:rsidR="002A5785" w:rsidRDefault="00000000">
            <w:r>
              <w:t>Public ingress</w:t>
            </w:r>
          </w:p>
        </w:tc>
        <w:tc>
          <w:tcPr>
            <w:tcW w:w="4320" w:type="dxa"/>
          </w:tcPr>
          <w:p w14:paraId="71C2C0F2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AWS Network Load Balancer (EEP </w:t>
            </w:r>
            <w:r>
              <w:rPr>
                <w:rFonts w:ascii="Courier New" w:hAnsi="Courier New"/>
              </w:rPr>
              <w:t>Service: LoadBalancer</w:t>
            </w:r>
            <w:r>
              <w:t>)</w:t>
            </w:r>
          </w:p>
        </w:tc>
      </w:tr>
    </w:tbl>
    <w:p w14:paraId="231A02B5" w14:textId="77777777" w:rsidR="002A5785" w:rsidRDefault="00000000">
      <w:pPr>
        <w:ind w:left="360"/>
      </w:pPr>
      <w:r>
        <w:rPr>
          <w:rFonts w:ascii="Courier New" w:hAnsi="Courier New"/>
          <w:i/>
        </w:rPr>
        <w:t>t3.small</w:t>
      </w:r>
      <w:r>
        <w:rPr>
          <w:i/>
        </w:rPr>
        <w:t xml:space="preserve"> is the minimum viable node size (</w:t>
      </w:r>
      <w:r>
        <w:rPr>
          <w:rFonts w:ascii="Courier New" w:hAnsi="Courier New"/>
          <w:i/>
        </w:rPr>
        <w:t>t3.medium</w:t>
      </w:r>
      <w:r>
        <w:rPr>
          <w:i/>
        </w:rPr>
        <w:t xml:space="preserve"> blocked by free-tier policy).</w:t>
      </w:r>
    </w:p>
    <w:p w14:paraId="37E68DE8" w14:textId="77777777" w:rsidR="002A5785" w:rsidRDefault="00000000">
      <w:pPr>
        <w:ind w:left="360"/>
      </w:pPr>
      <w:r>
        <w:rPr>
          <w:i/>
        </w:rPr>
        <w:t>Nodes run in public subnets to avoid NAT-gateway cost.</w:t>
      </w:r>
    </w:p>
    <w:p w14:paraId="22DEC0F2" w14:textId="77777777" w:rsidR="002A5785" w:rsidRDefault="00000000">
      <w:pPr>
        <w:pStyle w:val="Heading3"/>
      </w:pPr>
      <w:r>
        <w:t>3.2 Artifacts &amp; manifests</w:t>
      </w:r>
    </w:p>
    <w:p w14:paraId="569CB837" w14:textId="77777777" w:rsidR="002A5785" w:rsidRDefault="00000000">
      <w:pPr>
        <w:pStyle w:val="ListBullet"/>
      </w:pPr>
      <w:r>
        <w:rPr>
          <w:b/>
        </w:rPr>
        <w:t>3 Docker images</w:t>
      </w:r>
      <w:r>
        <w:t xml:space="preserve"> (</w:t>
      </w:r>
      <w:r>
        <w:rPr>
          <w:rFonts w:ascii="Courier New" w:hAnsi="Courier New"/>
        </w:rPr>
        <w:t>linux/amd64</w:t>
      </w:r>
      <w:r>
        <w:t xml:space="preserve">): </w:t>
      </w:r>
      <w:r>
        <w:rPr>
          <w:rFonts w:ascii="Courier New" w:hAnsi="Courier New"/>
        </w:rPr>
        <w:t>cogload-eep</w:t>
      </w:r>
      <w:r>
        <w:t xml:space="preserve">, </w:t>
      </w:r>
      <w:r>
        <w:rPr>
          <w:rFonts w:ascii="Courier New" w:hAnsi="Courier New"/>
        </w:rPr>
        <w:t>cogload-iep1</w:t>
      </w:r>
      <w:r>
        <w:t xml:space="preserve">, </w:t>
      </w:r>
      <w:r>
        <w:rPr>
          <w:rFonts w:ascii="Courier New" w:hAnsi="Courier New"/>
        </w:rPr>
        <w:t>cogload-iep2</w:t>
      </w:r>
      <w:r>
        <w:t>.</w:t>
      </w:r>
    </w:p>
    <w:p w14:paraId="5553E794" w14:textId="77777777" w:rsidR="002A5785" w:rsidRDefault="00000000">
      <w:pPr>
        <w:pStyle w:val="ListBullet"/>
      </w:pPr>
      <w:r>
        <w:rPr>
          <w:b/>
        </w:rPr>
        <w:t>Docker Compose</w:t>
      </w:r>
      <w:r>
        <w:t xml:space="preserve"> (</w:t>
      </w:r>
      <w:r>
        <w:rPr>
          <w:rFonts w:ascii="Courier New" w:hAnsi="Courier New"/>
        </w:rPr>
        <w:t>docker-compose.yml</w:t>
      </w:r>
      <w:r>
        <w:t>): full stack + MLflow + Prometheus + Grafana</w:t>
      </w:r>
    </w:p>
    <w:p w14:paraId="0EE7EB31" w14:textId="77777777" w:rsidR="002A5785" w:rsidRDefault="00000000">
      <w:r>
        <w:t xml:space="preserve">locally, with healthchecks and </w:t>
      </w:r>
      <w:r>
        <w:rPr>
          <w:rFonts w:ascii="Courier New" w:hAnsi="Courier New"/>
        </w:rPr>
        <w:t>depends_on</w:t>
      </w:r>
      <w:r>
        <w:t>.</w:t>
      </w:r>
    </w:p>
    <w:p w14:paraId="723662C8" w14:textId="77777777" w:rsidR="002A5785" w:rsidRDefault="00000000">
      <w:pPr>
        <w:pStyle w:val="ListBullet"/>
      </w:pPr>
      <w:r>
        <w:rPr>
          <w:b/>
        </w:rPr>
        <w:t>Kubernetes</w:t>
      </w:r>
      <w:r>
        <w:t xml:space="preserve"> (</w:t>
      </w:r>
      <w:r>
        <w:rPr>
          <w:rFonts w:ascii="Courier New" w:hAnsi="Courier New"/>
        </w:rPr>
        <w:t>k8s/</w:t>
      </w:r>
      <w:r>
        <w:t xml:space="preserve">): </w:t>
      </w:r>
      <w:r>
        <w:rPr>
          <w:rFonts w:ascii="Courier New" w:hAnsi="Courier New"/>
        </w:rPr>
        <w:t>00-namespace</w:t>
      </w:r>
      <w:r>
        <w:t xml:space="preserve">, </w:t>
      </w:r>
      <w:r>
        <w:rPr>
          <w:rFonts w:ascii="Courier New" w:hAnsi="Courier New"/>
        </w:rPr>
        <w:t>01-configmap</w:t>
      </w:r>
      <w:r>
        <w:t xml:space="preserve">, </w:t>
      </w:r>
      <w:r>
        <w:rPr>
          <w:rFonts w:ascii="Courier New" w:hAnsi="Courier New"/>
        </w:rPr>
        <w:t>02-iep2</w:t>
      </w:r>
      <w:r>
        <w:t xml:space="preserve">, </w:t>
      </w:r>
      <w:r>
        <w:rPr>
          <w:rFonts w:ascii="Courier New" w:hAnsi="Courier New"/>
        </w:rPr>
        <w:t>03-iep1</w:t>
      </w:r>
      <w:r>
        <w:t xml:space="preserve">, </w:t>
      </w:r>
      <w:r>
        <w:rPr>
          <w:rFonts w:ascii="Courier New" w:hAnsi="Courier New"/>
        </w:rPr>
        <w:t>04-eep</w:t>
      </w:r>
      <w:r>
        <w:t>,</w:t>
      </w:r>
    </w:p>
    <w:p w14:paraId="2B788466" w14:textId="77777777" w:rsidR="002A5785" w:rsidRDefault="00000000">
      <w:r>
        <w:rPr>
          <w:rFonts w:ascii="Courier New" w:hAnsi="Courier New"/>
        </w:rPr>
        <w:t>05-monitoring</w:t>
      </w:r>
      <w:r>
        <w:t xml:space="preserve">, plus </w:t>
      </w:r>
      <w:r>
        <w:rPr>
          <w:rFonts w:ascii="Courier New" w:hAnsi="Courier New"/>
        </w:rPr>
        <w:t>cluster.yml</w:t>
      </w:r>
      <w:r>
        <w:t xml:space="preserve"> (eksctl definition).</w:t>
      </w:r>
    </w:p>
    <w:p w14:paraId="497C0C8E" w14:textId="77777777" w:rsidR="002A5785" w:rsidRDefault="00000000">
      <w:pPr>
        <w:pStyle w:val="Heading3"/>
      </w:pPr>
      <w:r>
        <w:t>3.3 Deploy sequence</w:t>
      </w:r>
    </w:p>
    <w:p w14:paraId="36FA72B6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bash scripts/push_images.sh                          # 1. build+push 3 images → ECR</w:t>
      </w:r>
    </w:p>
    <w:p w14:paraId="410F82C3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python scripts/export_model_to_s3.py                 # 2. champion → S3, prints URI</w:t>
      </w:r>
    </w:p>
    <w:p w14:paraId="0B185A18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aws ssm put-parameter --name /cogload/model_uri \</w:t>
      </w:r>
    </w:p>
    <w:p w14:paraId="404509BC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--value "s3://cogload-models-&lt;acct&gt;/models/cogload-ensemble/v1" \</w:t>
      </w:r>
    </w:p>
    <w:p w14:paraId="339341EC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 xml:space="preserve">    --type String --overwrite</w:t>
      </w:r>
    </w:p>
    <w:p w14:paraId="3354BF4B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eksctl create cluster -f k8s/cluster.yml             # 3. cluster (~15-20 min)</w:t>
      </w:r>
    </w:p>
    <w:p w14:paraId="553B81CD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aws eks update-kubeconfig --name cogload --region eu-central-1</w:t>
      </w:r>
    </w:p>
    <w:p w14:paraId="66EF8257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bash scripts/create_iam_role.sh                      # 4. IRSA role (needs OIDC)</w:t>
      </w:r>
    </w:p>
    <w:p w14:paraId="0D6840E4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kubectl apply -f k8s/00-namespace.yml                # 5. namespace + secret + all</w:t>
      </w:r>
    </w:p>
    <w:p w14:paraId="738E12E9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bash scripts/sync_ssm_to_k8s_secret.sh</w:t>
      </w:r>
    </w:p>
    <w:p w14:paraId="2C787BAB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kubectl apply -f k8s/</w:t>
      </w:r>
    </w:p>
    <w:p w14:paraId="252D0EBD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kubectl get svc eep -n cogload                       # 6. EXTERNAL-IP = public NLB host</w:t>
      </w:r>
    </w:p>
    <w:p w14:paraId="4C9B244D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bash scripts/run_e2e.sh                              #    E2E vs live URL</w:t>
      </w:r>
    </w:p>
    <w:p w14:paraId="76CC8E4A" w14:textId="77777777" w:rsidR="002A5785" w:rsidRDefault="00000000">
      <w:pPr>
        <w:pStyle w:val="Heading3"/>
      </w:pPr>
      <w:r>
        <w:t>3.4 Secrets management — no static credentials</w:t>
      </w:r>
    </w:p>
    <w:p w14:paraId="207B9170" w14:textId="77777777" w:rsidR="002A5785" w:rsidRDefault="00000000">
      <w:pPr>
        <w:ind w:left="360"/>
      </w:pPr>
      <w:r>
        <w:rPr>
          <w:b/>
        </w:rPr>
        <w:t>1. Model access via IRSA.</w:t>
      </w:r>
      <w:r>
        <w:t xml:space="preserve"> The </w:t>
      </w:r>
      <w:r>
        <w:rPr>
          <w:rFonts w:ascii="Courier New" w:hAnsi="Courier New"/>
        </w:rPr>
        <w:t>iep1-sa</w:t>
      </w:r>
      <w:r>
        <w:t xml:space="preserve"> ServiceAccount is annotated with IAM role</w:t>
      </w:r>
    </w:p>
    <w:p w14:paraId="3F874663" w14:textId="77777777" w:rsidR="002A5785" w:rsidRDefault="00000000">
      <w:r>
        <w:rPr>
          <w:rFonts w:ascii="Courier New" w:hAnsi="Courier New"/>
        </w:rPr>
        <w:t>cogload-iep1-s3-role</w:t>
      </w:r>
      <w:r>
        <w:t xml:space="preserve"> (policy </w:t>
      </w:r>
      <w:r>
        <w:rPr>
          <w:rFonts w:ascii="Courier New" w:hAnsi="Courier New"/>
        </w:rPr>
        <w:t>cogload-iep1-s3-policy</w:t>
      </w:r>
      <w:r>
        <w:t xml:space="preserve">: only </w:t>
      </w:r>
      <w:r>
        <w:rPr>
          <w:rFonts w:ascii="Courier New" w:hAnsi="Courier New"/>
        </w:rPr>
        <w:t>s3:GetObject</w:t>
      </w:r>
      <w:r>
        <w:t xml:space="preserve"> + </w:t>
      </w:r>
      <w:r>
        <w:rPr>
          <w:rFonts w:ascii="Courier New" w:hAnsi="Courier New"/>
        </w:rPr>
        <w:t>s3:ListBucket</w:t>
      </w:r>
      <w:r>
        <w:t xml:space="preserve"> on the model bucket). Its trust policy is scoped via the cluster OIDC provider to exactly </w:t>
      </w:r>
      <w:r>
        <w:rPr>
          <w:rFonts w:ascii="Courier New" w:hAnsi="Courier New"/>
        </w:rPr>
        <w:t>system:serviceaccount:cogload:iep1-sa</w:t>
      </w:r>
      <w:r>
        <w:t xml:space="preserve">. AWS issues short-lived web-identity credentials at pod start — </w:t>
      </w:r>
      <w:r>
        <w:rPr>
          <w:b/>
        </w:rPr>
        <w:t>no access keys</w:t>
      </w:r>
      <w:r>
        <w:t xml:space="preserve"> in the image, env, or repo.</w:t>
      </w:r>
    </w:p>
    <w:p w14:paraId="43A40F7E" w14:textId="77777777" w:rsidR="002A5785" w:rsidRDefault="00000000">
      <w:pPr>
        <w:ind w:left="360"/>
      </w:pPr>
      <w:r>
        <w:rPr>
          <w:b/>
        </w:rPr>
        <w:t>2. Model location via SSM → Secret.</w:t>
      </w:r>
      <w:r>
        <w:t xml:space="preserve"> The S3 URI lives in SSM at </w:t>
      </w:r>
      <w:r>
        <w:rPr>
          <w:rFonts w:ascii="Courier New" w:hAnsi="Courier New"/>
        </w:rPr>
        <w:t>/cogload/model_uri</w:t>
      </w:r>
      <w:r>
        <w:t>;</w:t>
      </w:r>
    </w:p>
    <w:p w14:paraId="07F33236" w14:textId="77777777" w:rsidR="002A5785" w:rsidRDefault="00000000">
      <w:r>
        <w:rPr>
          <w:rFonts w:ascii="Courier New" w:hAnsi="Courier New"/>
        </w:rPr>
        <w:t>sync_ssm_to_k8s_secret.sh</w:t>
      </w:r>
      <w:r>
        <w:t xml:space="preserve"> writes the </w:t>
      </w:r>
      <w:r>
        <w:rPr>
          <w:rFonts w:ascii="Courier New" w:hAnsi="Courier New"/>
        </w:rPr>
        <w:t>cogload-model-secret</w:t>
      </w:r>
      <w:r>
        <w:t xml:space="preserve"> K8s Secret (key </w:t>
      </w:r>
      <w:r>
        <w:rPr>
          <w:rFonts w:ascii="Courier New" w:hAnsi="Courier New"/>
        </w:rPr>
        <w:t>MODEL_URI</w:t>
      </w:r>
      <w:r>
        <w:t xml:space="preserve">), injected into IEP-1 via </w:t>
      </w:r>
      <w:r>
        <w:rPr>
          <w:rFonts w:ascii="Courier New" w:hAnsi="Courier New"/>
        </w:rPr>
        <w:t>secretKeyRef</w:t>
      </w:r>
      <w:r>
        <w:t>. The URI never appears in source, Dockerfiles, or manifests.</w:t>
      </w:r>
    </w:p>
    <w:p w14:paraId="17DA0881" w14:textId="77777777" w:rsidR="002A5785" w:rsidRDefault="00000000">
      <w:pPr>
        <w:pStyle w:val="Heading3"/>
      </w:pPr>
      <w:r>
        <w:lastRenderedPageBreak/>
        <w:t>3.5 Rolling updates on small nodes</w:t>
      </w:r>
    </w:p>
    <w:p w14:paraId="2284E9E6" w14:textId="77777777" w:rsidR="002A5785" w:rsidRDefault="00000000">
      <w:r>
        <w:t xml:space="preserve">IEP-1 uses </w:t>
      </w:r>
      <w:r>
        <w:rPr>
          <w:rFonts w:ascii="Courier New" w:hAnsi="Courier New"/>
        </w:rPr>
        <w:t>strategy: Recreate</w:t>
      </w:r>
      <w:r>
        <w:t xml:space="preserve"> — on 2 GB nodes there isn't headroom for two IEP-1 pods during a rollout. Resource requests are tuned to fit (</w:t>
      </w:r>
      <w:r>
        <w:rPr>
          <w:rFonts w:ascii="Courier New" w:hAnsi="Courier New"/>
        </w:rPr>
        <w:t>200m</w:t>
      </w:r>
      <w:r>
        <w:t>/</w:t>
      </w:r>
      <w:r>
        <w:rPr>
          <w:rFonts w:ascii="Courier New" w:hAnsi="Courier New"/>
        </w:rPr>
        <w:t>384Mi</w:t>
      </w:r>
      <w:r>
        <w:t xml:space="preserve">, limits </w:t>
      </w:r>
      <w:r>
        <w:rPr>
          <w:rFonts w:ascii="Courier New" w:hAnsi="Courier New"/>
        </w:rPr>
        <w:t>800m</w:t>
      </w:r>
      <w:r>
        <w:t>/</w:t>
      </w:r>
      <w:r>
        <w:rPr>
          <w:rFonts w:ascii="Courier New" w:hAnsi="Courier New"/>
        </w:rPr>
        <w:t>768Mi</w:t>
      </w:r>
      <w:r>
        <w:t>), with a 60 s readiness initial-delay to cover the S3 model download.</w:t>
      </w:r>
    </w:p>
    <w:p w14:paraId="600DD666" w14:textId="77777777" w:rsidR="002A5785" w:rsidRDefault="00000000">
      <w:pPr>
        <w:pStyle w:val="Heading3"/>
      </w:pPr>
      <w:r>
        <w:t>3.6 Cost (eu-central-1, on-demand)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85" w14:paraId="12B5DFAC" w14:textId="77777777" w:rsidTr="002A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6E997" w14:textId="77777777" w:rsidR="002A5785" w:rsidRDefault="00000000">
            <w:r>
              <w:t>Component</w:t>
            </w:r>
          </w:p>
        </w:tc>
        <w:tc>
          <w:tcPr>
            <w:tcW w:w="2880" w:type="dxa"/>
          </w:tcPr>
          <w:p w14:paraId="6E9BF3DC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</w:t>
            </w:r>
          </w:p>
        </w:tc>
        <w:tc>
          <w:tcPr>
            <w:tcW w:w="2880" w:type="dxa"/>
          </w:tcPr>
          <w:p w14:paraId="6FE72CFD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~Daily</w:t>
            </w:r>
          </w:p>
        </w:tc>
      </w:tr>
      <w:tr w:rsidR="002A5785" w14:paraId="69CECDD7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528367" w14:textId="77777777" w:rsidR="002A5785" w:rsidRDefault="00000000">
            <w:r>
              <w:t>EKS control plane</w:t>
            </w:r>
          </w:p>
        </w:tc>
        <w:tc>
          <w:tcPr>
            <w:tcW w:w="2880" w:type="dxa"/>
          </w:tcPr>
          <w:p w14:paraId="0687EFEC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$0.10 / hr</w:t>
            </w:r>
          </w:p>
        </w:tc>
        <w:tc>
          <w:tcPr>
            <w:tcW w:w="2880" w:type="dxa"/>
          </w:tcPr>
          <w:p w14:paraId="280BDA9F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$2.40</w:t>
            </w:r>
          </w:p>
        </w:tc>
      </w:tr>
      <w:tr w:rsidR="002A5785" w14:paraId="4B886EF9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BA745" w14:textId="77777777" w:rsidR="002A5785" w:rsidRDefault="00000000">
            <w:r>
              <w:t>2× t3.small nodes</w:t>
            </w:r>
          </w:p>
        </w:tc>
        <w:tc>
          <w:tcPr>
            <w:tcW w:w="2880" w:type="dxa"/>
          </w:tcPr>
          <w:p w14:paraId="630CC6B3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~$0.023 / hr each</w:t>
            </w:r>
          </w:p>
        </w:tc>
        <w:tc>
          <w:tcPr>
            <w:tcW w:w="2880" w:type="dxa"/>
          </w:tcPr>
          <w:p w14:paraId="7C2FA98D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$1.10</w:t>
            </w:r>
          </w:p>
        </w:tc>
      </w:tr>
      <w:tr w:rsidR="002A5785" w14:paraId="5A589630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161DC0" w14:textId="77777777" w:rsidR="002A5785" w:rsidRDefault="00000000">
            <w:r>
              <w:t>NLB (base + LCU)</w:t>
            </w:r>
          </w:p>
        </w:tc>
        <w:tc>
          <w:tcPr>
            <w:tcW w:w="2880" w:type="dxa"/>
          </w:tcPr>
          <w:p w14:paraId="078019AF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~$0.027 / hr</w:t>
            </w:r>
          </w:p>
        </w:tc>
        <w:tc>
          <w:tcPr>
            <w:tcW w:w="2880" w:type="dxa"/>
          </w:tcPr>
          <w:p w14:paraId="5865F443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$0.65</w:t>
            </w:r>
          </w:p>
        </w:tc>
      </w:tr>
      <w:tr w:rsidR="002A5785" w14:paraId="45A35041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6A634" w14:textId="77777777" w:rsidR="002A5785" w:rsidRDefault="00000000">
            <w:r>
              <w:t>S3 + ECR storage</w:t>
            </w:r>
          </w:p>
        </w:tc>
        <w:tc>
          <w:tcPr>
            <w:tcW w:w="2880" w:type="dxa"/>
          </w:tcPr>
          <w:p w14:paraId="2FA2C88C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negligible</w:t>
            </w:r>
          </w:p>
        </w:tc>
        <w:tc>
          <w:tcPr>
            <w:tcW w:w="2880" w:type="dxa"/>
          </w:tcPr>
          <w:p w14:paraId="12F46A6B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&lt;$0.06</w:t>
            </w:r>
          </w:p>
        </w:tc>
      </w:tr>
      <w:tr w:rsidR="002A5785" w14:paraId="2879158D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4AAF19" w14:textId="77777777" w:rsidR="002A5785" w:rsidRDefault="00000000">
            <w:r>
              <w:t>Total</w:t>
            </w:r>
          </w:p>
        </w:tc>
        <w:tc>
          <w:tcPr>
            <w:tcW w:w="2880" w:type="dxa"/>
          </w:tcPr>
          <w:p w14:paraId="3D2C119F" w14:textId="77777777" w:rsidR="002A5785" w:rsidRDefault="002A5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EACDBCC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≈ $4–5 / day</w:t>
            </w:r>
          </w:p>
        </w:tc>
      </w:tr>
    </w:tbl>
    <w:p w14:paraId="483C800A" w14:textId="77777777" w:rsidR="002A5785" w:rsidRDefault="00000000">
      <w:r>
        <w:rPr>
          <w:b/>
        </w:rPr>
        <w:t>Primary cost driver: the EKS control plane</w:t>
      </w:r>
      <w:r>
        <w:t xml:space="preserve"> (flat, load-independent), then the NLB. Compute is the smallest line item — so </w:t>
      </w:r>
      <w:r>
        <w:rPr>
          <w:b/>
        </w:rPr>
        <w:t>teardown discipline</w:t>
      </w:r>
      <w:r>
        <w:t>, not rightsizing, is the real cost lever. Well within the $100 AWS credit.</w:t>
      </w:r>
    </w:p>
    <w:p w14:paraId="5408D3DA" w14:textId="77777777" w:rsidR="002A5785" w:rsidRDefault="00000000">
      <w:pPr>
        <w:pStyle w:val="Heading3"/>
      </w:pPr>
      <w:r>
        <w:t>3.7 Teardown</w:t>
      </w:r>
    </w:p>
    <w:p w14:paraId="71B43253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eksctl delete cluster --name cogload --region eu-central-1   # nodes + NLB + VPC</w:t>
      </w:r>
    </w:p>
    <w:p w14:paraId="28FB9C14" w14:textId="77777777" w:rsidR="002A5785" w:rsidRDefault="00000000">
      <w:r>
        <w:t>Verify daily spend returns to ~$0 in the AWS Billing console.</w:t>
      </w:r>
    </w:p>
    <w:p w14:paraId="579F83C1" w14:textId="77777777" w:rsidR="002A5785" w:rsidRDefault="00000000">
      <w:pPr>
        <w:pStyle w:val="Heading2"/>
      </w:pPr>
      <w:r>
        <w:t>4. Observability</w:t>
      </w:r>
    </w:p>
    <w:p w14:paraId="1D8E70D0" w14:textId="77777777" w:rsidR="002A5785" w:rsidRDefault="00000000">
      <w:r>
        <w:rPr>
          <w:i/>
        </w:rPr>
        <w:t>(§11 Monitoring, M3.)</w:t>
      </w:r>
    </w:p>
    <w:p w14:paraId="7C8A8C0A" w14:textId="77777777" w:rsidR="002A5785" w:rsidRDefault="00000000">
      <w:r>
        <w:rPr>
          <w:b/>
        </w:rPr>
        <w:t>Prometheus</w:t>
      </w:r>
      <w:r>
        <w:t xml:space="preserve"> scrapes EEP (</w:t>
      </w:r>
      <w:r>
        <w:rPr>
          <w:rFonts w:ascii="Courier New" w:hAnsi="Courier New"/>
        </w:rPr>
        <w:t>:8080</w:t>
      </w:r>
      <w:r>
        <w:t>), IEP-1 (</w:t>
      </w:r>
      <w:r>
        <w:rPr>
          <w:rFonts w:ascii="Courier New" w:hAnsi="Courier New"/>
        </w:rPr>
        <w:t>:8000</w:t>
      </w:r>
      <w:r>
        <w:t>), IEP-2 (</w:t>
      </w:r>
      <w:r>
        <w:rPr>
          <w:rFonts w:ascii="Courier New" w:hAnsi="Courier New"/>
        </w:rPr>
        <w:t>:8001</w:t>
      </w:r>
      <w:r>
        <w:t xml:space="preserve">) every </w:t>
      </w:r>
      <w:r>
        <w:rPr>
          <w:b/>
        </w:rPr>
        <w:t>15 s</w:t>
      </w:r>
      <w:r>
        <w:t xml:space="preserve"> at </w:t>
      </w:r>
      <w:r>
        <w:rPr>
          <w:rFonts w:ascii="Courier New" w:hAnsi="Courier New"/>
        </w:rPr>
        <w:t>/metrics</w:t>
      </w:r>
      <w:r>
        <w:t xml:space="preserve">. Config in </w:t>
      </w:r>
      <w:r>
        <w:rPr>
          <w:rFonts w:ascii="Courier New" w:hAnsi="Courier New"/>
        </w:rPr>
        <w:t>k8s/05-monitoring.yml</w:t>
      </w:r>
      <w:r>
        <w:t xml:space="preserve"> (cloud) / </w:t>
      </w:r>
      <w:r>
        <w:rPr>
          <w:rFonts w:ascii="Courier New" w:hAnsi="Courier New"/>
        </w:rPr>
        <w:t>docker/prometheus/prometheus.yml</w:t>
      </w:r>
      <w:r>
        <w:t xml:space="preserve"> (local).</w:t>
      </w:r>
    </w:p>
    <w:p w14:paraId="6A2B497A" w14:textId="77777777" w:rsidR="002A5785" w:rsidRDefault="00000000">
      <w:r>
        <w:rPr>
          <w:b/>
        </w:rPr>
        <w:t>Metrics:</w:t>
      </w:r>
    </w:p>
    <w:p w14:paraId="19AEB21A" w14:textId="77777777" w:rsidR="002A5785" w:rsidRDefault="00000000">
      <w:pPr>
        <w:pStyle w:val="ListBullet"/>
      </w:pPr>
      <w:r>
        <w:t xml:space="preserve">EEP: </w:t>
      </w:r>
      <w:r>
        <w:rPr>
          <w:rFonts w:ascii="Courier New" w:hAnsi="Courier New"/>
        </w:rPr>
        <w:t>eep_requests_total{endpoint,status}</w:t>
      </w:r>
      <w:r>
        <w:t xml:space="preserve">, </w:t>
      </w:r>
      <w:r>
        <w:rPr>
          <w:rFonts w:ascii="Courier New" w:hAnsi="Courier New"/>
        </w:rPr>
        <w:t>eep_request_latency_seconds{endpoint}</w:t>
      </w:r>
      <w:r>
        <w:t>,</w:t>
      </w:r>
    </w:p>
    <w:p w14:paraId="5DF34EAF" w14:textId="77777777" w:rsidR="002A5785" w:rsidRDefault="00000000">
      <w:r>
        <w:rPr>
          <w:rFonts w:ascii="Courier New" w:hAnsi="Courier New"/>
        </w:rPr>
        <w:t>eep_downstream_errors_total{iep}</w:t>
      </w:r>
      <w:r>
        <w:t>.</w:t>
      </w:r>
    </w:p>
    <w:p w14:paraId="5A1E751A" w14:textId="77777777" w:rsidR="002A5785" w:rsidRDefault="00000000">
      <w:pPr>
        <w:pStyle w:val="ListBullet"/>
      </w:pPr>
      <w:r>
        <w:t xml:space="preserve">IEP-1: </w:t>
      </w:r>
      <w:r>
        <w:rPr>
          <w:rFonts w:ascii="Courier New" w:hAnsi="Courier New"/>
        </w:rPr>
        <w:t>iep1_requests_total{status}</w:t>
      </w:r>
      <w:r>
        <w:t xml:space="preserve">, </w:t>
      </w:r>
      <w:r>
        <w:rPr>
          <w:rFonts w:ascii="Courier New" w:hAnsi="Courier New"/>
        </w:rPr>
        <w:t>iep1_request_latency_seconds</w:t>
      </w:r>
      <w:r>
        <w:t>,</w:t>
      </w:r>
    </w:p>
    <w:p w14:paraId="5D7F4501" w14:textId="77777777" w:rsidR="002A5785" w:rsidRDefault="00000000">
      <w:r>
        <w:rPr>
          <w:rFonts w:ascii="Courier New" w:hAnsi="Courier New"/>
        </w:rPr>
        <w:t>iep1_prediction_confidence</w:t>
      </w:r>
      <w:r>
        <w:t xml:space="preserve">, </w:t>
      </w:r>
      <w:r>
        <w:rPr>
          <w:rFonts w:ascii="Courier New" w:hAnsi="Courier New"/>
        </w:rPr>
        <w:t>iep1_input_drift_score</w:t>
      </w:r>
      <w:r>
        <w:t xml:space="preserve">, </w:t>
      </w:r>
      <w:r>
        <w:rPr>
          <w:rFonts w:ascii="Courier New" w:hAnsi="Courier New"/>
        </w:rPr>
        <w:t>iep1_uncalibrated_requests_total</w:t>
      </w:r>
      <w:r>
        <w:t>.</w:t>
      </w:r>
    </w:p>
    <w:p w14:paraId="76871A0A" w14:textId="77777777" w:rsidR="002A5785" w:rsidRDefault="00000000">
      <w:pPr>
        <w:pStyle w:val="ListBullet"/>
      </w:pPr>
      <w:r>
        <w:t xml:space="preserve">IEP-2: </w:t>
      </w:r>
      <w:r>
        <w:rPr>
          <w:rFonts w:ascii="Courier New" w:hAnsi="Courier New"/>
        </w:rPr>
        <w:t>iep2_requests_total{status}</w:t>
      </w:r>
      <w:r>
        <w:t>, request latency.</w:t>
      </w:r>
    </w:p>
    <w:p w14:paraId="37FEFA4E" w14:textId="77777777" w:rsidR="002A5785" w:rsidRDefault="00000000">
      <w:r>
        <w:rPr>
          <w:b/>
        </w:rPr>
        <w:t>Grafana dashboard</w:t>
      </w:r>
      <w:r>
        <w:t xml:space="preserve"> (</w:t>
      </w:r>
      <w:r>
        <w:rPr>
          <w:rFonts w:ascii="Courier New" w:hAnsi="Courier New"/>
        </w:rPr>
        <w:t>CogLoad Serving</w:t>
      </w:r>
      <w:r>
        <w:t xml:space="preserve">, 7 panels, auto-provisioned from ConfigMap): throughput, error rate, EEP p50/p95, IEP-1 p50/p95, prediction-confidence histogram, input-drift quantiles, uncalibrated-request stat. This covers the per-service minimum — </w:t>
      </w:r>
      <w:r>
        <w:rPr>
          <w:b/>
        </w:rPr>
        <w:t>latency p50/p95, error rate by status, throughput</w:t>
      </w:r>
      <w:r>
        <w:t xml:space="preserve"> — on the public path.</w:t>
      </w:r>
    </w:p>
    <w:p w14:paraId="4BD541CD" w14:textId="77777777" w:rsidR="002A5785" w:rsidRDefault="00000000">
      <w:r>
        <w:rPr>
          <w:b/>
        </w:rPr>
        <w:t>ML-specific signals (the §11 inference requirement):</w:t>
      </w:r>
    </w:p>
    <w:p w14:paraId="4F4A298B" w14:textId="77777777" w:rsidR="002A5785" w:rsidRDefault="00000000">
      <w:pPr>
        <w:ind w:left="360"/>
      </w:pPr>
      <w:r>
        <w:rPr>
          <w:b/>
        </w:rPr>
        <w:t>1. Prediction-confidence distribution</w:t>
      </w:r>
      <w:r>
        <w:t xml:space="preserve"> — bimodal (near 0 / near 1) = healthy; flattening</w:t>
      </w:r>
    </w:p>
    <w:p w14:paraId="6B288BB1" w14:textId="77777777" w:rsidR="002A5785" w:rsidRDefault="00000000">
      <w:r>
        <w:lastRenderedPageBreak/>
        <w:t>toward 0.5 = output-distribution-shift warning.</w:t>
      </w:r>
    </w:p>
    <w:p w14:paraId="0D83E91C" w14:textId="77777777" w:rsidR="002A5785" w:rsidRDefault="00000000">
      <w:pPr>
        <w:ind w:left="360"/>
      </w:pPr>
      <w:r>
        <w:rPr>
          <w:b/>
        </w:rPr>
        <w:t>2. Input-drift proxy</w:t>
      </w:r>
      <w:r>
        <w:t xml:space="preserve"> — mean |z| of the 13 calibrated features; ~1.0 expected, sustained</w:t>
      </w:r>
    </w:p>
    <w:p w14:paraId="1892888D" w14:textId="77777777" w:rsidR="002A5785" w:rsidRDefault="00000000">
      <w:r>
        <w:t>≥2 flags drift from the user's calibration baseline (no labels needed).</w:t>
      </w:r>
    </w:p>
    <w:p w14:paraId="488D5799" w14:textId="77777777" w:rsidR="002A5785" w:rsidRDefault="00000000">
      <w:pPr>
        <w:ind w:left="360"/>
      </w:pPr>
      <w:r>
        <w:rPr>
          <w:b/>
        </w:rPr>
        <w:t>3. Uncalibrated-request counter</w:t>
      </w:r>
      <w:r>
        <w:t xml:space="preserve"> — makes the silent degraded mode visible.</w:t>
      </w:r>
    </w:p>
    <w:p w14:paraId="71666245" w14:textId="77777777" w:rsidR="002A5785" w:rsidRDefault="00000000">
      <w:pPr>
        <w:ind w:left="360"/>
      </w:pPr>
      <w:r>
        <w:rPr>
          <w:i/>
        </w:rPr>
        <w:t xml:space="preserve">E2E observation: drift ≈ </w:t>
      </w:r>
      <w:r>
        <w:rPr>
          <w:b/>
          <w:i/>
        </w:rPr>
        <w:t>1.56</w:t>
      </w:r>
      <w:r>
        <w:rPr>
          <w:i/>
        </w:rPr>
        <w:t xml:space="preserve"> on a deliberately mismatched synthetic window — the</w:t>
      </w:r>
    </w:p>
    <w:p w14:paraId="7FD4DB29" w14:textId="77777777" w:rsidR="002A5785" w:rsidRDefault="00000000">
      <w:pPr>
        <w:ind w:left="360"/>
      </w:pPr>
      <w:r>
        <w:rPr>
          <w:i/>
        </w:rPr>
        <w:t>monitor responds as designed.</w:t>
      </w:r>
    </w:p>
    <w:p w14:paraId="23E8BBE4" w14:textId="77777777" w:rsidR="002A5785" w:rsidRDefault="00000000">
      <w:pPr>
        <w:pStyle w:val="Heading2"/>
      </w:pPr>
      <w:r>
        <w:t>5. MLOps &amp; Model Lifecycle</w:t>
      </w:r>
    </w:p>
    <w:p w14:paraId="327CE761" w14:textId="77777777" w:rsidR="002A5785" w:rsidRDefault="00000000">
      <w:r>
        <w:rPr>
          <w:i/>
        </w:rPr>
        <w:t>(§7 Lifecycle, M1/M2.)</w:t>
      </w:r>
    </w:p>
    <w:p w14:paraId="7CC54E00" w14:textId="77777777" w:rsidR="002A5785" w:rsidRDefault="00000000">
      <w:pPr>
        <w:pStyle w:val="Heading3"/>
      </w:pPr>
      <w:r>
        <w:t>5.1 One-command pipeline</w:t>
      </w:r>
    </w:p>
    <w:p w14:paraId="384E4711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make retrain      # features → experiments → select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5785" w14:paraId="25D9FAD2" w14:textId="77777777" w:rsidTr="002A5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934C3" w14:textId="77777777" w:rsidR="002A5785" w:rsidRDefault="00000000">
            <w:r>
              <w:t>Step</w:t>
            </w:r>
          </w:p>
        </w:tc>
        <w:tc>
          <w:tcPr>
            <w:tcW w:w="2880" w:type="dxa"/>
          </w:tcPr>
          <w:p w14:paraId="3239F1A9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2880" w:type="dxa"/>
          </w:tcPr>
          <w:p w14:paraId="73F8AB8B" w14:textId="77777777" w:rsidR="002A578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A5785" w14:paraId="45E134E4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7FF6A" w14:textId="77777777" w:rsidR="002A5785" w:rsidRDefault="00000000">
            <w:r>
              <w:rPr>
                <w:rFonts w:ascii="Courier New" w:hAnsi="Courier New"/>
              </w:rPr>
              <w:t>features</w:t>
            </w:r>
          </w:p>
        </w:tc>
        <w:tc>
          <w:tcPr>
            <w:tcW w:w="2880" w:type="dxa"/>
          </w:tcPr>
          <w:p w14:paraId="348E5708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</w:rPr>
              <w:t>build_features.py</w:t>
            </w:r>
          </w:p>
        </w:tc>
        <w:tc>
          <w:tcPr>
            <w:tcW w:w="2880" w:type="dxa"/>
          </w:tcPr>
          <w:p w14:paraId="53AD995C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extract &amp; cache windowed feature tables (parquet)</w:t>
            </w:r>
          </w:p>
        </w:tc>
      </w:tr>
      <w:tr w:rsidR="002A5785" w14:paraId="127056CC" w14:textId="77777777" w:rsidTr="002A57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6D9D4" w14:textId="77777777" w:rsidR="002A5785" w:rsidRDefault="00000000">
            <w:r>
              <w:rPr>
                <w:rFonts w:ascii="Courier New" w:hAnsi="Courier New"/>
              </w:rPr>
              <w:t>experiments</w:t>
            </w:r>
          </w:p>
        </w:tc>
        <w:tc>
          <w:tcPr>
            <w:tcW w:w="2880" w:type="dxa"/>
          </w:tcPr>
          <w:p w14:paraId="60CF9366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urier New" w:hAnsi="Courier New"/>
              </w:rPr>
              <w:t>run_experiments.py</w:t>
            </w:r>
          </w:p>
        </w:tc>
        <w:tc>
          <w:tcPr>
            <w:tcW w:w="2880" w:type="dxa"/>
          </w:tcPr>
          <w:p w14:paraId="165693CA" w14:textId="77777777" w:rsidR="002A578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the grid; one config = one MLflow run</w:t>
            </w:r>
          </w:p>
        </w:tc>
      </w:tr>
      <w:tr w:rsidR="002A5785" w14:paraId="4C1E49BC" w14:textId="77777777" w:rsidTr="002A57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BE7C3D" w14:textId="77777777" w:rsidR="002A5785" w:rsidRDefault="00000000">
            <w:r>
              <w:rPr>
                <w:rFonts w:ascii="Courier New" w:hAnsi="Courier New"/>
              </w:rPr>
              <w:t>select</w:t>
            </w:r>
          </w:p>
        </w:tc>
        <w:tc>
          <w:tcPr>
            <w:tcW w:w="2880" w:type="dxa"/>
          </w:tcPr>
          <w:p w14:paraId="78B12FD6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hAnsi="Courier New"/>
              </w:rPr>
              <w:t>select_best.py --min-score $(PROMOTE_MIN_SCORE)</w:t>
            </w:r>
          </w:p>
        </w:tc>
        <w:tc>
          <w:tcPr>
            <w:tcW w:w="2880" w:type="dxa"/>
          </w:tcPr>
          <w:p w14:paraId="4085125D" w14:textId="77777777" w:rsidR="002A578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rank, gate, register champion</w:t>
            </w:r>
          </w:p>
        </w:tc>
      </w:tr>
    </w:tbl>
    <w:p w14:paraId="40FF83DE" w14:textId="77777777" w:rsidR="002A5785" w:rsidRDefault="00000000">
      <w:pPr>
        <w:pStyle w:val="Heading3"/>
      </w:pPr>
      <w:r>
        <w:t>5.2 Tracking, metrics &amp; promotion threshold</w:t>
      </w:r>
    </w:p>
    <w:p w14:paraId="2572BBEF" w14:textId="77777777" w:rsidR="002A5785" w:rsidRDefault="00000000">
      <w:r>
        <w:rPr>
          <w:b/>
        </w:rPr>
        <w:t>MLflow</w:t>
      </w:r>
      <w:r>
        <w:t xml:space="preserve"> records params, metrics, figures, and the fitted </w:t>
      </w:r>
      <w:r>
        <w:rPr>
          <w:rFonts w:ascii="Courier New" w:hAnsi="Courier New"/>
        </w:rPr>
        <w:t>FoldEnsembleModel</w:t>
      </w:r>
      <w:r>
        <w:t xml:space="preserve"> per run. The promotion metric:</w:t>
      </w:r>
    </w:p>
    <w:p w14:paraId="3DA082F6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selection_score = mean_F1 − 0.5 × std_F1      # champion = 0.868 (F1 0.910, std 0.083)</w:t>
      </w:r>
    </w:p>
    <w:p w14:paraId="51CCE79D" w14:textId="77777777" w:rsidR="002A5785" w:rsidRDefault="00000000">
      <w:r>
        <w:t xml:space="preserve">It rewards high mean F1 </w:t>
      </w:r>
      <w:r>
        <w:rPr>
          <w:i/>
        </w:rPr>
        <w:t>and</w:t>
      </w:r>
      <w:r>
        <w:t xml:space="preserve"> penalizes between-fold instability. The </w:t>
      </w:r>
      <w:r>
        <w:rPr>
          <w:b/>
        </w:rPr>
        <w:t>promotion gate</w:t>
      </w:r>
      <w:r>
        <w:t xml:space="preserve"> (</w:t>
      </w:r>
      <w:r>
        <w:rPr>
          <w:rFonts w:ascii="Courier New" w:hAnsi="Courier New"/>
        </w:rPr>
        <w:t>PROMOTE_MIN_SCORE</w:t>
      </w:r>
      <w:r>
        <w:t xml:space="preserve">, default </w:t>
      </w:r>
      <w:r>
        <w:rPr>
          <w:b/>
        </w:rPr>
        <w:t>0.80</w:t>
      </w:r>
      <w:r>
        <w:t xml:space="preserve">; absolute floor = benchmark 0.620) registers a candidate as </w:t>
      </w:r>
      <w:r>
        <w:rPr>
          <w:rFonts w:ascii="Courier New" w:hAnsi="Courier New"/>
        </w:rPr>
        <w:t>champion</w:t>
      </w:r>
      <w:r>
        <w:t xml:space="preserve"> only if it clears the gate. </w:t>
      </w:r>
      <w:r>
        <w:rPr>
          <w:rFonts w:ascii="Courier New" w:hAnsi="Courier New"/>
        </w:rPr>
        <w:t>selection.py::best_run_and_threshold</w:t>
      </w:r>
      <w:r>
        <w:t xml:space="preserve"> builds the leaderboard; </w:t>
      </w:r>
      <w:r>
        <w:rPr>
          <w:rFonts w:ascii="Courier New" w:hAnsi="Courier New"/>
        </w:rPr>
        <w:t>register_champion</w:t>
      </w:r>
      <w:r>
        <w:t xml:space="preserve"> assigns the alias and demotes the prior champion to </w:t>
      </w:r>
      <w:r>
        <w:rPr>
          <w:rFonts w:ascii="Courier New" w:hAnsi="Courier New"/>
        </w:rPr>
        <w:t>previous-champion</w:t>
      </w:r>
      <w:r>
        <w:t>. The champion was selected from a 6-config grid — see [</w:t>
      </w:r>
      <w:r>
        <w:rPr>
          <w:rFonts w:ascii="Courier New" w:hAnsi="Courier New"/>
        </w:rPr>
        <w:t>results_report.md</w:t>
      </w:r>
      <w:r>
        <w:t>](../results_report.md) for the full leaderboard and modeling findings.</w:t>
      </w:r>
    </w:p>
    <w:p w14:paraId="3CDE607B" w14:textId="77777777" w:rsidR="002A5785" w:rsidRDefault="00000000">
      <w:pPr>
        <w:pStyle w:val="Heading3"/>
      </w:pPr>
      <w:r>
        <w:t>5.3 Rollback &amp; production promotion</w:t>
      </w:r>
    </w:p>
    <w:p w14:paraId="3A281E7C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make rollback                                   # swaps champion ↔ previous-champion aliases</w:t>
      </w:r>
    </w:p>
    <w:p w14:paraId="30263FAF" w14:textId="77777777" w:rsidR="002A5785" w:rsidRDefault="00000000">
      <w:r>
        <w:t xml:space="preserve">Because serving loads from S3 (not the live registry — see Tradeoff 3), promoting to </w:t>
      </w:r>
      <w:r>
        <w:rPr>
          <w:i/>
        </w:rPr>
        <w:t>production</w:t>
      </w:r>
      <w:r>
        <w:t xml:space="preserve"> is explicit and auditable:</w:t>
      </w:r>
    </w:p>
    <w:p w14:paraId="4665DEBC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python scripts/export_model_to_s3.py</w:t>
      </w:r>
    </w:p>
    <w:p w14:paraId="4D1EBB0C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aws ssm put-parameter --name /cogload/model_uri --value &lt;new-uri&gt; --type String --overwrite</w:t>
      </w:r>
    </w:p>
    <w:p w14:paraId="2EFA92A7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kubectl rollout restart deployment/iep1-inference -n cogload</w:t>
      </w:r>
    </w:p>
    <w:p w14:paraId="5DD8DB98" w14:textId="77777777" w:rsidR="002A5785" w:rsidRDefault="00000000">
      <w:pPr>
        <w:pStyle w:val="Heading3"/>
      </w:pPr>
      <w:r>
        <w:lastRenderedPageBreak/>
        <w:t>5.4 CI</w:t>
      </w:r>
    </w:p>
    <w:p w14:paraId="636D48A2" w14:textId="77777777" w:rsidR="002A5785" w:rsidRDefault="00000000">
      <w:r>
        <w:rPr>
          <w:rFonts w:ascii="Courier New" w:hAnsi="Courier New"/>
        </w:rPr>
        <w:t>.github/workflows/ci.yml</w:t>
      </w:r>
      <w:r>
        <w:t xml:space="preserve"> on PR: </w:t>
      </w:r>
      <w:r>
        <w:rPr>
          <w:b/>
        </w:rPr>
        <w:t>unit job</w:t>
      </w:r>
      <w:r>
        <w:t xml:space="preserve"> (</w:t>
      </w:r>
      <w:r>
        <w:rPr>
          <w:rFonts w:ascii="Courier New" w:hAnsi="Courier New"/>
        </w:rPr>
        <w:t>.[dev,serving]</w:t>
      </w:r>
      <w:r>
        <w:t xml:space="preserve">, unit tests) + </w:t>
      </w:r>
      <w:r>
        <w:rPr>
          <w:b/>
        </w:rPr>
        <w:t>integration job</w:t>
      </w:r>
      <w:r>
        <w:t xml:space="preserve"> (Compose-up MLflow, register CI test model, bring up serving stack, run integration + local-stack E2E, tear down).</w:t>
      </w:r>
    </w:p>
    <w:p w14:paraId="728856B3" w14:textId="77777777" w:rsidR="002A5785" w:rsidRDefault="00000000">
      <w:pPr>
        <w:pStyle w:val="Heading2"/>
      </w:pPr>
      <w:r>
        <w:t>6. Testing &amp; Quality Assurance</w:t>
      </w:r>
    </w:p>
    <w:p w14:paraId="737307C9" w14:textId="77777777" w:rsidR="002A5785" w:rsidRDefault="00000000">
      <w:r>
        <w:rPr>
          <w:i/>
        </w:rPr>
        <w:t>(§8 QA, Q1/Q2.)</w:t>
      </w:r>
      <w:r>
        <w:t xml:space="preserve"> </w:t>
      </w:r>
      <w:r>
        <w:rPr>
          <w:b/>
        </w:rPr>
        <w:t>69 tests, all passing</w:t>
      </w:r>
      <w:r>
        <w:t xml:space="preserve"> — including E2E against the live EKS endpoint.</w:t>
      </w:r>
    </w:p>
    <w:p w14:paraId="1EFEA67A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make test                       # unit + integration + e2e</w:t>
      </w:r>
    </w:p>
    <w:p w14:paraId="2A4564EC" w14:textId="77777777" w:rsidR="002A5785" w:rsidRDefault="00000000">
      <w:pPr>
        <w:spacing w:after="0"/>
      </w:pPr>
      <w:r>
        <w:rPr>
          <w:rFonts w:ascii="Courier New" w:hAnsi="Courier New"/>
          <w:sz w:val="16"/>
        </w:rPr>
        <w:t>bash scripts/run_e2e.sh [URL]   # E2E against the deployed URL (defaults to EKS NLB)</w:t>
      </w:r>
    </w:p>
    <w:p w14:paraId="433D79F7" w14:textId="77777777" w:rsidR="002A5785" w:rsidRDefault="00000000">
      <w:r>
        <w:rPr>
          <w:b/>
        </w:rPr>
        <w:t>Layers:</w:t>
      </w:r>
    </w:p>
    <w:p w14:paraId="287CD678" w14:textId="77777777" w:rsidR="002A5785" w:rsidRDefault="00000000">
      <w:pPr>
        <w:pStyle w:val="ListBullet"/>
      </w:pPr>
      <w:r>
        <w:rPr>
          <w:b/>
        </w:rPr>
        <w:t>Unit</w:t>
      </w:r>
      <w:r>
        <w:t xml:space="preserve"> — </w:t>
      </w:r>
      <w:r>
        <w:rPr>
          <w:rFonts w:ascii="Courier New" w:hAnsi="Courier New"/>
        </w:rPr>
        <w:t>test_alignment</w:t>
      </w:r>
      <w:r>
        <w:t xml:space="preserve">, </w:t>
      </w:r>
      <w:r>
        <w:rPr>
          <w:rFonts w:ascii="Courier New" w:hAnsi="Courier New"/>
        </w:rPr>
        <w:t>test_windowing</w:t>
      </w:r>
      <w:r>
        <w:t xml:space="preserve">, </w:t>
      </w:r>
      <w:r>
        <w:rPr>
          <w:rFonts w:ascii="Courier New" w:hAnsi="Courier New"/>
        </w:rPr>
        <w:t>test_metrics</w:t>
      </w:r>
      <w:r>
        <w:t xml:space="preserve">, </w:t>
      </w:r>
      <w:r>
        <w:rPr>
          <w:rFonts w:ascii="Courier New" w:hAnsi="Courier New"/>
        </w:rPr>
        <w:t>test_leakage</w:t>
      </w:r>
      <w:r>
        <w:t>, plus serving</w:t>
      </w:r>
    </w:p>
    <w:p w14:paraId="583C75FC" w14:textId="77777777" w:rsidR="002A5785" w:rsidRDefault="00000000">
      <w:r>
        <w:t>units (</w:t>
      </w:r>
      <w:r>
        <w:rPr>
          <w:rFonts w:ascii="Courier New" w:hAnsi="Courier New"/>
        </w:rPr>
        <w:t>test_iep1_inference</w:t>
      </w:r>
      <w:r>
        <w:t xml:space="preserve"> incl. golden regression, </w:t>
      </w:r>
      <w:r>
        <w:rPr>
          <w:rFonts w:ascii="Courier New" w:hAnsi="Courier New"/>
        </w:rPr>
        <w:t>test_iep2_calibration</w:t>
      </w:r>
      <w:r>
        <w:t xml:space="preserve">, </w:t>
      </w:r>
      <w:r>
        <w:rPr>
          <w:rFonts w:ascii="Courier New" w:hAnsi="Courier New"/>
        </w:rPr>
        <w:t>test_eep</w:t>
      </w:r>
      <w:r>
        <w:t>).</w:t>
      </w:r>
    </w:p>
    <w:p w14:paraId="22872DD3" w14:textId="77777777" w:rsidR="002A5785" w:rsidRDefault="00000000">
      <w:pPr>
        <w:pStyle w:val="ListBullet"/>
      </w:pPr>
      <w:r>
        <w:rPr>
          <w:b/>
        </w:rPr>
        <w:t>Integration</w:t>
      </w:r>
      <w:r>
        <w:t xml:space="preserve"> — </w:t>
      </w:r>
      <w:r>
        <w:rPr>
          <w:rFonts w:ascii="Courier New" w:hAnsi="Courier New"/>
        </w:rPr>
        <w:t>tests/integration/test_services.py</w:t>
      </w:r>
      <w:r>
        <w:t>: EEP→IEP round-trips over real HTTP</w:t>
      </w:r>
    </w:p>
    <w:p w14:paraId="36F5B2FF" w14:textId="77777777" w:rsidR="002A5785" w:rsidRDefault="00000000">
      <w:r>
        <w:t>on the Compose stack, downstream-failure behavior, metrics presence.</w:t>
      </w:r>
    </w:p>
    <w:p w14:paraId="0AE0B516" w14:textId="77777777" w:rsidR="002A5785" w:rsidRDefault="00000000">
      <w:pPr>
        <w:pStyle w:val="ListBullet"/>
      </w:pPr>
      <w:r>
        <w:rPr>
          <w:b/>
        </w:rPr>
        <w:t>E2E</w:t>
      </w:r>
      <w:r>
        <w:t xml:space="preserve"> — </w:t>
      </w:r>
      <w:r>
        <w:rPr>
          <w:rFonts w:ascii="Courier New" w:hAnsi="Courier New"/>
        </w:rPr>
        <w:t>tests/e2e/test_e2e.py</w:t>
      </w:r>
      <w:r>
        <w:t xml:space="preserve"> vs </w:t>
      </w:r>
      <w:r>
        <w:rPr>
          <w:rFonts w:ascii="Courier New" w:hAnsi="Courier New"/>
        </w:rPr>
        <w:t>EEP_URL</w:t>
      </w:r>
      <w:r>
        <w:t>: health, full calibrate→predict golden path</w:t>
      </w:r>
    </w:p>
    <w:p w14:paraId="698FB54D" w14:textId="77777777" w:rsidR="002A5785" w:rsidRDefault="00000000">
      <w:r>
        <w:t xml:space="preserve">(asserts threshold 0.20, calibrated true, drift present), and two 422 validation cases. </w:t>
      </w:r>
      <w:r>
        <w:rPr>
          <w:i/>
        </w:rPr>
        <w:t>Live run: `probability=0.097 → LOW · drift=1.562`, 4/4 passed in ~5 s.</w:t>
      </w:r>
    </w:p>
    <w:p w14:paraId="492B4089" w14:textId="77777777" w:rsidR="002A5785" w:rsidRDefault="00000000">
      <w:r>
        <w:rPr>
          <w:b/>
        </w:rPr>
        <w:t>Regression &amp; validation strategy — all three §8.2 options:</w:t>
      </w:r>
    </w:p>
    <w:p w14:paraId="1B57A163" w14:textId="77777777" w:rsidR="002A5785" w:rsidRDefault="00000000">
      <w:pPr>
        <w:ind w:left="360"/>
      </w:pPr>
      <w:r>
        <w:rPr>
          <w:b/>
        </w:rPr>
        <w:t>1. Golden-dataset regression</w:t>
      </w:r>
      <w:r>
        <w:t xml:space="preserve"> — fixed input must yield a probability within tolerance.</w:t>
      </w:r>
    </w:p>
    <w:p w14:paraId="0BD70FBC" w14:textId="77777777" w:rsidR="002A5785" w:rsidRDefault="00000000">
      <w:pPr>
        <w:ind w:left="360"/>
      </w:pPr>
      <w:r>
        <w:rPr>
          <w:b/>
        </w:rPr>
        <w:t>2. Offline version comparison</w:t>
      </w:r>
      <w:r>
        <w:t xml:space="preserve"> — LOSO leaderboard + </w:t>
      </w:r>
      <w:r>
        <w:rPr>
          <w:rFonts w:ascii="Courier New" w:hAnsi="Courier New"/>
        </w:rPr>
        <w:t>selection_score</w:t>
      </w:r>
      <w:r>
        <w:t xml:space="preserve"> gate before</w:t>
      </w:r>
    </w:p>
    <w:p w14:paraId="54835EAF" w14:textId="77777777" w:rsidR="002A5785" w:rsidRDefault="00000000">
      <w:r>
        <w:t xml:space="preserve">promotion; </w:t>
      </w:r>
      <w:r>
        <w:rPr>
          <w:rFonts w:ascii="Courier New" w:hAnsi="Courier New"/>
        </w:rPr>
        <w:t>rollback_champion.py</w:t>
      </w:r>
      <w:r>
        <w:t xml:space="preserve"> reverts a regressive promotion.</w:t>
      </w:r>
    </w:p>
    <w:p w14:paraId="4ED4530A" w14:textId="77777777" w:rsidR="002A5785" w:rsidRDefault="00000000">
      <w:pPr>
        <w:ind w:left="360"/>
      </w:pPr>
      <w:r>
        <w:rPr>
          <w:b/>
        </w:rPr>
        <w:t>3. Data-validation checks</w:t>
      </w:r>
      <w:r>
        <w:t xml:space="preserve"> — Pydantic schema/range/length (422), plus runtime</w:t>
      </w:r>
    </w:p>
    <w:p w14:paraId="42827CF3" w14:textId="77777777" w:rsidR="002A5785" w:rsidRDefault="00000000">
      <w:r>
        <w:t>input-drift and uncalibrated-request signals as live drift indicators.</w:t>
      </w:r>
    </w:p>
    <w:p w14:paraId="230059B6" w14:textId="77777777" w:rsidR="002A5785" w:rsidRDefault="00000000">
      <w:r>
        <w:rPr>
          <w:b/>
        </w:rPr>
        <w:t>Demo-safety:</w:t>
      </w:r>
      <w:r>
        <w:t xml:space="preserve"> model loads from S3 (no live-MLflow dependency); </w:t>
      </w:r>
      <w:r>
        <w:rPr>
          <w:rFonts w:ascii="Courier New" w:hAnsi="Courier New"/>
        </w:rPr>
        <w:t>/health</w:t>
      </w:r>
      <w:r>
        <w:t xml:space="preserve"> aggregates downstream readiness; </w:t>
      </w:r>
      <w:r>
        <w:rPr>
          <w:rFonts w:ascii="Courier New" w:hAnsi="Courier New"/>
        </w:rPr>
        <w:t>run_e2e.sh</w:t>
      </w:r>
      <w:r>
        <w:t xml:space="preserve"> is the pre-demo smoke test against the exact deployed URL.</w:t>
      </w:r>
    </w:p>
    <w:p w14:paraId="5F7E5004" w14:textId="77777777" w:rsidR="002A5785" w:rsidRDefault="00000000">
      <w:pPr>
        <w:pStyle w:val="Heading2"/>
      </w:pPr>
      <w:r>
        <w:t>7. Engineering Tradeoffs</w:t>
      </w:r>
    </w:p>
    <w:p w14:paraId="0BD08C70" w14:textId="77777777" w:rsidR="002A5785" w:rsidRDefault="00000000">
      <w:r>
        <w:rPr>
          <w:i/>
        </w:rPr>
        <w:t>(§5 — required section. Each: chosen / rejected / why / evidence.)</w:t>
      </w:r>
    </w:p>
    <w:p w14:paraId="5AA85624" w14:textId="77777777" w:rsidR="002A5785" w:rsidRDefault="00000000">
      <w:pPr>
        <w:pStyle w:val="Heading3"/>
      </w:pPr>
      <w:r>
        <w:t>Tradeoff 1 — 23-model bagging vs. single retrained model</w:t>
      </w:r>
    </w:p>
    <w:p w14:paraId="06FD786D" w14:textId="77777777" w:rsidR="002A5785" w:rsidRDefault="00000000">
      <w:r>
        <w:rPr>
          <w:b/>
        </w:rPr>
        <w:t>Chosen:</w:t>
      </w:r>
      <w:r>
        <w:t xml:space="preserve"> keep all 23 LOSO fold models, average </w:t>
      </w:r>
      <w:r>
        <w:rPr>
          <w:rFonts w:ascii="Courier New" w:hAnsi="Courier New"/>
        </w:rPr>
        <w:t>predict_proba</w:t>
      </w:r>
      <w:r>
        <w:t xml:space="preserve">. </w:t>
      </w:r>
      <w:r>
        <w:rPr>
          <w:b/>
        </w:rPr>
        <w:t>Rejected:</w:t>
      </w:r>
      <w:r>
        <w:t xml:space="preserve"> retrain one model on all subjects. </w:t>
      </w:r>
      <w:r>
        <w:rPr>
          <w:b/>
        </w:rPr>
        <w:t>Why:</w:t>
      </w:r>
      <w:r>
        <w:t xml:space="preserve"> between-subject variance dominates (LOSO std 0.083, folds ~0.83–0.99); bagging </w:t>
      </w:r>
      <w:r>
        <w:lastRenderedPageBreak/>
        <w:t xml:space="preserve">attacks that variance and ships the </w:t>
      </w:r>
      <w:r>
        <w:rPr>
          <w:i/>
        </w:rPr>
        <w:t>same</w:t>
      </w:r>
      <w:r>
        <w:t xml:space="preserve"> artifact we measured (no untested-retrain gap). </w:t>
      </w:r>
      <w:r>
        <w:rPr>
          <w:b/>
        </w:rPr>
        <w:t>Cost accepted:</w:t>
      </w:r>
      <w:r>
        <w:t xml:space="preserve"> ~23× memory, 23 forward passes — negligible for XGBoost at this scale. </w:t>
      </w:r>
      <w:r>
        <w:rPr>
          <w:b/>
        </w:rPr>
        <w:t>Evidence:</w:t>
      </w:r>
      <w:r>
        <w:t xml:space="preserve"> holdout 0.785 from the same 23-model artifact.</w:t>
      </w:r>
    </w:p>
    <w:p w14:paraId="45019CCD" w14:textId="77777777" w:rsidR="002A5785" w:rsidRDefault="00000000">
      <w:pPr>
        <w:pStyle w:val="Heading3"/>
      </w:pPr>
      <w:r>
        <w:t>Tradeoff 2 — Decision threshold 0.20 vs. 0.50</w:t>
      </w:r>
    </w:p>
    <w:p w14:paraId="69E94EF2" w14:textId="77777777" w:rsidR="002A5785" w:rsidRDefault="00000000">
      <w:r>
        <w:rPr>
          <w:b/>
        </w:rPr>
        <w:t>Chosen:</w:t>
      </w:r>
      <w:r>
        <w:t xml:space="preserve"> classify high-load at probability ≥ 0.20. </w:t>
      </w:r>
      <w:r>
        <w:rPr>
          <w:b/>
        </w:rPr>
        <w:t>Rejected:</w:t>
      </w:r>
      <w:r>
        <w:t xml:space="preserve"> the default 0.50. </w:t>
      </w:r>
      <w:r>
        <w:rPr>
          <w:b/>
        </w:rPr>
        <w:t>Why:</w:t>
      </w:r>
      <w:r>
        <w:t xml:space="preserve"> asymmetric cost — a missed high-load episode (FN) is worse than a low-cost false nudge (FP); lower threshold buys recall. </w:t>
      </w:r>
      <w:r>
        <w:rPr>
          <w:b/>
        </w:rPr>
        <w:t>Cost accepted:</w:t>
      </w:r>
      <w:r>
        <w:t xml:space="preserve"> more low windows flagged high — affordable because </w:t>
      </w:r>
      <w:r>
        <w:rPr>
          <w:b/>
        </w:rPr>
        <w:t>PR-AUC 0.956</w:t>
      </w:r>
      <w:r>
        <w:t xml:space="preserve"> shows separability headroom. Swept on training folds only. </w:t>
      </w:r>
      <w:r>
        <w:rPr>
          <w:b/>
        </w:rPr>
        <w:t>Evidence:</w:t>
      </w:r>
      <w:r>
        <w:t xml:space="preserve"> PR-AUC 0.956, ROC-AUC 0.919.</w:t>
      </w:r>
    </w:p>
    <w:p w14:paraId="36867806" w14:textId="77777777" w:rsidR="002A5785" w:rsidRDefault="00000000">
      <w:pPr>
        <w:pStyle w:val="Heading3"/>
      </w:pPr>
      <w:r>
        <w:t>Tradeoff 3 — Serve from S3 vs. live MLflow registry</w:t>
      </w:r>
    </w:p>
    <w:p w14:paraId="5FB75D69" w14:textId="77777777" w:rsidR="002A5785" w:rsidRDefault="00000000">
      <w:r>
        <w:rPr>
          <w:b/>
        </w:rPr>
        <w:t>Chosen:</w:t>
      </w:r>
      <w:r>
        <w:t xml:space="preserve"> export champion to S3, IEP-1 loads at startup; zero runtime MLflow dependency. </w:t>
      </w:r>
      <w:r>
        <w:rPr>
          <w:b/>
        </w:rPr>
        <w:t>Rejected:</w:t>
      </w:r>
      <w:r>
        <w:t xml:space="preserve"> load from the registry at inference time. </w:t>
      </w:r>
      <w:r>
        <w:rPr>
          <w:b/>
        </w:rPr>
        <w:t>Why:</w:t>
      </w:r>
      <w:r>
        <w:t xml:space="preserve"> a live-registry dependency couples the hot path to a stateful dev service that can't start/recover/autoscale if MLflow is down. </w:t>
      </w:r>
      <w:r>
        <w:rPr>
          <w:b/>
        </w:rPr>
        <w:t>Cost accepted:</w:t>
      </w:r>
      <w:r>
        <w:t xml:space="preserve"> promotion is manual (export + SSM update + restart) — treated as a feature (explicit, auditable, prevents accidental swaps). </w:t>
      </w:r>
      <w:r>
        <w:rPr>
          <w:b/>
        </w:rPr>
        <w:t>Evidence:</w:t>
      </w:r>
      <w:r>
        <w:t xml:space="preserve"> live </w:t>
      </w:r>
      <w:r>
        <w:rPr>
          <w:rFonts w:ascii="Courier New" w:hAnsi="Courier New"/>
        </w:rPr>
        <w:t>/health</w:t>
      </w:r>
      <w:r>
        <w:t xml:space="preserve"> reports 23 fold models loaded from S3 with no MLflow reachable from EKS.</w:t>
      </w:r>
    </w:p>
    <w:p w14:paraId="1887802E" w14:textId="77777777" w:rsidR="002A5785" w:rsidRDefault="00000000">
      <w:pPr>
        <w:pStyle w:val="Heading3"/>
      </w:pPr>
      <w:r>
        <w:t>Tradeoff 4 — Rest-only calibration vs. global / all-data normalization</w:t>
      </w:r>
    </w:p>
    <w:p w14:paraId="214D21EE" w14:textId="77777777" w:rsidR="002A5785" w:rsidRDefault="00000000">
      <w:r>
        <w:rPr>
          <w:b/>
        </w:rPr>
        <w:t>Chosen:</w:t>
      </w:r>
      <w:r>
        <w:t xml:space="preserve"> per-user calibration from ~30 s of known-rest signals. </w:t>
      </w:r>
      <w:r>
        <w:rPr>
          <w:b/>
        </w:rPr>
        <w:t>Rejected:</w:t>
      </w:r>
      <w:r>
        <w:t xml:space="preserve"> (a) global population μ/σ — leaves the inter-subject variance that sinks the baseline; (b) normalizing over all of a user's data — that's future leakage, impossible at true inference. </w:t>
      </w:r>
      <w:r>
        <w:rPr>
          <w:b/>
        </w:rPr>
        <w:t>Cost accepted:</w:t>
      </w:r>
      <w:r>
        <w:t xml:space="preserve"> user must supply rest data, and there is a documented train/serve normalization mismatch — surfaced and </w:t>
      </w:r>
      <w:r>
        <w:rPr>
          <w:b/>
        </w:rPr>
        <w:t>monitored</w:t>
      </w:r>
      <w:r>
        <w:t xml:space="preserve"> via the input-drift signal (~1.0 expected) and the uncalibrated-request counter. </w:t>
      </w:r>
      <w:r>
        <w:rPr>
          <w:b/>
        </w:rPr>
        <w:t>Evidence:</w:t>
      </w:r>
      <w:r>
        <w:t xml:space="preserve"> 13 calibrated / 5 offset-invariant features; drift ≈ 1.5 observed on mismatched data, confirming the monitor fires.</w:t>
      </w:r>
    </w:p>
    <w:p w14:paraId="4DBA2D29" w14:textId="77777777" w:rsidR="008770E2" w:rsidRDefault="008770E2"/>
    <w:sectPr w:rsidR="008770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033893">
    <w:abstractNumId w:val="8"/>
  </w:num>
  <w:num w:numId="2" w16cid:durableId="765616899">
    <w:abstractNumId w:val="6"/>
  </w:num>
  <w:num w:numId="3" w16cid:durableId="297539226">
    <w:abstractNumId w:val="5"/>
  </w:num>
  <w:num w:numId="4" w16cid:durableId="1532496092">
    <w:abstractNumId w:val="4"/>
  </w:num>
  <w:num w:numId="5" w16cid:durableId="719404667">
    <w:abstractNumId w:val="7"/>
  </w:num>
  <w:num w:numId="6" w16cid:durableId="2014261379">
    <w:abstractNumId w:val="3"/>
  </w:num>
  <w:num w:numId="7" w16cid:durableId="1149786926">
    <w:abstractNumId w:val="2"/>
  </w:num>
  <w:num w:numId="8" w16cid:durableId="1948460684">
    <w:abstractNumId w:val="1"/>
  </w:num>
  <w:num w:numId="9" w16cid:durableId="9321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4E0"/>
    <w:rsid w:val="0029639D"/>
    <w:rsid w:val="002A5785"/>
    <w:rsid w:val="00326F90"/>
    <w:rsid w:val="00552C6F"/>
    <w:rsid w:val="008770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C3641"/>
  <w14:defaultImageDpi w14:val="300"/>
  <w15:docId w15:val="{438E3568-269B-794E-B701-4665658D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3856</Words>
  <Characters>21984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Nasser (Student)</cp:lastModifiedBy>
  <cp:revision>2</cp:revision>
  <dcterms:created xsi:type="dcterms:W3CDTF">2013-12-23T23:15:00Z</dcterms:created>
  <dcterms:modified xsi:type="dcterms:W3CDTF">2026-06-09T18:18:00Z</dcterms:modified>
  <cp:category/>
</cp:coreProperties>
</file>