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E10600"/>
          <w:sz w:val="60"/>
          <w:szCs w:val="60"/>
        </w:rPr>
        <w:t xml:space="preserve">GymNation</w:t>
      </w:r>
    </w:p>
    <w:p>
      <w:pPr>
        <w:spacing w:after="200"/>
        <w:jc w:val="center"/>
      </w:pPr>
      <w:r>
        <w:rPr>
          <w:rFonts w:ascii="Arial" w:cs="Arial" w:eastAsia="Arial" w:hAnsi="Arial"/>
          <w:sz w:val="40"/>
          <w:szCs w:val="40"/>
        </w:rPr>
        <w:t xml:space="preserve">Business Recommendations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Data &amp; Insights Team</w:t>
      </w:r>
    </w:p>
    <w:p>
      <w:pPr>
        <w:jc w:val="center"/>
      </w:pPr>
      <w:r>
        <w:rPr>
          <w:color w:val="999999"/>
          <w:sz w:val="22"/>
          <w:szCs w:val="22"/>
        </w:rPr>
        <w:t xml:space="preserve">April 2026  |  Confidential</w:t>
      </w:r>
    </w:p>
    <w:p>
      <w:r>
        <w:br w:type="page"/>
      </w:r>
    </w:p>
    <w:p>
      <w:pPr>
        <w:pStyle w:val="Heading1"/>
      </w:pPr>
      <w:r>
        <w:t xml:space="preserve">1. What is happening</w:t>
      </w:r>
    </w:p>
    <w:p>
      <w:pPr>
        <w:spacing w:after="200"/>
      </w:pPr>
      <w:r>
        <w:t xml:space="preserve">GymNation has grown to 22,000 members across 23 clubs in 5 GCC cities. Monthly recurring revenue stands at approximately AED 882K (ARR AED 10.6M). Overall churn sits at 9.4%, with the Flex Monthly cohort significantly outpacing other plans in attrition. Failed payment rate is 2.95% and responsible for measurable revenue leakage. Member engagement is bimodal: a large, loyal base visits consistently while a long tail of low-frequency members drifts toward cancellation.</w:t>
      </w:r>
    </w:p>
    <w:p>
      <w:pPr>
        <w:pStyle w:val="Heading1"/>
      </w:pPr>
      <w:r>
        <w:t xml:space="preserve">2. Why is it happening</w:t>
      </w:r>
    </w:p>
    <w:p>
      <w:pPr>
        <w:pStyle w:val="Heading2"/>
      </w:pPr>
      <w:r>
        <w:t xml:space="preserve">Churn is front-loaded</w:t>
      </w:r>
    </w:p>
    <w:p>
      <w:pPr>
        <w:spacing w:after="120"/>
      </w:pPr>
      <w:r>
        <w:t xml:space="preserve">The month 3–5 window is the highest-risk period. Members who survive past month 6 retain at dramatically higher rates. This pattern suggests the onboarding and activation experience—not the product itself—is the primary churn lever.</w:t>
      </w:r>
    </w:p>
    <w:p>
      <w:pPr>
        <w:pStyle w:val="Heading2"/>
      </w:pPr>
      <w:r>
        <w:t xml:space="preserve">Failed payments compound churn</w:t>
      </w:r>
    </w:p>
    <w:p>
      <w:pPr>
        <w:spacing w:after="120"/>
      </w:pPr>
      <w:r>
        <w:t xml:space="preserve">Members with a failed payment rate above 10% are materially more likely to churn. Payment friction creates a behavioural gap: a member whose card fails stops visiting, loses habit, and never returns. This makes payment recovery a retention problem, not just a finance problem.</w:t>
      </w:r>
    </w:p>
    <w:p>
      <w:pPr>
        <w:pStyle w:val="Heading2"/>
      </w:pPr>
      <w:r>
        <w:t xml:space="preserve">Acquisition channel quality varies</w:t>
      </w:r>
    </w:p>
    <w:p>
      <w:pPr>
        <w:spacing w:after="120"/>
      </w:pPr>
      <w:r>
        <w:t xml:space="preserve">Referral and Corporate B2B deliver the lowest CAC with the highest 12-month retention. Several paid channels generate volume but with significantly higher churn rates in the first 90 days.</w:t>
      </w:r>
    </w:p>
    <w:p>
      <w:pPr>
        <w:pStyle w:val="Heading1"/>
      </w:pPr>
      <w:r>
        <w:t xml:space="preserve">3. What is the financial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Churn cost: </w:t>
      </w:r>
      <w:r>
        <w:t xml:space="preserve">~2,078 churned members × AED 6,931 LTV = AED 14.4M in lost lifetime value.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Failed payment leakage: </w:t>
      </w:r>
      <w:r>
        <w:t xml:space="preserve">~6,350 permanently failed payments × avg AED 248 = AED 1.6M leaked.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Marketing waste: </w:t>
      </w:r>
      <w:r>
        <w:t xml:space="preserve">Bottom-3 channels by CAC consume ~22% of spend but deliver &lt;10% of durable joiners.</w:t>
      </w:r>
    </w:p>
    <w:p>
      <w:pPr>
        <w:pStyle w:val="Heading1"/>
      </w:pPr>
      <w:r>
        <w:t xml:space="preserve">4. What should GymNation do next</w:t>
      </w:r>
    </w:p>
    <w:p>
      <w:pPr>
        <w:pStyle w:val="Heading3"/>
      </w:pPr>
      <w:r>
        <w:t xml:space="preserve">Recommendation 1 — Launch the Month-3 Save Playbook</w:t>
      </w:r>
    </w:p>
    <w:p>
      <w:pPr>
        <w:spacing w:after="120"/>
      </w:pPr>
      <w:r>
        <w:t xml:space="preserve">Use the churn model’s scored action queue to drive proactive outreach to every member entering the 60–90 day window. Combine a manager call, a complimentary PT taster, and a freeze-instead-of-cancel option.</w:t>
      </w:r>
    </w:p>
    <w:p>
      <w:pPr>
        <w:pStyle w:val="Heading3"/>
      </w:pPr>
      <w:r>
        <w:t xml:space="preserve">Recommendation 2 — Implement Smart Retry for Failed Payments</w:t>
      </w:r>
    </w:p>
    <w:p>
      <w:pPr>
        <w:spacing w:after="120"/>
      </w:pPr>
      <w:r>
        <w:t xml:space="preserve">Switch to time-optimised retry logic (morning retries on salary-deposit day), add automatic gateway fallback, and pre-dunning SMS before the billing date. Target: reduce failed rate from 2.95% to &lt;1.8%.</w:t>
      </w:r>
    </w:p>
    <w:p>
      <w:pPr>
        <w:pStyle w:val="Heading3"/>
      </w:pPr>
      <w:r>
        <w:t xml:space="preserve">Recommendation 3 — Rebalance Marketing to Top Channels</w:t>
      </w:r>
    </w:p>
    <w:p>
      <w:pPr>
        <w:spacing w:after="120"/>
      </w:pPr>
      <w:r>
        <w:t xml:space="preserve">Shift 30% of spend from the bottom-3 channels to Referral incentives and Google Ads (top-2 on LTV-adjusted CAC). Add referral tracking to the app for organic amplification.</w:t>
      </w:r>
    </w:p>
    <w:p>
      <w:pPr>
        <w:pStyle w:val="Heading3"/>
      </w:pPr>
      <w:r>
        <w:t xml:space="preserve">Recommendation 4 — Stand Up the Dashboard Suite</w:t>
      </w:r>
    </w:p>
    <w:p>
      <w:pPr>
        <w:spacing w:after="120"/>
      </w:pPr>
      <w:r>
        <w:t xml:space="preserve">Deploy the five dashboards (Executive, Operations, Marketing, Finance, Retention) in Power BI, connected to the nightly ETL refresh. This replaces ad-hoc spreadsheet reporting and gives leadership a single source of truth.</w:t>
      </w:r>
    </w:p>
    <w:p>
      <w:pPr>
        <w:pStyle w:val="Heading3"/>
      </w:pPr>
      <w:r>
        <w:t xml:space="preserve">Recommendation 5 — Pilot the Club Health Score</w:t>
      </w:r>
    </w:p>
    <w:p>
      <w:pPr>
        <w:spacing w:after="200"/>
      </w:pPr>
      <w:r>
        <w:t xml:space="preserve">Create a composite score per club (member growth, churn, revenue per sqm, class utilization, NPS) and embed it in club-manager incentive structures. The bottom quartile should trigger a joint ops + marketing intervention.</w:t>
      </w:r>
    </w:p>
    <w:p>
      <w:pPr>
        <w:pStyle w:val="Heading1"/>
      </w:pPr>
      <w:r>
        <w:t xml:space="preserve">5. What should be monitored weekly</w:t>
      </w:r>
    </w:p>
    <w:p>
      <w:pPr>
        <w:pStyle w:val="ListParagraph"/>
        <w:numPr>
          <w:ilvl w:val="0"/>
          <w:numId w:val="3"/>
        </w:numPr>
      </w:pPr>
      <w:r>
        <w:t xml:space="preserve">Churn rate (total and by tenure bucket)</w:t>
      </w:r>
    </w:p>
    <w:p>
      <w:pPr>
        <w:pStyle w:val="ListParagraph"/>
        <w:numPr>
          <w:ilvl w:val="0"/>
          <w:numId w:val="3"/>
        </w:numPr>
      </w:pPr>
      <w:r>
        <w:t xml:space="preserve">Failed payment rate and recovery rate by gateway</w:t>
      </w:r>
    </w:p>
    <w:p>
      <w:pPr>
        <w:pStyle w:val="ListParagraph"/>
        <w:numPr>
          <w:ilvl w:val="0"/>
          <w:numId w:val="3"/>
        </w:numPr>
      </w:pPr>
      <w:r>
        <w:t xml:space="preserve">MRR vs budget (with forecast overlay)</w:t>
      </w:r>
    </w:p>
    <w:p>
      <w:pPr>
        <w:pStyle w:val="ListParagraph"/>
        <w:numPr>
          <w:ilvl w:val="0"/>
          <w:numId w:val="3"/>
        </w:numPr>
      </w:pPr>
      <w:r>
        <w:t xml:space="preserve">Critical- and High-risk member count from churn model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Club Health Score for bottom-quartile clubs</w:t>
      </w:r>
    </w:p>
    <w:p>
      <w:pPr>
        <w:pStyle w:val="Heading1"/>
      </w:pPr>
      <w:r>
        <w:t xml:space="preserve">6. What should be automated</w:t>
      </w:r>
    </w:p>
    <w:p>
      <w:pPr>
        <w:pStyle w:val="ListParagraph"/>
        <w:numPr>
          <w:ilvl w:val="0"/>
          <w:numId w:val="2"/>
        </w:numPr>
      </w:pPr>
      <w:r>
        <w:t xml:space="preserve">Nightly ETL refresh (bronze → silver → gold → SQLite/Snowflake).</w:t>
      </w:r>
    </w:p>
    <w:p>
      <w:pPr>
        <w:pStyle w:val="ListParagraph"/>
        <w:numPr>
          <w:ilvl w:val="0"/>
          <w:numId w:val="2"/>
        </w:numPr>
      </w:pPr>
      <w:r>
        <w:t xml:space="preserve">Weekly batch churn scoring with auto-pushed action list to CRM.</w:t>
      </w:r>
    </w:p>
    <w:p>
      <w:pPr>
        <w:pStyle w:val="ListParagraph"/>
        <w:numPr>
          <w:ilvl w:val="0"/>
          <w:numId w:val="2"/>
        </w:numPr>
      </w:pPr>
      <w:r>
        <w:t xml:space="preserve">Dashboard refresh and KPI alert emails for threshold breaches.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Smart retry scheduler integrated with gateway API.</w:t>
      </w:r>
    </w:p>
    <w:p>
      <w:pPr>
        <w:pStyle w:val="Heading1"/>
      </w:pPr>
      <w:r>
        <w:t xml:space="preserve">7. What experiments should we run next</w:t>
      </w:r>
    </w:p>
    <w:p>
      <w:pPr>
        <w:pStyle w:val="ListParagraph"/>
        <w:numPr>
          <w:ilvl w:val="0"/>
          <w:numId w:val="2"/>
        </w:numPr>
      </w:pPr>
      <w:r>
        <w:t xml:space="preserve">A/B test: Manager call vs automated email at the 60-day mark.</w:t>
      </w:r>
    </w:p>
    <w:p>
      <w:pPr>
        <w:pStyle w:val="ListParagraph"/>
        <w:numPr>
          <w:ilvl w:val="0"/>
          <w:numId w:val="2"/>
        </w:numPr>
      </w:pPr>
      <w:r>
        <w:t xml:space="preserve">A/B test: Retry timing (morning vs evening) by gateway.</w:t>
      </w:r>
    </w:p>
    <w:p>
      <w:pPr>
        <w:pStyle w:val="ListParagraph"/>
        <w:numPr>
          <w:ilvl w:val="0"/>
          <w:numId w:val="2"/>
        </w:numPr>
      </w:pPr>
      <w:r>
        <w:t xml:space="preserve">Referral incentive experiment: AED 50 credit vs free PT session.</w:t>
      </w:r>
    </w:p>
    <w:p>
      <w:pPr>
        <w:pStyle w:val="ListParagraph"/>
        <w:numPr>
          <w:ilvl w:val="0"/>
          <w:numId w:val="2"/>
        </w:numPr>
      </w:pPr>
      <w:r>
        <w:t xml:space="preserve">Class schedule optimisation pilot at 3 clubs (shift low-fill classes to peak demand slots).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106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2026-04-16T22:14:46.340Z</dcterms:created>
  <dcterms:modified xsi:type="dcterms:W3CDTF">2026-04-16T22:14:46.340Z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