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F97A1" w14:textId="77777777" w:rsidR="00D54DB4" w:rsidRPr="0062439C" w:rsidRDefault="00EA5D2D" w:rsidP="00E721A9">
      <w:pPr>
        <w:pStyle w:val="DOP"/>
        <w:tabs>
          <w:tab w:val="left" w:pos="180"/>
        </w:tabs>
      </w:pPr>
      <w:r w:rsidRPr="0062439C">
        <w:t>Date of publication xxxx 00, 0000, date of current version xxxx 00, 0000.</w:t>
      </w:r>
    </w:p>
    <w:p w14:paraId="7F95A7D6" w14:textId="7666495B" w:rsidR="00505C65" w:rsidRPr="0062439C" w:rsidRDefault="00505C65" w:rsidP="00505C65">
      <w:pPr>
        <w:pStyle w:val="DOI"/>
      </w:pPr>
      <w:r w:rsidRPr="0062439C">
        <w:t>Digital Object Identifier 10.1109/ACCESS.20</w:t>
      </w:r>
      <w:r>
        <w:t>2</w:t>
      </w:r>
      <w:r w:rsidR="00E05FFD">
        <w:t>4</w:t>
      </w:r>
      <w:r w:rsidRPr="0062439C">
        <w:t>.Doi Number</w:t>
      </w:r>
    </w:p>
    <w:p w14:paraId="774CFF19" w14:textId="79C0B4A1" w:rsidR="00EA5D2D" w:rsidRPr="00084BD2" w:rsidRDefault="005626BC" w:rsidP="00105925">
      <w:pPr>
        <w:pStyle w:val="PaperTitle"/>
      </w:pPr>
      <w:r w:rsidRPr="005626BC">
        <w:t>Thiết kế và phân tích các thuật toán tìm kiếm</w:t>
      </w:r>
      <w:r>
        <w:t xml:space="preserve"> </w:t>
      </w:r>
      <w:r w:rsidRPr="005626BC">
        <w:t>Top-K tập mục định kỳ có độ hữu ích cao từ cơ sở dữ liệu không chắc</w:t>
      </w:r>
      <w:r>
        <w:t xml:space="preserve"> chắn</w:t>
      </w:r>
    </w:p>
    <w:p w14:paraId="5FE3534C" w14:textId="142F8EDC" w:rsidR="00EA5D2D" w:rsidRPr="00084BD2" w:rsidRDefault="005626BC" w:rsidP="005C261D">
      <w:pPr>
        <w:pStyle w:val="AU"/>
        <w:spacing w:after="0"/>
      </w:pPr>
      <w:r>
        <w:t>Phạm Nguyễn Khôi Nguyên</w:t>
      </w:r>
    </w:p>
    <w:p w14:paraId="2EFF7622" w14:textId="175A4119" w:rsidR="00084BD2" w:rsidRPr="005C261D" w:rsidRDefault="005626BC" w:rsidP="005C261D">
      <w:pPr>
        <w:pStyle w:val="PINoSpace"/>
        <w:ind w:firstLine="0"/>
        <w:rPr>
          <w:sz w:val="14"/>
          <w:szCs w:val="14"/>
        </w:rPr>
      </w:pPr>
      <w:r w:rsidRPr="005626BC">
        <w:rPr>
          <w:sz w:val="14"/>
          <w:szCs w:val="14"/>
        </w:rPr>
        <w:t>Khoa Công nghệ Thông tin, Trường Đại học Tôn Đức Thắng, TP. Hồ Chí Minh, Việt Nam</w:t>
      </w:r>
      <w:r>
        <w:rPr>
          <w:sz w:val="14"/>
          <w:szCs w:val="14"/>
        </w:rPr>
        <w:t xml:space="preserve"> </w:t>
      </w:r>
      <w:r w:rsidR="00084BD2" w:rsidRPr="005C261D">
        <w:rPr>
          <w:sz w:val="14"/>
          <w:szCs w:val="14"/>
        </w:rPr>
        <w:t xml:space="preserve"> </w:t>
      </w:r>
    </w:p>
    <w:p w14:paraId="00C6F9B4" w14:textId="73FDBD22" w:rsidR="005C261D" w:rsidRDefault="008F5CF1" w:rsidP="005C261D">
      <w:pPr>
        <w:pStyle w:val="PI"/>
        <w:spacing w:before="100" w:after="100"/>
        <w:ind w:right="1598" w:firstLine="0"/>
      </w:pPr>
      <w:r>
        <w:t>Tác giả liên hệ</w:t>
      </w:r>
      <w:r w:rsidR="005C261D">
        <w:t xml:space="preserve">: </w:t>
      </w:r>
      <w:r w:rsidR="005626BC">
        <w:t>Phạm Nguyễn Khôi Nguyên</w:t>
      </w:r>
      <w:r w:rsidR="005C261D">
        <w:t xml:space="preserve"> (e-mail: </w:t>
      </w:r>
      <w:r w:rsidR="005626BC">
        <w:t>52000695@student.tdtu.edu.vn</w:t>
      </w:r>
      <w:r w:rsidR="005C261D">
        <w:t>).</w:t>
      </w:r>
      <w:r>
        <w:t xml:space="preserve"> </w:t>
      </w:r>
    </w:p>
    <w:p w14:paraId="6C6620AA" w14:textId="32368E5C" w:rsidR="005C261D" w:rsidRDefault="008F5CF1" w:rsidP="005C261D">
      <w:pPr>
        <w:pStyle w:val="FootnoteText"/>
        <w:spacing w:after="540"/>
        <w:ind w:firstLine="0"/>
      </w:pPr>
      <w:r w:rsidRPr="008F5CF1">
        <w:t xml:space="preserve">Nghiên cứu này được </w:t>
      </w:r>
      <w:r w:rsidR="00C26A74">
        <w:t>hướng dẫn</w:t>
      </w:r>
      <w:r w:rsidRPr="008F5CF1">
        <w:t xml:space="preserve"> bởi</w:t>
      </w:r>
      <w:r>
        <w:t xml:space="preserve"> TS. Nguyễn Chí Thiện,</w:t>
      </w:r>
      <w:r w:rsidRPr="008F5CF1">
        <w:t xml:space="preserve"> Khoa Công nghệ Thông tin, Trường Đại học Tôn Đức Thắng</w:t>
      </w:r>
      <w:r>
        <w:t xml:space="preserve">. </w:t>
      </w:r>
    </w:p>
    <w:p w14:paraId="25001565" w14:textId="265F8EA1" w:rsidR="00EA5D2D" w:rsidRPr="00364197" w:rsidRDefault="00EA5D2D" w:rsidP="005C3955">
      <w:pPr>
        <w:pStyle w:val="Abstract"/>
      </w:pPr>
      <w:r w:rsidRPr="00887BB0">
        <w:rPr>
          <w:rStyle w:val="H5CharChar"/>
        </w:rPr>
        <w:t>ABSTRACT</w:t>
      </w:r>
      <w:r w:rsidRPr="0062439C">
        <w:t xml:space="preserve"> </w:t>
      </w:r>
      <w:r w:rsidR="008D15C5" w:rsidRPr="008D15C5">
        <w:t xml:space="preserve">Mining high-utility itemsets (HUIs) </w:t>
      </w:r>
      <w:r w:rsidR="00613337">
        <w:t>have</w:t>
      </w:r>
      <w:r w:rsidR="008D15C5" w:rsidRPr="008D15C5">
        <w:t xml:space="preserve"> been a pivotal area in data mining, especially for applications requiring the discovery of patterns with high profitability. Traditional approaches have primarily focused on static datasets with deterministic values, often neglecting periodic patterns, data uncertainty, and scenarios involving negative utilities. This research proposes a novel framework for mining Top-k periodic high-utility itemsets from uncertain database to addressing these limitations. Our approach integrates concepts from periodic pattern mining, utility itemset mining, and uncertain data modeling to effectively discover meaningful patterns under real-world conditions. Additionally, the framework is designed to handle both positive and negative utilities, ensuring its applicability in datasets with mixed utility dynamics often observed in real-world scenarios. We improve upon existing algorithms, including PHMN, PHMN+, and EFIM, by introducing advanced pruning strategies and dynamic threshold adjustment mechanisms tailored for periodic and uncertain data. Experimental evaluations on large-scale datasets demonstrate that the proposed method outperforms state-of-the-art algorithms in terms of execution time, memory efficiency, and scalability. Moreover, our approach demonstrates strong adaptability and efficiency across various dataset characteristics. The experimental results validate its effectiveness and scalability, providing a solid foundation for further advancements in high-utility pattern mining under periodic and uncertain conditions.</w:t>
      </w:r>
    </w:p>
    <w:p w14:paraId="5B98DC63" w14:textId="660A55C7" w:rsidR="00465E37" w:rsidRPr="00465E37" w:rsidRDefault="00D828C6" w:rsidP="00465E37">
      <w:pPr>
        <w:pStyle w:val="IT"/>
      </w:pPr>
      <w:r w:rsidRPr="007573E5">
        <w:rPr>
          <w:rStyle w:val="H5CharChar"/>
        </w:rPr>
        <w:t>INDEX TERMS</w:t>
      </w:r>
      <w:r w:rsidR="005C3955" w:rsidRPr="007573E5">
        <w:t xml:space="preserve"> </w:t>
      </w:r>
      <w:r w:rsidR="00465E37" w:rsidRPr="00465E37">
        <w:t xml:space="preserve">Data mining, Negative utilities, Periodic </w:t>
      </w:r>
      <w:r w:rsidR="002D05AF">
        <w:t>p</w:t>
      </w:r>
      <w:r w:rsidR="00465E37" w:rsidRPr="00465E37">
        <w:t>attern, Threshold raising strategies, Top-k high-utility itemset, Uncertain database</w:t>
      </w:r>
    </w:p>
    <w:p w14:paraId="5D90FDC6" w14:textId="124B97C3" w:rsidR="00D828C6" w:rsidRPr="00887BB0" w:rsidRDefault="00D828C6" w:rsidP="003B3FFE">
      <w:pPr>
        <w:pStyle w:val="IT"/>
        <w:sectPr w:rsidR="00D828C6" w:rsidRPr="00887BB0" w:rsidSect="00CB2DB1">
          <w:headerReference w:type="default" r:id="rId8"/>
          <w:footerReference w:type="default" r:id="rId9"/>
          <w:pgSz w:w="11520" w:h="15660" w:code="1"/>
          <w:pgMar w:top="1280" w:right="740" w:bottom="1040" w:left="740" w:header="360" w:footer="640" w:gutter="0"/>
          <w:cols w:space="720"/>
          <w:docGrid w:linePitch="360"/>
        </w:sectPr>
      </w:pPr>
    </w:p>
    <w:p w14:paraId="1E648433" w14:textId="77777777" w:rsidR="00D828C6" w:rsidRPr="00F448F1" w:rsidRDefault="00D828C6" w:rsidP="00B54914">
      <w:pPr>
        <w:pStyle w:val="H1ListNoSpace"/>
      </w:pPr>
      <w:r w:rsidRPr="00F448F1">
        <w:t>INTRODUCTION</w:t>
      </w:r>
    </w:p>
    <w:p w14:paraId="46E0047B" w14:textId="432A9839" w:rsidR="00285C62" w:rsidRPr="00285C62" w:rsidRDefault="00285C62" w:rsidP="00285C62">
      <w:pPr>
        <w:pStyle w:val="PARA"/>
        <w:rPr>
          <w:spacing w:val="2"/>
        </w:rPr>
      </w:pPr>
      <w:bookmarkStart w:id="0" w:name="_Hlk185002717"/>
      <w:r w:rsidRPr="00285C62">
        <w:rPr>
          <w:spacing w:val="2"/>
        </w:rPr>
        <w:t>Khai thác các tập mục hữu ích cao (High-Utility Itemset Mining - HUIM) là một</w:t>
      </w:r>
      <w:r w:rsidR="001C0BF4">
        <w:rPr>
          <w:spacing w:val="2"/>
        </w:rPr>
        <w:t xml:space="preserve"> trong những</w:t>
      </w:r>
      <w:r w:rsidRPr="00285C62">
        <w:rPr>
          <w:spacing w:val="2"/>
        </w:rPr>
        <w:t xml:space="preserve"> lĩnh vực quan trọng trong khai thác dữ liệu, tập trung vào việc</w:t>
      </w:r>
      <w:r w:rsidR="002D05AF">
        <w:rPr>
          <w:spacing w:val="2"/>
        </w:rPr>
        <w:t xml:space="preserve"> tìm kiếm</w:t>
      </w:r>
      <w:r w:rsidRPr="00285C62">
        <w:rPr>
          <w:spacing w:val="2"/>
        </w:rPr>
        <w:t xml:space="preserve"> các tập mục có giá trị hữu ích cao</w:t>
      </w:r>
      <w:r w:rsidR="007A40A9">
        <w:rPr>
          <w:spacing w:val="2"/>
        </w:rPr>
        <w:t xml:space="preserve"> </w:t>
      </w:r>
      <w:r w:rsidRPr="00285C62">
        <w:rPr>
          <w:spacing w:val="2"/>
        </w:rPr>
        <w:t>trong các cơ sở dữ liệu giao dịch. Ví dụ, trong ngành bán lẻ, việc phân tích các giao dịch của khách hàng để xác định các tổ hợp sản phẩm mang lại doanh thu cao nhất có thể giúp doanh nghiệp tối ưu hóa kho hàng, thiết kế các chiến lược khuyến mãi và tăng lợi nhuận​​.</w:t>
      </w:r>
    </w:p>
    <w:bookmarkEnd w:id="0"/>
    <w:p w14:paraId="1B18C30B" w14:textId="77777777" w:rsidR="00285C62" w:rsidRPr="00285C62" w:rsidRDefault="00285C62" w:rsidP="00285C62">
      <w:pPr>
        <w:pStyle w:val="PARA"/>
        <w:rPr>
          <w:spacing w:val="2"/>
        </w:rPr>
      </w:pPr>
    </w:p>
    <w:p w14:paraId="1FFF471A" w14:textId="77777777" w:rsidR="00285C62" w:rsidRPr="00285C62" w:rsidRDefault="00285C62" w:rsidP="00285C62">
      <w:pPr>
        <w:pStyle w:val="PARA"/>
        <w:rPr>
          <w:spacing w:val="2"/>
        </w:rPr>
      </w:pPr>
      <w:r w:rsidRPr="00285C62">
        <w:rPr>
          <w:spacing w:val="2"/>
        </w:rPr>
        <w:t xml:space="preserve">Các phương pháp HUIM truyền thống thường dựa vào các tập dữ liệu tĩnh và các giá trị xác định, một số phương pháp giả định rằng tất cả các sản phẩm đều có lợi ích dương. Tuy nhiên, trong thực tế, nhiều trường hợp phức tạp hơn có thể xảy ra, chẳng hạn như các sản phẩm có lợi ích âm (ví dụ: các sản phẩm giảm giá, sản phẩm tặng kèm, ...) để thúc đẩy doanh số bán hàng​. Một trong những thách thức trong khai </w:t>
      </w:r>
      <w:r w:rsidRPr="00285C62">
        <w:rPr>
          <w:spacing w:val="2"/>
        </w:rPr>
        <w:t>thác các tập mục hữu ích cao là xác định cách tiếp cận hiệu quả để tìm ra top những mẫu quan trọng mà không yêu cầu người dùng phải can thiệp quá nhiều vào việc thiết lập các tham số. Để giải quyết vấn đề này, phương pháp khai thác Top-k high-utility itemsets đã được đề xuất, trong đó người dùng chỉ cần chỉ định số lượng mẫu cần tìm (k), và thuật toán sẽ tự động điều chỉnh ngưỡng để tìm các tập mục có lợi ích cao nhất​​.</w:t>
      </w:r>
    </w:p>
    <w:p w14:paraId="1F577C93" w14:textId="77777777" w:rsidR="00285C62" w:rsidRPr="00285C62" w:rsidRDefault="00285C62" w:rsidP="00285C62">
      <w:pPr>
        <w:pStyle w:val="PARA"/>
        <w:rPr>
          <w:spacing w:val="2"/>
        </w:rPr>
      </w:pPr>
    </w:p>
    <w:p w14:paraId="7A52DBDB" w14:textId="77777777" w:rsidR="00285C62" w:rsidRPr="00285C62" w:rsidRDefault="00285C62" w:rsidP="00285C62">
      <w:pPr>
        <w:pStyle w:val="PARA"/>
        <w:rPr>
          <w:spacing w:val="2"/>
        </w:rPr>
      </w:pPr>
      <w:r w:rsidRPr="00285C62">
        <w:rPr>
          <w:spacing w:val="2"/>
        </w:rPr>
        <w:t xml:space="preserve">Ngoài việc xác định các tập mục có lợi ích cao, yếu tố định kỳ (periodic patterns) cũng đóng vai trò quan trọng trong việc phân tích dữ liệu. Các mẫu định kỳ giúp phát hiện các hành vi lặp lại, chẳng hạn như xu hướng mua sắm vào các thời điểm cụ thể, từ đó hỗ trợ các chiến lược kinh doanh như dự báo hàng tồn kho hoặc tối ưu hóa lịch trình khuyến mãi. Tuy nhiên, việc tích hợp yếu tố định kỳ vào HUIM không phải là một nhiệm vụ đơn giản do tính phức tạp trong </w:t>
      </w:r>
      <w:r w:rsidRPr="00285C62">
        <w:rPr>
          <w:spacing w:val="2"/>
        </w:rPr>
        <w:lastRenderedPageBreak/>
        <w:t>việc xử lý dữ liệu thời gian​. Thêm vào đó, trong các cơ sở dữ liệu không chắc chắn (uncertain databases), việc khai thác các tập mục hữu ích cao trở nên phức tạp hơn do tính không xác định trong dữ liệu. Cụ thể, mỗi mục (item) trong cơ sở dữ liệu không chắc chắn thường đi kèm với một xác suất tồn tại, phản ánh mức độ tin cậy của thông tin. Điều này khiến các chiến lược khai thác truyền thống dựa trên giá trị cố định không còn phù hợp.</w:t>
      </w:r>
    </w:p>
    <w:p w14:paraId="57C95333" w14:textId="77777777" w:rsidR="00285C62" w:rsidRPr="00285C62" w:rsidRDefault="00285C62" w:rsidP="00285C62">
      <w:pPr>
        <w:pStyle w:val="PARA"/>
        <w:rPr>
          <w:spacing w:val="2"/>
        </w:rPr>
      </w:pPr>
    </w:p>
    <w:p w14:paraId="11306841" w14:textId="44A4DE40" w:rsidR="00364197" w:rsidRPr="00643136" w:rsidRDefault="00285C62" w:rsidP="00285C62">
      <w:pPr>
        <w:pStyle w:val="PARA"/>
        <w:rPr>
          <w:spacing w:val="2"/>
        </w:rPr>
      </w:pPr>
      <w:r w:rsidRPr="00285C62">
        <w:rPr>
          <w:spacing w:val="2"/>
        </w:rPr>
        <w:t xml:space="preserve">Thách thức chính trong việc khai thác các cơ sở dữ liệu không chắc chắn bao gồm việc cân bằng giữa tính chính xác và hiệu suất xử lý, cũng như xây dựng các chiến lược cắt tỉa phù hợp để giảm không gian tìm kiếm. Tuy nhiên, dữ liệu </w:t>
      </w:r>
      <w:r w:rsidR="001C0BF4">
        <w:rPr>
          <w:spacing w:val="2"/>
        </w:rPr>
        <w:t>không chắc chắn</w:t>
      </w:r>
      <w:r w:rsidRPr="00285C62">
        <w:rPr>
          <w:spacing w:val="2"/>
        </w:rPr>
        <w:t xml:space="preserve"> cũng mang lại</w:t>
      </w:r>
      <w:r w:rsidR="001C0BF4">
        <w:rPr>
          <w:spacing w:val="2"/>
        </w:rPr>
        <w:t xml:space="preserve"> nhiều</w:t>
      </w:r>
      <w:r w:rsidRPr="00285C62">
        <w:rPr>
          <w:spacing w:val="2"/>
        </w:rPr>
        <w:t xml:space="preserve"> lợi ích cho phép mô phỏng các tình huống thực tế như giao dịch không hoàn chỉnh hoặc thông tin bị thiếu, từ đó nâng cao tính ứng dụng của kết quả khai thác.</w:t>
      </w:r>
    </w:p>
    <w:p w14:paraId="1C4DE771" w14:textId="1A9B95A5" w:rsidR="00E91452" w:rsidRDefault="00643136" w:rsidP="006F6C87">
      <w:pPr>
        <w:pStyle w:val="H1ListSpace"/>
        <w:spacing w:before="0"/>
      </w:pPr>
      <w:r>
        <w:br w:type="column"/>
      </w:r>
      <w:r w:rsidR="00285C62">
        <w:t>REATED WORK</w:t>
      </w:r>
    </w:p>
    <w:p w14:paraId="4ED4D4EC" w14:textId="284B3182" w:rsidR="00524F99" w:rsidRPr="00F448F1" w:rsidRDefault="00AF6D22" w:rsidP="00AF6D22">
      <w:pPr>
        <w:pStyle w:val="H2First"/>
        <w:numPr>
          <w:ilvl w:val="0"/>
          <w:numId w:val="0"/>
        </w:numPr>
      </w:pPr>
      <w:r>
        <w:t>Base On Apriori</w:t>
      </w:r>
    </w:p>
    <w:p w14:paraId="73B49C0F" w14:textId="77777777" w:rsidR="00E91452" w:rsidRDefault="00E91452" w:rsidP="00E91452">
      <w:pPr>
        <w:pStyle w:val="PARA"/>
      </w:pPr>
      <w:r w:rsidRPr="00E91452">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sidRPr="00E91452">
        <w:rPr>
          <w:rStyle w:val="ITAL"/>
        </w:rPr>
        <w:t>Word</w:t>
      </w:r>
      <w:r w:rsidRPr="00E91452">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14:paraId="447C8988" w14:textId="77777777" w:rsidR="003A5252" w:rsidRPr="00E91452" w:rsidRDefault="003A5252" w:rsidP="00E91452">
      <w:pPr>
        <w:pStyle w:val="PARA"/>
      </w:pPr>
    </w:p>
    <w:p w14:paraId="72D3EC9F" w14:textId="77777777" w:rsidR="00E91452" w:rsidRDefault="00E91452" w:rsidP="00E91452">
      <w:pPr>
        <w:autoSpaceDE w:val="0"/>
        <w:autoSpaceDN w:val="0"/>
        <w:adjustRightInd w:val="0"/>
        <w:jc w:val="center"/>
        <w:rPr>
          <w:rFonts w:ascii="TimesLTStd-Roman" w:hAnsi="TimesLTStd-Roman" w:cs="TimesLTStd-Roman"/>
          <w:sz w:val="20"/>
          <w:szCs w:val="20"/>
        </w:rPr>
        <w:sectPr w:rsidR="00E91452" w:rsidSect="00CB2DB1">
          <w:type w:val="continuous"/>
          <w:pgSz w:w="11520" w:h="15660" w:code="1"/>
          <w:pgMar w:top="1300" w:right="740" w:bottom="1040" w:left="740" w:header="360" w:footer="640" w:gutter="0"/>
          <w:cols w:num="2" w:space="400"/>
          <w:docGrid w:linePitch="360"/>
        </w:sectPr>
      </w:pPr>
    </w:p>
    <w:p w14:paraId="5DF3405E" w14:textId="77777777" w:rsidR="00D828C6" w:rsidRPr="00B5501D" w:rsidRDefault="005C261D" w:rsidP="00FF1579">
      <w:pPr>
        <w:pStyle w:val="H2First"/>
        <w:numPr>
          <w:ilvl w:val="0"/>
          <w:numId w:val="12"/>
        </w:numPr>
      </w:pPr>
      <w:r w:rsidRPr="00B5501D">
        <w:t>ABBREVIATIONS AND ACRONYMS</w:t>
      </w:r>
    </w:p>
    <w:p w14:paraId="57F93CB9" w14:textId="77777777" w:rsidR="00D828C6" w:rsidRPr="001B1B9C" w:rsidRDefault="001B1B9C" w:rsidP="00732067">
      <w:pPr>
        <w:pStyle w:val="PARA"/>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0F9B789A" w14:textId="77777777" w:rsidR="00D828C6" w:rsidRPr="00165F70" w:rsidRDefault="005C261D" w:rsidP="00B81683">
      <w:pPr>
        <w:pStyle w:val="H2Cont"/>
        <w:numPr>
          <w:ilvl w:val="0"/>
          <w:numId w:val="12"/>
        </w:numPr>
      </w:pPr>
      <w:r w:rsidRPr="00165F70">
        <w:t>OTHER RECOMMENDATIONS</w:t>
      </w:r>
    </w:p>
    <w:p w14:paraId="5A6E54EE" w14:textId="77777777" w:rsidR="00D828C6" w:rsidRPr="00973331" w:rsidRDefault="00973331" w:rsidP="00973331">
      <w:pPr>
        <w:pStyle w:val="PARA"/>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55BD1603" w14:textId="77777777" w:rsidR="00973331" w:rsidRDefault="00973331" w:rsidP="00973331">
      <w:pPr>
        <w:pStyle w:val="PARAIndent"/>
      </w:pPr>
      <w:r>
        <w:t xml:space="preserve">Use a zero before decimal points: “0.25,” not “.25.” Use “cm3,” not “cc.” Indicate sample dimensions as “0.1 cm </w:t>
      </w:r>
      <w:r w:rsidR="002B7F19">
        <w:rPr>
          <w:rFonts w:cs="Times New Roman"/>
        </w:rPr>
        <w:t>×</w:t>
      </w:r>
      <w:r>
        <w:rPr>
          <w:rFonts w:cs="Times New Roman"/>
        </w:rPr>
        <w:t xml:space="preserve"> 0.2 cm,” not “0.1 </w:t>
      </w:r>
      <w:r w:rsidR="002B7F19">
        <w:rPr>
          <w:rFonts w:cs="Times New Roman"/>
        </w:rPr>
        <w:t>×</w:t>
      </w:r>
      <w:r>
        <w:rPr>
          <w:rFonts w:cs="Times New Roman"/>
        </w:rPr>
        <w:t xml:space="preserve"> 0.2 cm</w:t>
      </w:r>
      <w:r w:rsidRPr="002B7F19">
        <w:rPr>
          <w:rFonts w:cs="Times New Roman"/>
          <w:vertAlign w:val="superscript"/>
        </w:rPr>
        <w:t>2</w:t>
      </w:r>
      <w:r>
        <w:rPr>
          <w:rFonts w:cs="Times New Roman"/>
        </w:rPr>
        <w:t>.” The abbreviation for “seconds” is “s,” not “sec.” Use “Wb/m</w:t>
      </w:r>
      <w:r w:rsidRPr="002B7F19">
        <w:rPr>
          <w:rFonts w:cs="Times New Roman"/>
          <w:vertAlign w:val="superscript"/>
        </w:rPr>
        <w:t>2</w:t>
      </w:r>
      <w:r>
        <w:rPr>
          <w:rFonts w:cs="Times New Roman"/>
        </w:rPr>
        <w:t>” or “webers per square meter,” not “webers/m2.” Whe</w:t>
      </w:r>
      <w:r>
        <w:t>n expressing a range of values, write “7 to 9” or “7-9,” not “7~9.”</w:t>
      </w:r>
    </w:p>
    <w:p w14:paraId="52024BFA" w14:textId="77777777" w:rsidR="00973331" w:rsidRDefault="00973331" w:rsidP="00973331">
      <w:pPr>
        <w:pStyle w:val="PARAInden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D299C53" w14:textId="77777777" w:rsidR="00D828C6" w:rsidRPr="00732067" w:rsidRDefault="00973331" w:rsidP="00973331">
      <w:pPr>
        <w:pStyle w:val="PARAInden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005EE237" w14:textId="710C21E7" w:rsidR="00486E60" w:rsidRPr="006777B9" w:rsidRDefault="00FB7E1C" w:rsidP="00FB7E1C">
      <w:pPr>
        <w:pStyle w:val="H1ListSpace"/>
      </w:pPr>
      <w:r w:rsidRPr="00FB7E1C">
        <w:t>PRELIMINARIES AND PROBLEM DEFINITION</w:t>
      </w:r>
    </w:p>
    <w:p w14:paraId="53190516" w14:textId="6826ECD5" w:rsidR="00486E60" w:rsidRDefault="002D05AF" w:rsidP="00486E60">
      <w:pPr>
        <w:pStyle w:val="PARA"/>
      </w:pPr>
      <w:r>
        <w:t xml:space="preserve">Trong </w:t>
      </w:r>
      <w:r w:rsidR="00282F2B">
        <w:t>phần</w:t>
      </w:r>
      <w:r w:rsidR="00282F2B" w:rsidRPr="00282F2B">
        <w:t xml:space="preserve"> này</w:t>
      </w:r>
      <w:r w:rsidR="00361DB3">
        <w:t xml:space="preserve"> chúng tôi</w:t>
      </w:r>
      <w:r w:rsidR="00282F2B" w:rsidRPr="00282F2B">
        <w:t xml:space="preserve"> </w:t>
      </w:r>
      <w:r w:rsidR="00167767">
        <w:t>trình bày</w:t>
      </w:r>
      <w:r w:rsidR="00282F2B" w:rsidRPr="00282F2B">
        <w:t xml:space="preserve"> các khái niệm cơ bản, chiến lược cắt tỉa, và cấu trúc được sử</w:t>
      </w:r>
      <w:r w:rsidR="00361DB3">
        <w:t xml:space="preserve"> dụng trong các thuật toán đề xuất</w:t>
      </w:r>
      <w:r w:rsidR="00AF6D22">
        <w:t>.</w:t>
      </w:r>
    </w:p>
    <w:p w14:paraId="14C16589" w14:textId="77777777" w:rsidR="00167767" w:rsidRDefault="00167767" w:rsidP="00486E60">
      <w:pPr>
        <w:pStyle w:val="PARA"/>
      </w:pPr>
    </w:p>
    <w:p w14:paraId="5E7974F5" w14:textId="7DA89FE3" w:rsidR="00361DB3" w:rsidRDefault="00361DB3" w:rsidP="00486E60">
      <w:pPr>
        <w:pStyle w:val="PARA"/>
      </w:pPr>
      <w:r>
        <w:t xml:space="preserve">Cho một tập mục </w:t>
      </w:r>
      <w:r w:rsidR="00AF6D22">
        <w:t xml:space="preserve">chứa </w:t>
      </w:r>
      <w:r>
        <w:t>các item đơn lẻ</w:t>
      </w:r>
      <w:r w:rsidRPr="007215B9">
        <w:t xml:space="preserve">: </w:t>
      </w:r>
      <m:oMath>
        <m:r>
          <m:rPr>
            <m:sty m:val="p"/>
          </m:rPr>
          <w:rPr>
            <w:rFonts w:ascii="Cambria Math" w:hAnsi="Cambria Math"/>
          </w:rPr>
          <m:t>I</m:t>
        </m:r>
      </m:oMath>
      <w:r w:rsidRPr="007215B9">
        <w:t xml:space="preserve"> =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k</m:t>
                </m:r>
              </m:sub>
            </m:sSub>
          </m:e>
        </m:d>
      </m:oMath>
      <w:r w:rsidR="00AF6D22">
        <w:t xml:space="preserve"> ứng với mỗi item sẽ </w:t>
      </w:r>
      <w:r w:rsidR="00BB3E6B">
        <w:t xml:space="preserve">có </w:t>
      </w:r>
      <w:r w:rsidR="00AF6D22">
        <w:t xml:space="preserve">giá trị tiện ích (utility) tương ứng </w:t>
      </w:r>
      <w:r w:rsidR="00774FE2">
        <w:t>u</w:t>
      </w:r>
      <w:r w:rsidR="00AF6D22">
        <w:t>(</w:t>
      </w:r>
      <m:oMath>
        <m:sSub>
          <m:sSubPr>
            <m:ctrlPr>
              <w:rPr>
                <w:rFonts w:ascii="Cambria Math" w:hAnsi="Cambria Math"/>
              </w:rPr>
            </m:ctrlPr>
          </m:sSubPr>
          <m:e>
            <m:r>
              <w:rPr>
                <w:rFonts w:ascii="Cambria Math" w:hAnsi="Cambria Math"/>
              </w:rPr>
              <m:t>i</m:t>
            </m:r>
          </m:e>
          <m:sub>
            <m:r>
              <w:rPr>
                <w:rFonts w:ascii="Cambria Math" w:hAnsi="Cambria Math"/>
              </w:rPr>
              <m:t>j</m:t>
            </m:r>
          </m:sub>
        </m:sSub>
      </m:oMath>
      <w:r w:rsidR="00AF6D22" w:rsidRPr="00AF6D22">
        <w:t>)</w:t>
      </w:r>
      <w:r w:rsidR="00AF6D22">
        <w:t xml:space="preserve"> </w:t>
      </w:r>
      <m:oMath>
        <m:d>
          <m:dPr>
            <m:ctrlPr>
              <w:rPr>
                <w:rFonts w:ascii="Cambria Math" w:hAnsi="Cambria Math"/>
              </w:rPr>
            </m:ctrlPr>
          </m:dPr>
          <m:e>
            <m:r>
              <w:rPr>
                <w:rFonts w:ascii="Cambria Math" w:hAnsi="Cambria Math"/>
              </w:rPr>
              <m:t>1≤j≤k</m:t>
            </m:r>
          </m:e>
        </m:d>
      </m:oMath>
      <w:r w:rsidR="00AF6D22">
        <w:t xml:space="preserve"> </w:t>
      </w:r>
      <w:r w:rsidR="00BB3E6B">
        <w:t xml:space="preserve">và giá trị </w:t>
      </w:r>
      <w:r w:rsidR="00E160AE">
        <w:t>u</w:t>
      </w:r>
      <w:r w:rsidR="00BB3E6B">
        <w:t>(</w:t>
      </w:r>
      <m:oMath>
        <m:sSub>
          <m:sSubPr>
            <m:ctrlPr>
              <w:rPr>
                <w:rFonts w:ascii="Cambria Math" w:hAnsi="Cambria Math"/>
              </w:rPr>
            </m:ctrlPr>
          </m:sSubPr>
          <m:e>
            <m:r>
              <w:rPr>
                <w:rFonts w:ascii="Cambria Math" w:hAnsi="Cambria Math"/>
              </w:rPr>
              <m:t>i</m:t>
            </m:r>
          </m:e>
          <m:sub>
            <m:r>
              <w:rPr>
                <w:rFonts w:ascii="Cambria Math" w:hAnsi="Cambria Math"/>
              </w:rPr>
              <m:t>j</m:t>
            </m:r>
          </m:sub>
        </m:sSub>
      </m:oMath>
      <w:r w:rsidR="00BB3E6B" w:rsidRPr="00AF6D22">
        <w:t>)</w:t>
      </w:r>
      <w:r w:rsidR="00BB3E6B">
        <w:t xml:space="preserve"> hoàn toàn có thể lớn hơn 0 (positive utility) hoặc nhỏ hơn 0 (negative utility)</w:t>
      </w:r>
    </w:p>
    <w:p w14:paraId="48B56E26" w14:textId="1159E50B" w:rsidR="00BB3E6B" w:rsidRDefault="00167767" w:rsidP="00486E60">
      <w:pPr>
        <w:pStyle w:val="PARA"/>
      </w:pPr>
      <w:r>
        <w:t xml:space="preserve">Một giao dịch định lượng không chắc chắn là một tập hợp các item cùng với giá trị xác suất và số lượng tương ứng với nó.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j</m:t>
            </m:r>
          </m:sub>
        </m:sSub>
        <m:r>
          <m:rPr>
            <m:sty m:val="p"/>
          </m:rPr>
          <w:rPr>
            <w:rFonts w:ascii="Cambria Math" w:hAnsi="Cambria Math"/>
          </w:rPr>
          <m:t>=</m:t>
        </m:r>
        <m:d>
          <m:dPr>
            <m:begChr m:val="{"/>
            <m:endChr m:val="}"/>
            <m:ctrlPr>
              <w:rPr>
                <w:rFonts w:ascii="Cambria Math" w:hAnsi="Cambria Math"/>
                <w:iCs/>
              </w:rPr>
            </m:ctrlPr>
          </m:dPr>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p</m:t>
                    </m:r>
                  </m:e>
                  <m:sub>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1</m:t>
                        </m:r>
                      </m:sub>
                    </m:sSub>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q</m:t>
                    </m:r>
                  </m:e>
                  <m:sub>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1</m:t>
                        </m:r>
                      </m:sub>
                    </m:sSub>
                  </m:sub>
                </m:sSub>
              </m:e>
            </m:d>
            <m:r>
              <m:rPr>
                <m:sty m:val="p"/>
              </m:rPr>
              <w:rPr>
                <w:rFonts w:ascii="Cambria Math" w:hAnsi="Cambria Math"/>
              </w:rPr>
              <m:t xml:space="preserve">, </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p</m:t>
                    </m:r>
                  </m:e>
                  <m:sub>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2</m:t>
                        </m:r>
                      </m:sub>
                    </m:sSub>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q</m:t>
                    </m:r>
                  </m:e>
                  <m:sub>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2</m:t>
                        </m:r>
                      </m:sub>
                    </m:sSub>
                  </m:sub>
                </m:sSub>
              </m:e>
            </m:d>
            <m:r>
              <m:rPr>
                <m:sty m:val="p"/>
              </m:rPr>
              <w:rPr>
                <w:rFonts w:ascii="Cambria Math" w:hAnsi="Cambria Math"/>
              </w:rPr>
              <m:t xml:space="preserve">, ... </m:t>
            </m:r>
          </m:e>
        </m:d>
      </m:oMath>
      <w:r>
        <w:t xml:space="preserve"> </w:t>
      </w:r>
    </w:p>
    <w:p w14:paraId="54FC4F00" w14:textId="04D82E1E" w:rsidR="00361DB3" w:rsidRDefault="00D5026D" w:rsidP="00486E60">
      <w:pPr>
        <w:pStyle w:val="PARA"/>
      </w:pPr>
      <w:r>
        <w:t xml:space="preserve">Và một tập hợp các giao dịch định lượng không chắc chắc </w:t>
      </w:r>
      <m:oMath>
        <m:d>
          <m:dPr>
            <m:begChr m:val="{"/>
            <m:endChr m:val="}"/>
            <m:ctrlPr>
              <w:rPr>
                <w:rFonts w:ascii="Cambria Math" w:hAnsi="Cambria Math"/>
                <w:iCs/>
              </w:rPr>
            </m:ctrlPr>
          </m:dPr>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d>
                  <m:dPr>
                    <m:begChr m:val="|"/>
                    <m:endChr m:val="|"/>
                    <m:ctrlPr>
                      <w:rPr>
                        <w:rFonts w:ascii="Cambria Math" w:hAnsi="Cambria Math"/>
                        <w:iCs/>
                      </w:rPr>
                    </m:ctrlPr>
                  </m:dPr>
                  <m:e>
                    <m:r>
                      <m:rPr>
                        <m:sty m:val="p"/>
                      </m:rPr>
                      <w:rPr>
                        <w:rFonts w:ascii="Cambria Math" w:hAnsi="Cambria Math"/>
                      </w:rPr>
                      <m:t>D</m:t>
                    </m:r>
                  </m:e>
                </m:d>
              </m:sub>
            </m:sSub>
          </m:e>
        </m:d>
      </m:oMath>
      <w:r w:rsidR="00822C17">
        <w:t xml:space="preserve"> </w:t>
      </w:r>
      <w:r>
        <w:t>gọi là một cơ sở dữ liệu định lượng không chắc chắn</w:t>
      </w:r>
      <w:r w:rsidR="00822C17">
        <w:t xml:space="preserve"> (với |D| là kích thước của cơ sở dữ liệu)</w:t>
      </w:r>
      <w:r>
        <w:t xml:space="preserve">, và nếu như có ít nhất một item </w:t>
      </w:r>
      <m:oMath>
        <m:r>
          <w:rPr>
            <w:rFonts w:ascii="Cambria Math" w:hAnsi="Cambria Math"/>
          </w:rPr>
          <m:t>i∈I</m:t>
        </m:r>
      </m:oMath>
      <w:r>
        <w:t xml:space="preserve"> có giá trị tiện ích âm</w:t>
      </w:r>
      <w:r w:rsidR="00822C17">
        <w:t>, thì ta gọi là cơ sở dữ liệu định lượng không chắc chắn với tiện ích dương và âm, được kí hiệu là N-Database</w:t>
      </w:r>
      <w:r w:rsidR="005D33EB">
        <w:t>.</w:t>
      </w:r>
    </w:p>
    <w:p w14:paraId="01E5042D" w14:textId="2EAE4E2D" w:rsidR="00CF1C08" w:rsidRDefault="00B066FF" w:rsidP="00FF1579">
      <w:pPr>
        <w:pStyle w:val="H2First"/>
        <w:numPr>
          <w:ilvl w:val="0"/>
          <w:numId w:val="14"/>
        </w:numPr>
      </w:pPr>
      <w:r>
        <w:t>Periodic pattern</w:t>
      </w:r>
    </w:p>
    <w:p w14:paraId="4514E6F5" w14:textId="1793E198" w:rsidR="00AA1386" w:rsidRDefault="005242BD" w:rsidP="007A78C1">
      <w:pPr>
        <w:pStyle w:val="PARA"/>
      </w:pPr>
      <w:r w:rsidRPr="005242BD">
        <w:rPr>
          <w:b/>
          <w:bCs/>
        </w:rPr>
        <w:t>Định nghĩa 1</w:t>
      </w:r>
      <w:r>
        <w:t xml:space="preserve"> </w:t>
      </w:r>
      <w:r w:rsidRPr="005242BD">
        <w:rPr>
          <w:b/>
          <w:bCs/>
        </w:rPr>
        <w:t>(</w:t>
      </w:r>
      <w:r w:rsidR="00FB6AFF">
        <w:rPr>
          <w:b/>
          <w:bCs/>
        </w:rPr>
        <w:t>P</w:t>
      </w:r>
      <w:r w:rsidRPr="005242BD">
        <w:rPr>
          <w:b/>
          <w:bCs/>
        </w:rPr>
        <w:t>eriods):</w:t>
      </w:r>
      <w:r>
        <w:t xml:space="preserve"> Cho một itemset X, ta có thể tìm được một danh sách các giao dịch chứa X, được kí hiệu</w:t>
      </w:r>
      <w:r w:rsidR="0013181F">
        <w:t>:</w:t>
      </w:r>
      <w:r>
        <w:t xml:space="preserve"> </w:t>
      </w:r>
    </w:p>
    <w:p w14:paraId="443DED95" w14:textId="0A626C1C" w:rsidR="005242BD" w:rsidRPr="00D75529" w:rsidRDefault="005242BD" w:rsidP="007A78C1">
      <w:pPr>
        <w:pStyle w:val="PARA"/>
        <w:rPr>
          <w:rFonts w:ascii="Cambria Math" w:hAnsi="Cambria Math"/>
        </w:rPr>
      </w:pPr>
      <w:r w:rsidRPr="00D75529">
        <w:t xml:space="preserve">T(X) = </w:t>
      </w:r>
      <m:oMath>
        <m:d>
          <m:dPr>
            <m:begChr m:val="{"/>
            <m:endChr m:val="}"/>
            <m:ctrlPr>
              <w:rPr>
                <w:rFonts w:ascii="Cambria Math" w:hAnsi="Cambria Math"/>
              </w:rPr>
            </m:ctrlPr>
          </m:dPr>
          <m:e>
            <m:r>
              <m:rPr>
                <m:sty m:val="p"/>
              </m:rPr>
              <w:rPr>
                <w:rFonts w:ascii="Cambria Math" w:hAnsi="Cambria Math"/>
              </w:rPr>
              <m:t>tid | X∈</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tid</m:t>
                </m:r>
              </m:sub>
            </m:sSub>
          </m:e>
        </m:d>
      </m:oMath>
      <w:r w:rsidRPr="00D75529">
        <w:t xml:space="preserve"> =</w:t>
      </w:r>
      <w:r w:rsidRPr="00D75529">
        <w:rPr>
          <w:rFonts w:ascii="Cambria Math" w:hAnsi="Cambria Math"/>
        </w:rPr>
        <w:t xml:space="preserve"> </w:t>
      </w:r>
      <m:oMath>
        <m:d>
          <m:dPr>
            <m:begChr m:val="{"/>
            <m:endChr m:val="}"/>
            <m:ctrlPr>
              <w:rPr>
                <w:rFonts w:ascii="Cambria Math" w:hAnsi="Cambria Math"/>
              </w:rPr>
            </m:ctrlPr>
          </m:dPr>
          <m:e>
            <m:r>
              <m:rPr>
                <m:sty m:val="p"/>
              </m:rPr>
              <w:rPr>
                <w:rFonts w:ascii="Cambria Math" w:hAnsi="Cambria Math"/>
              </w:rPr>
              <m:t>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 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 ... 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m</m:t>
                </m:r>
              </m:sub>
            </m:sSub>
          </m:e>
        </m:d>
      </m:oMath>
      <w:r w:rsidR="00F36554" w:rsidRPr="00D75529">
        <w:rPr>
          <w:rFonts w:ascii="Cambria Math" w:hAnsi="Cambria Math"/>
        </w:rPr>
        <w:t>;</w:t>
      </w:r>
    </w:p>
    <w:p w14:paraId="62F8D9A8" w14:textId="197AC87B" w:rsidR="005242BD" w:rsidRPr="00D75529" w:rsidRDefault="005242BD" w:rsidP="007A78C1">
      <w:pPr>
        <w:pStyle w:val="PARA"/>
      </w:pPr>
      <w:r w:rsidRPr="00D75529">
        <w:t>P</w:t>
      </w:r>
      <w:r w:rsidR="00F03125" w:rsidRPr="00D75529">
        <w:t>S</w:t>
      </w:r>
      <w:r w:rsidRPr="00D75529">
        <w:t xml:space="preserve">(X) = </w:t>
      </w:r>
      <m:oMath>
        <m:r>
          <m:rPr>
            <m:sty m:val="p"/>
          </m:rPr>
          <w:rPr>
            <w:rFonts w:ascii="Cambria Math" w:hAnsi="Cambria Math"/>
          </w:rPr>
          <m:t>{ti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i+1</m:t>
            </m:r>
          </m:sub>
        </m:sSub>
        <m:r>
          <m:rPr>
            <m:sty m:val="p"/>
          </m:rPr>
          <w:rPr>
            <w:rFonts w:ascii="Cambria Math" w:hAnsi="Cambria Math"/>
          </w:rPr>
          <m:t>-ti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 xml:space="preserve">i </m:t>
            </m:r>
          </m:sub>
        </m:sSub>
        <m:r>
          <m:rPr>
            <m:sty m:val="p"/>
          </m:rPr>
          <w:rPr>
            <w:rFonts w:ascii="Cambria Math" w:hAnsi="Cambria Math"/>
          </w:rPr>
          <m:t>| i = 0, 1, ..., m}</m:t>
        </m:r>
      </m:oMath>
      <w:r w:rsidR="004237CD" w:rsidRPr="00D75529">
        <w:t xml:space="preserve"> </w:t>
      </w:r>
      <w:r w:rsidR="00F36554" w:rsidRPr="00D75529">
        <w:t>;</w:t>
      </w:r>
    </w:p>
    <w:p w14:paraId="7EEFBAAA" w14:textId="3DDC6212" w:rsidR="004237CD" w:rsidRDefault="004237CD" w:rsidP="007A78C1">
      <w:pPr>
        <w:pStyle w:val="PARA"/>
      </w:pPr>
      <w:r>
        <w:t>Và các giá trị min periodic, max periodic, average periodic của itemset X lần lượt là:</w:t>
      </w:r>
    </w:p>
    <w:p w14:paraId="4BEF2DC3" w14:textId="28845799" w:rsidR="007A78C1" w:rsidRDefault="004237CD" w:rsidP="00657834">
      <w:pPr>
        <w:pStyle w:val="PARA"/>
        <w:numPr>
          <w:ilvl w:val="0"/>
          <w:numId w:val="43"/>
        </w:numPr>
      </w:pPr>
      <w:r>
        <w:t>minPer(X) = min{P</w:t>
      </w:r>
      <w:r w:rsidR="00F03125">
        <w:t>S</w:t>
      </w:r>
      <w:r>
        <w:t>(X)}</w:t>
      </w:r>
      <w:r w:rsidR="00643952">
        <w:t xml:space="preserve"> </w:t>
      </w:r>
    </w:p>
    <w:p w14:paraId="7EFEF9CB" w14:textId="782146D8" w:rsidR="007A78C1" w:rsidRDefault="004237CD" w:rsidP="00657834">
      <w:pPr>
        <w:pStyle w:val="PARA"/>
        <w:numPr>
          <w:ilvl w:val="0"/>
          <w:numId w:val="43"/>
        </w:numPr>
      </w:pPr>
      <w:r>
        <w:t>maxPer(X) = max{P</w:t>
      </w:r>
      <w:r w:rsidR="00F03125">
        <w:t>S</w:t>
      </w:r>
      <w:r>
        <w:t>(X)}</w:t>
      </w:r>
      <w:r w:rsidR="00643952">
        <w:t xml:space="preserve"> </w:t>
      </w:r>
    </w:p>
    <w:p w14:paraId="1872EF14" w14:textId="3198E9B2" w:rsidR="004237CD" w:rsidRDefault="00274583" w:rsidP="00657834">
      <w:pPr>
        <w:pStyle w:val="PARA"/>
        <w:numPr>
          <w:ilvl w:val="0"/>
          <w:numId w:val="43"/>
        </w:numPr>
      </w:pPr>
      <w:r>
        <w:t>a</w:t>
      </w:r>
      <w:r w:rsidR="004237CD">
        <w:t xml:space="preserve">vgPer(X) = |D| </w:t>
      </w:r>
      <w:r w:rsidR="004237CD" w:rsidRPr="001816EA">
        <w:rPr>
          <w:b/>
          <w:bCs/>
        </w:rPr>
        <w:t>/</w:t>
      </w:r>
      <w:r w:rsidR="004237CD">
        <w:t xml:space="preserve"> |P</w:t>
      </w:r>
      <w:r w:rsidR="00F03125">
        <w:t>S</w:t>
      </w:r>
      <w:r w:rsidR="004237CD">
        <w:t>(X)|</w:t>
      </w:r>
      <w:r w:rsidR="001816EA">
        <w:t xml:space="preserve"> </w:t>
      </w:r>
    </w:p>
    <w:p w14:paraId="4CA2ADEB" w14:textId="77777777" w:rsidR="0069410F" w:rsidRDefault="0069410F" w:rsidP="005242BD">
      <w:pPr>
        <w:pStyle w:val="PARA"/>
        <w:ind w:left="180"/>
      </w:pPr>
    </w:p>
    <w:p w14:paraId="1C6917CF" w14:textId="702E824D" w:rsidR="00FB6AFF" w:rsidRDefault="0069410F" w:rsidP="007A78C1">
      <w:pPr>
        <w:pStyle w:val="PARA"/>
      </w:pPr>
      <w:r w:rsidRPr="0069410F">
        <w:rPr>
          <w:b/>
          <w:bCs/>
        </w:rPr>
        <w:t>Định nghĩa 2 (</w:t>
      </w:r>
      <w:r w:rsidR="00FB6AFF">
        <w:rPr>
          <w:b/>
          <w:bCs/>
        </w:rPr>
        <w:t>P</w:t>
      </w:r>
      <w:r w:rsidRPr="0069410F">
        <w:rPr>
          <w:b/>
          <w:bCs/>
        </w:rPr>
        <w:t xml:space="preserve">eriodic </w:t>
      </w:r>
      <w:r w:rsidR="00FB6AFF">
        <w:rPr>
          <w:b/>
          <w:bCs/>
        </w:rPr>
        <w:t>P</w:t>
      </w:r>
      <w:r w:rsidRPr="0069410F">
        <w:rPr>
          <w:b/>
          <w:bCs/>
        </w:rPr>
        <w:t>attern):</w:t>
      </w:r>
      <w:r w:rsidR="00FB6AFF">
        <w:rPr>
          <w:b/>
          <w:bCs/>
        </w:rPr>
        <w:t xml:space="preserve"> </w:t>
      </w:r>
      <w:r w:rsidR="00FB6AFF">
        <w:t>Cho các giá trị minPer, maxPer, minAvg, maxAvg, là các ngưỡng</w:t>
      </w:r>
      <w:r w:rsidR="00274583">
        <w:t xml:space="preserve"> giá trị</w:t>
      </w:r>
      <w:r w:rsidR="00FB6AFF">
        <w:t xml:space="preserve"> do người dùng định nghĩa. Với một itemset X, nếu các điều kiện sau được thoả mãn: </w:t>
      </w:r>
    </w:p>
    <w:p w14:paraId="188212C1" w14:textId="3B2D4B4B" w:rsidR="0098154F" w:rsidRDefault="00FB6AFF" w:rsidP="007C5BB1">
      <w:pPr>
        <w:pStyle w:val="PARA"/>
      </w:pPr>
      <w:r w:rsidRPr="00274583">
        <w:lastRenderedPageBreak/>
        <w:t>minPer(X)</w:t>
      </w:r>
      <w:r w:rsidR="003A63E5" w:rsidRPr="00274583">
        <w:t xml:space="preserve"> </w:t>
      </w:r>
      <m:oMath>
        <m:r>
          <w:rPr>
            <w:rFonts w:ascii="Cambria Math" w:hAnsi="Cambria Math"/>
          </w:rPr>
          <m:t>≥</m:t>
        </m:r>
      </m:oMath>
      <w:r w:rsidRPr="00274583">
        <w:t xml:space="preserve"> minPer</w:t>
      </w:r>
      <w:r w:rsidR="007C5BB1">
        <w:t xml:space="preserve">; </w:t>
      </w:r>
      <w:r w:rsidRPr="00274583">
        <w:t>maxPer(X)</w:t>
      </w:r>
      <w:r w:rsidR="003A63E5" w:rsidRPr="00274583">
        <w:t xml:space="preserve"> </w:t>
      </w:r>
      <m:oMath>
        <m:r>
          <w:rPr>
            <w:rFonts w:ascii="Cambria Math" w:hAnsi="Cambria Math"/>
          </w:rPr>
          <m:t>≤</m:t>
        </m:r>
      </m:oMath>
      <w:r w:rsidRPr="00274583">
        <w:t xml:space="preserve"> maxPer</w:t>
      </w:r>
      <w:r w:rsidR="007C5BB1">
        <w:t xml:space="preserve">; </w:t>
      </w:r>
      <w:r w:rsidRPr="00274583">
        <w:t>minAvg</w:t>
      </w:r>
      <w:r>
        <w:t xml:space="preserve"> </w:t>
      </w:r>
      <m:oMath>
        <m:r>
          <w:rPr>
            <w:rFonts w:ascii="Cambria Math" w:hAnsi="Cambria Math"/>
          </w:rPr>
          <m:t>≤</m:t>
        </m:r>
      </m:oMath>
      <w:r w:rsidR="003A63E5">
        <w:t xml:space="preserve"> </w:t>
      </w:r>
      <w:r>
        <w:t>avgPer(X)</w:t>
      </w:r>
      <w:r w:rsidR="003A63E5">
        <w:t xml:space="preserve"> </w:t>
      </w:r>
      <m:oMath>
        <m:r>
          <w:rPr>
            <w:rFonts w:ascii="Cambria Math" w:hAnsi="Cambria Math"/>
          </w:rPr>
          <m:t>≤</m:t>
        </m:r>
      </m:oMath>
      <w:r>
        <w:t xml:space="preserve"> maxAvg</w:t>
      </w:r>
      <w:r w:rsidR="007C5BB1">
        <w:t xml:space="preserve">. </w:t>
      </w:r>
      <w:r w:rsidR="00274583">
        <w:t xml:space="preserve">Thì </w:t>
      </w:r>
      <w:r w:rsidR="00E836A2">
        <w:t>tập mục</w:t>
      </w:r>
      <w:r w:rsidR="00274583">
        <w:t xml:space="preserve"> X là</w:t>
      </w:r>
      <w:r w:rsidR="0098154F">
        <w:t xml:space="preserve"> được xem là</w:t>
      </w:r>
      <w:r w:rsidR="00274583">
        <w:t xml:space="preserve"> một</w:t>
      </w:r>
      <w:r w:rsidR="0098154F">
        <w:t xml:space="preserve"> mẫu tuần hoàn (</w:t>
      </w:r>
      <w:r w:rsidR="007C5BB1">
        <w:t>P</w:t>
      </w:r>
      <w:r w:rsidR="00274583">
        <w:t xml:space="preserve">eriodic </w:t>
      </w:r>
      <w:r w:rsidR="007C5BB1">
        <w:t>P</w:t>
      </w:r>
      <w:r w:rsidR="00274583">
        <w:t>attern</w:t>
      </w:r>
      <w:r w:rsidR="0098154F">
        <w:t>)</w:t>
      </w:r>
    </w:p>
    <w:p w14:paraId="33E89AB6" w14:textId="77777777" w:rsidR="00503B7B" w:rsidRDefault="00503B7B" w:rsidP="007C5BB1">
      <w:pPr>
        <w:pStyle w:val="PARA"/>
      </w:pPr>
    </w:p>
    <w:p w14:paraId="4CCB1DE9" w14:textId="77777777" w:rsidR="0098154F" w:rsidRDefault="0098154F" w:rsidP="007C5BB1">
      <w:pPr>
        <w:pStyle w:val="PARA"/>
      </w:pPr>
      <w:r>
        <w:t>Ví dụ:</w:t>
      </w:r>
    </w:p>
    <w:p w14:paraId="747D2AD6" w14:textId="77777777" w:rsidR="0098154F" w:rsidRDefault="0098154F" w:rsidP="007C5BB1">
      <w:pPr>
        <w:pStyle w:val="PARA"/>
      </w:pPr>
    </w:p>
    <w:p w14:paraId="5BF31E43" w14:textId="6DFF2199" w:rsidR="0098154F" w:rsidRDefault="0098154F" w:rsidP="007C5BB1">
      <w:pPr>
        <w:pStyle w:val="PARA"/>
      </w:pPr>
      <w:r w:rsidRPr="0098154F">
        <w:rPr>
          <w:b/>
          <w:bCs/>
        </w:rPr>
        <w:t>Chiến lược</w:t>
      </w:r>
      <w:r w:rsidR="00262CF9">
        <w:rPr>
          <w:b/>
          <w:bCs/>
        </w:rPr>
        <w:t xml:space="preserve"> </w:t>
      </w:r>
      <w:r w:rsidRPr="0098154F">
        <w:rPr>
          <w:b/>
          <w:bCs/>
        </w:rPr>
        <w:t>1</w:t>
      </w:r>
      <w:r>
        <w:t xml:space="preserve"> (maxPer pruning): Cho itemset X, nếu như maxPer(X) </w:t>
      </w:r>
      <m:oMath>
        <m:r>
          <w:rPr>
            <w:rFonts w:ascii="Cambria Math" w:hAnsi="Cambria Math"/>
          </w:rPr>
          <m:t>&gt;</m:t>
        </m:r>
      </m:oMath>
      <w:r>
        <w:t xml:space="preserve"> maxPer, thì itemset X và</w:t>
      </w:r>
      <w:r w:rsidR="005142CA">
        <w:t xml:space="preserve"> các phần</w:t>
      </w:r>
      <w:r>
        <w:t xml:space="preserve"> </w:t>
      </w:r>
      <w:r w:rsidR="00D517B2">
        <w:t>mở rộng của nó</w:t>
      </w:r>
      <w:r>
        <w:t xml:space="preserve"> đều không phải là một mẫu tuần hoàn (periodic pattern).</w:t>
      </w:r>
    </w:p>
    <w:p w14:paraId="3310ECA7" w14:textId="77777777" w:rsidR="0098154F" w:rsidRDefault="0098154F" w:rsidP="007C5BB1">
      <w:pPr>
        <w:pStyle w:val="PARA"/>
      </w:pPr>
    </w:p>
    <w:p w14:paraId="79D3AF02" w14:textId="1DABCD3F" w:rsidR="0098154F" w:rsidRDefault="0098154F" w:rsidP="0098154F">
      <w:pPr>
        <w:pStyle w:val="PARA"/>
      </w:pPr>
      <w:r w:rsidRPr="0098154F">
        <w:rPr>
          <w:b/>
          <w:bCs/>
        </w:rPr>
        <w:t xml:space="preserve">Chiến lược </w:t>
      </w:r>
      <w:r>
        <w:rPr>
          <w:b/>
          <w:bCs/>
        </w:rPr>
        <w:t>2</w:t>
      </w:r>
      <w:r>
        <w:t xml:space="preserve"> (avgPer pruning): Cho itemset X, nếu như avgPer(X) </w:t>
      </w:r>
      <m:oMath>
        <m:r>
          <w:rPr>
            <w:rFonts w:ascii="Cambria Math" w:hAnsi="Cambria Math"/>
          </w:rPr>
          <m:t>&gt;</m:t>
        </m:r>
      </m:oMath>
      <w:r>
        <w:t xml:space="preserve"> avgPer, thì itemset X </w:t>
      </w:r>
      <w:r w:rsidR="005142CA">
        <w:t>và các phần mở rộng của nó</w:t>
      </w:r>
      <w:r w:rsidR="005142CA">
        <w:t xml:space="preserve"> </w:t>
      </w:r>
      <w:r>
        <w:t>đều không phải là một mẫu tuần hoàn (periodic pattern).</w:t>
      </w:r>
    </w:p>
    <w:p w14:paraId="62A953CE" w14:textId="0C1B9119" w:rsidR="00B066FF" w:rsidRDefault="00B066FF" w:rsidP="00FF1579">
      <w:pPr>
        <w:pStyle w:val="H2First"/>
        <w:numPr>
          <w:ilvl w:val="0"/>
          <w:numId w:val="14"/>
        </w:numPr>
      </w:pPr>
      <w:r>
        <w:t>High-utility pattern</w:t>
      </w:r>
    </w:p>
    <w:p w14:paraId="076DD0FD" w14:textId="77777777" w:rsidR="0085434E" w:rsidRDefault="0085434E" w:rsidP="0085434E">
      <w:pPr>
        <w:pStyle w:val="PARA"/>
        <w:rPr>
          <w:b/>
          <w:bCs/>
        </w:rPr>
      </w:pPr>
    </w:p>
    <w:p w14:paraId="5D4E715B" w14:textId="7E8C36CD" w:rsidR="00EA6DD5" w:rsidRDefault="00F02D02" w:rsidP="0085434E">
      <w:pPr>
        <w:pStyle w:val="PARA"/>
      </w:pPr>
      <w:r>
        <w:rPr>
          <w:b/>
          <w:bCs/>
        </w:rPr>
        <w:t>Định nghĩa 3</w:t>
      </w:r>
      <w:r w:rsidR="0085434E">
        <w:t xml:space="preserve"> (</w:t>
      </w:r>
      <w:r>
        <w:t>Utility of itemset</w:t>
      </w:r>
      <w:r w:rsidR="0085434E">
        <w:t xml:space="preserve">): </w:t>
      </w:r>
      <w:r w:rsidR="00620393">
        <w:t xml:space="preserve">Cho một cơ sở dữ liệu định lượng không chắc chắn </w:t>
      </w:r>
      <w:r w:rsidR="00CB701C">
        <w:t>D</w:t>
      </w:r>
      <w:r w:rsidR="00620393">
        <w:t>,</w:t>
      </w:r>
      <w:r w:rsidR="008B2DF1">
        <w:t xml:space="preserve"> </w:t>
      </w:r>
      <w:r w:rsidR="00492EFA">
        <w:t xml:space="preserve">một </w:t>
      </w:r>
      <w:r w:rsidR="0018775F">
        <w:t>itemset X</w:t>
      </w:r>
      <w:r w:rsidR="008B2DF1">
        <w:t xml:space="preserve"> </w:t>
      </w:r>
      <w:r w:rsidR="0018775F">
        <w:t xml:space="preserve">và một giao dịch không chắc chắn T, nếu như X </w:t>
      </w:r>
      <m:oMath>
        <m:r>
          <w:rPr>
            <w:rFonts w:ascii="Cambria Math" w:hAnsi="Cambria Math"/>
          </w:rPr>
          <m:t>∈</m:t>
        </m:r>
      </m:oMath>
      <w:r w:rsidR="0018775F">
        <w:t xml:space="preserve"> T, giá trị tiện ích của X trong</w:t>
      </w:r>
      <w:r w:rsidR="00EA6DD5">
        <w:t xml:space="preserve"> giao dịch</w:t>
      </w:r>
      <w:r w:rsidR="0018775F">
        <w:t xml:space="preserve"> T được tính bởi công thức: </w:t>
      </w:r>
    </w:p>
    <w:p w14:paraId="0ADAAB86" w14:textId="69FB007B" w:rsidR="00492EFA" w:rsidRDefault="0018775F" w:rsidP="0085434E">
      <w:pPr>
        <w:pStyle w:val="PARA"/>
      </w:pPr>
      <w:r>
        <w:t xml:space="preserve">U(X, T) </w:t>
      </w:r>
      <w:r w:rsidR="00492EFA">
        <w:t xml:space="preserve">= </w:t>
      </w:r>
      <m:oMath>
        <m:nary>
          <m:naryPr>
            <m:chr m:val="∑"/>
            <m:limLoc m:val="subSup"/>
            <m:supHide m:val="1"/>
            <m:ctrlPr>
              <w:rPr>
                <w:rFonts w:ascii="Cambria Math" w:hAnsi="Cambria Math"/>
                <w:i/>
              </w:rPr>
            </m:ctrlPr>
          </m:naryPr>
          <m:sub>
            <m:r>
              <w:rPr>
                <w:rFonts w:ascii="Cambria Math" w:hAnsi="Cambria Math"/>
              </w:rPr>
              <m:t>i ⊆X</m:t>
            </m:r>
          </m:sub>
          <m:sup/>
          <m:e>
            <m:r>
              <w:rPr>
                <w:rFonts w:ascii="Cambria Math" w:hAnsi="Cambria Math"/>
              </w:rPr>
              <m:t>u</m:t>
            </m:r>
            <m:d>
              <m:dPr>
                <m:ctrlPr>
                  <w:rPr>
                    <w:rFonts w:ascii="Cambria Math" w:hAnsi="Cambria Math"/>
                    <w:i/>
                  </w:rPr>
                </m:ctrlPr>
              </m:dPr>
              <m:e>
                <m:r>
                  <m:rPr>
                    <m:sty m:val="p"/>
                  </m:rPr>
                  <w:rPr>
                    <w:rFonts w:ascii="Cambria Math" w:hAnsi="Cambria Math"/>
                  </w:rPr>
                  <m:t>i</m:t>
                </m:r>
              </m:e>
            </m:d>
            <m:r>
              <w:rPr>
                <w:rFonts w:ascii="Cambria Math" w:hAnsi="Cambria Math"/>
              </w:rPr>
              <m:t xml:space="preserve">* </m:t>
            </m:r>
          </m:e>
        </m:nary>
        <m:sSub>
          <m:sSubPr>
            <m:ctrlPr>
              <w:rPr>
                <w:rFonts w:ascii="Cambria Math" w:hAnsi="Cambria Math"/>
              </w:rPr>
            </m:ctrlPr>
          </m:sSubPr>
          <m:e>
            <m:r>
              <w:rPr>
                <w:rFonts w:ascii="Cambria Math" w:hAnsi="Cambria Math"/>
              </w:rPr>
              <m:t>q</m:t>
            </m:r>
          </m:e>
          <m:sub>
            <m:r>
              <w:rPr>
                <w:rFonts w:ascii="Cambria Math" w:hAnsi="Cambria Math"/>
              </w:rPr>
              <m:t>i</m:t>
            </m:r>
          </m:sub>
        </m:sSub>
      </m:oMath>
      <w:r w:rsidR="00492EFA">
        <w:t xml:space="preserve"> </w:t>
      </w:r>
    </w:p>
    <w:p w14:paraId="61B7DA7F" w14:textId="77777777" w:rsidR="00EA6DD5" w:rsidRDefault="00492EFA" w:rsidP="0085434E">
      <w:pPr>
        <w:pStyle w:val="PARA"/>
      </w:pPr>
      <w:r>
        <w:t xml:space="preserve">Và giá trị tiện ích của X trong cơ sở dữ liệu sẽ được tính bởi công thức: </w:t>
      </w:r>
    </w:p>
    <w:p w14:paraId="08D6FB55" w14:textId="59CF9536" w:rsidR="0085434E" w:rsidRDefault="00492EFA" w:rsidP="0085434E">
      <w:pPr>
        <w:pStyle w:val="PARA"/>
      </w:pPr>
      <w:r>
        <w:t xml:space="preserve">U(X) = </w:t>
      </w:r>
      <m:oMath>
        <m:nary>
          <m:naryPr>
            <m:chr m:val="∑"/>
            <m:limLoc m:val="subSup"/>
            <m:supHide m:val="1"/>
            <m:ctrlPr>
              <w:rPr>
                <w:rFonts w:ascii="Cambria Math" w:hAnsi="Cambria Math"/>
                <w:i/>
              </w:rPr>
            </m:ctrlPr>
          </m:naryPr>
          <m:sub>
            <m:r>
              <w:rPr>
                <w:rFonts w:ascii="Cambria Math" w:hAnsi="Cambria Math"/>
              </w:rPr>
              <m:t xml:space="preserve">X ⊆ </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 xml:space="preserve"> T</m:t>
                </m:r>
              </m:e>
              <m:sub>
                <m:r>
                  <w:rPr>
                    <w:rFonts w:ascii="Cambria Math" w:hAnsi="Cambria Math"/>
                  </w:rPr>
                  <m:t>j</m:t>
                </m:r>
              </m:sub>
            </m:sSub>
            <m:r>
              <w:rPr>
                <w:rFonts w:ascii="Cambria Math" w:hAnsi="Cambria Math"/>
              </w:rPr>
              <m:t xml:space="preserve"> ⊆ D </m:t>
            </m:r>
          </m:sub>
          <m:sup/>
          <m:e>
            <m:r>
              <w:rPr>
                <w:rFonts w:ascii="Cambria Math" w:hAnsi="Cambria Math"/>
              </w:rPr>
              <m:t xml:space="preserve">U(X, </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 xml:space="preserve">) </m:t>
            </m:r>
          </m:e>
        </m:nary>
      </m:oMath>
    </w:p>
    <w:p w14:paraId="7EE81113" w14:textId="101CFEFA" w:rsidR="00492EFA" w:rsidRDefault="00492EFA" w:rsidP="0085434E">
      <w:pPr>
        <w:pStyle w:val="PARA"/>
      </w:pPr>
    </w:p>
    <w:p w14:paraId="009BA0EB" w14:textId="697AA6A5" w:rsidR="00E160AE" w:rsidRDefault="00E160AE" w:rsidP="0085434E">
      <w:pPr>
        <w:pStyle w:val="PARA"/>
      </w:pPr>
      <w:r>
        <w:t>Ví dụ:</w:t>
      </w:r>
    </w:p>
    <w:p w14:paraId="735B7FFD" w14:textId="77777777" w:rsidR="00820175" w:rsidRDefault="00820175" w:rsidP="0085434E">
      <w:pPr>
        <w:pStyle w:val="PARA"/>
      </w:pPr>
    </w:p>
    <w:p w14:paraId="2D4984F5" w14:textId="641F5147" w:rsidR="005D33EB" w:rsidRDefault="00E160AE" w:rsidP="00E160AE">
      <w:pPr>
        <w:pStyle w:val="PARA"/>
      </w:pPr>
      <w:r>
        <w:rPr>
          <w:b/>
          <w:bCs/>
        </w:rPr>
        <w:t>Định nghĩa 4</w:t>
      </w:r>
      <w:r>
        <w:t xml:space="preserve"> (Positive Utility of itemset): Cho một cơ sở dữ liệu định lượng không chắc chắn </w:t>
      </w:r>
      <w:r w:rsidR="00CB701C">
        <w:t>D</w:t>
      </w:r>
      <w:r>
        <w:t xml:space="preserve">, và một itemset và một giao dịch không chắc chắn T, nếu như X </w:t>
      </w:r>
      <m:oMath>
        <m:r>
          <w:rPr>
            <w:rFonts w:ascii="Cambria Math" w:hAnsi="Cambria Math"/>
          </w:rPr>
          <m:t>∈</m:t>
        </m:r>
      </m:oMath>
      <w:r>
        <w:t xml:space="preserve"> T, giá trị tiện ích</w:t>
      </w:r>
      <w:r w:rsidR="006406DB">
        <w:t xml:space="preserve"> dương (positive utility)</w:t>
      </w:r>
      <w:r>
        <w:t xml:space="preserve"> của X trong</w:t>
      </w:r>
      <w:r w:rsidR="00EA6DD5">
        <w:t xml:space="preserve"> giao dịch</w:t>
      </w:r>
      <w:r>
        <w:t xml:space="preserve"> T được tính bởi công thức: </w:t>
      </w:r>
    </w:p>
    <w:p w14:paraId="6D64B67D" w14:textId="08E67571" w:rsidR="00E160AE" w:rsidRDefault="00E160AE" w:rsidP="00BA6415">
      <w:pPr>
        <w:pStyle w:val="PARA"/>
        <w:numPr>
          <w:ilvl w:val="0"/>
          <w:numId w:val="43"/>
        </w:numPr>
      </w:pPr>
      <w:r>
        <w:t xml:space="preserve">PU(X, T) = </w:t>
      </w:r>
      <m:oMath>
        <m:nary>
          <m:naryPr>
            <m:chr m:val="∑"/>
            <m:limLoc m:val="subSup"/>
            <m:supHide m:val="1"/>
            <m:ctrlPr>
              <w:rPr>
                <w:rFonts w:ascii="Cambria Math" w:hAnsi="Cambria Math"/>
                <w:i/>
              </w:rPr>
            </m:ctrlPr>
          </m:naryPr>
          <m:sub>
            <m:r>
              <w:rPr>
                <w:rFonts w:ascii="Cambria Math" w:hAnsi="Cambria Math"/>
              </w:rPr>
              <m:t>i ⊆X ∧ u</m:t>
            </m:r>
            <m:d>
              <m:dPr>
                <m:ctrlPr>
                  <w:rPr>
                    <w:rFonts w:ascii="Cambria Math" w:hAnsi="Cambria Math"/>
                    <w:i/>
                  </w:rPr>
                </m:ctrlPr>
              </m:dPr>
              <m:e>
                <m:r>
                  <m:rPr>
                    <m:sty m:val="p"/>
                  </m:rPr>
                  <w:rPr>
                    <w:rFonts w:ascii="Cambria Math" w:hAnsi="Cambria Math"/>
                  </w:rPr>
                  <m:t>i</m:t>
                </m:r>
              </m:e>
            </m:d>
            <m:r>
              <w:rPr>
                <w:rFonts w:ascii="Cambria Math" w:hAnsi="Cambria Math"/>
              </w:rPr>
              <m:t xml:space="preserve">≥0  </m:t>
            </m:r>
          </m:sub>
          <m:sup/>
          <m:e>
            <m:r>
              <w:rPr>
                <w:rFonts w:ascii="Cambria Math" w:hAnsi="Cambria Math"/>
              </w:rPr>
              <m:t>(u</m:t>
            </m:r>
            <m:d>
              <m:dPr>
                <m:ctrlPr>
                  <w:rPr>
                    <w:rFonts w:ascii="Cambria Math" w:hAnsi="Cambria Math"/>
                    <w:i/>
                  </w:rPr>
                </m:ctrlPr>
              </m:dPr>
              <m:e>
                <m:r>
                  <m:rPr>
                    <m:sty m:val="p"/>
                  </m:rPr>
                  <w:rPr>
                    <w:rFonts w:ascii="Cambria Math" w:hAnsi="Cambria Math"/>
                  </w:rPr>
                  <m:t>i</m:t>
                </m:r>
              </m:e>
            </m:d>
            <m:r>
              <w:rPr>
                <w:rFonts w:ascii="Cambria Math" w:hAnsi="Cambria Math"/>
              </w:rPr>
              <m:t xml:space="preserve">* </m:t>
            </m:r>
          </m:e>
        </m:nary>
        <m:sSub>
          <m:sSubPr>
            <m:ctrlPr>
              <w:rPr>
                <w:rFonts w:ascii="Cambria Math" w:hAnsi="Cambria Math"/>
              </w:rPr>
            </m:ctrlPr>
          </m:sSubPr>
          <m:e>
            <m:r>
              <w:rPr>
                <w:rFonts w:ascii="Cambria Math" w:hAnsi="Cambria Math"/>
              </w:rPr>
              <m:t>q</m:t>
            </m:r>
          </m:e>
          <m:sub>
            <m:r>
              <w:rPr>
                <w:rFonts w:ascii="Cambria Math" w:hAnsi="Cambria Math"/>
              </w:rPr>
              <m:t>i</m:t>
            </m:r>
          </m:sub>
        </m:sSub>
      </m:oMath>
      <w:r w:rsidR="003662CB">
        <w:t>)</w:t>
      </w:r>
      <w:r>
        <w:t xml:space="preserve"> </w:t>
      </w:r>
    </w:p>
    <w:p w14:paraId="0BC081B5" w14:textId="77777777" w:rsidR="00F9265E" w:rsidRDefault="006406DB" w:rsidP="006406DB">
      <w:pPr>
        <w:pStyle w:val="PARA"/>
      </w:pPr>
      <w:r>
        <w:t xml:space="preserve">Và giá trị tiện ích dương của X trong cơ sở dữ liệu sẽ được tính bởi công thức: </w:t>
      </w:r>
    </w:p>
    <w:p w14:paraId="32B75556" w14:textId="63F4B2EC" w:rsidR="006406DB" w:rsidRDefault="00820175" w:rsidP="00BA6415">
      <w:pPr>
        <w:pStyle w:val="PARA"/>
        <w:numPr>
          <w:ilvl w:val="0"/>
          <w:numId w:val="43"/>
        </w:numPr>
      </w:pPr>
      <w:r>
        <w:t>P</w:t>
      </w:r>
      <w:r w:rsidR="006406DB">
        <w:t xml:space="preserve">U(X) = </w:t>
      </w:r>
      <m:oMath>
        <m:nary>
          <m:naryPr>
            <m:chr m:val="∑"/>
            <m:limLoc m:val="subSup"/>
            <m:supHide m:val="1"/>
            <m:ctrlPr>
              <w:rPr>
                <w:rFonts w:ascii="Cambria Math" w:hAnsi="Cambria Math"/>
                <w:i/>
              </w:rPr>
            </m:ctrlPr>
          </m:naryPr>
          <m:sub>
            <m:r>
              <w:rPr>
                <w:rFonts w:ascii="Cambria Math" w:hAnsi="Cambria Math"/>
              </w:rPr>
              <m:t xml:space="preserve">X ⊆ </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 xml:space="preserve"> ⊆ D </m:t>
            </m:r>
          </m:sub>
          <m:sup/>
          <m:e>
            <m:r>
              <w:rPr>
                <w:rFonts w:ascii="Cambria Math" w:hAnsi="Cambria Math"/>
              </w:rPr>
              <m:t xml:space="preserve">PU(X, </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 xml:space="preserve">) </m:t>
            </m:r>
          </m:e>
        </m:nary>
      </m:oMath>
    </w:p>
    <w:p w14:paraId="272A5CA9" w14:textId="49AE688D" w:rsidR="00ED4271" w:rsidRDefault="00ED4271" w:rsidP="006406DB">
      <w:pPr>
        <w:pStyle w:val="PARA"/>
      </w:pPr>
    </w:p>
    <w:p w14:paraId="3624B133" w14:textId="23EB4C33" w:rsidR="00ED4271" w:rsidRDefault="00ED4271" w:rsidP="006406DB">
      <w:pPr>
        <w:pStyle w:val="PARA"/>
      </w:pPr>
      <w:r>
        <w:t>Ví dụ:</w:t>
      </w:r>
    </w:p>
    <w:p w14:paraId="41E8ABDC" w14:textId="77777777" w:rsidR="00820175" w:rsidRDefault="00820175" w:rsidP="006406DB">
      <w:pPr>
        <w:pStyle w:val="PARA"/>
      </w:pPr>
    </w:p>
    <w:p w14:paraId="3C4DBB7C" w14:textId="235151BC" w:rsidR="00820175" w:rsidRDefault="00820175" w:rsidP="00820175">
      <w:pPr>
        <w:pStyle w:val="PARA"/>
      </w:pPr>
      <w:r>
        <w:rPr>
          <w:b/>
          <w:bCs/>
        </w:rPr>
        <w:t>Định nghĩa 5</w:t>
      </w:r>
      <w:r>
        <w:t xml:space="preserve"> (Negative Utility of itemset): Cho một cơ sở dữ liệu định lượng không chắc chắn </w:t>
      </w:r>
      <w:r w:rsidR="00CB701C">
        <w:t>D</w:t>
      </w:r>
      <w:r>
        <w:t>,</w:t>
      </w:r>
      <w:r w:rsidR="008B2DF1">
        <w:t xml:space="preserve"> </w:t>
      </w:r>
      <w:r>
        <w:t xml:space="preserve">một itemset X và một giao dịch không chắc chắn T, nếu như X </w:t>
      </w:r>
      <m:oMath>
        <m:r>
          <w:rPr>
            <w:rFonts w:ascii="Cambria Math" w:hAnsi="Cambria Math"/>
          </w:rPr>
          <m:t>∈</m:t>
        </m:r>
      </m:oMath>
      <w:r>
        <w:t xml:space="preserve"> T, giá trị tiện ích âm (negative utility) của X trong</w:t>
      </w:r>
      <w:r w:rsidR="00EA6DD5">
        <w:t xml:space="preserve"> giao dịch</w:t>
      </w:r>
      <w:r>
        <w:t xml:space="preserve"> T được tính bởi công thức: </w:t>
      </w:r>
    </w:p>
    <w:p w14:paraId="0D1E67DB" w14:textId="4FF5397F" w:rsidR="00820175" w:rsidRDefault="00F9265E" w:rsidP="00BA6415">
      <w:pPr>
        <w:pStyle w:val="PARA"/>
        <w:numPr>
          <w:ilvl w:val="0"/>
          <w:numId w:val="43"/>
        </w:numPr>
      </w:pPr>
      <w:r>
        <w:t>N</w:t>
      </w:r>
      <w:r w:rsidR="00820175">
        <w:t xml:space="preserve">U(X, T) = </w:t>
      </w:r>
      <m:oMath>
        <m:nary>
          <m:naryPr>
            <m:chr m:val="∑"/>
            <m:limLoc m:val="subSup"/>
            <m:supHide m:val="1"/>
            <m:ctrlPr>
              <w:rPr>
                <w:rFonts w:ascii="Cambria Math" w:hAnsi="Cambria Math"/>
                <w:i/>
              </w:rPr>
            </m:ctrlPr>
          </m:naryPr>
          <m:sub>
            <m:r>
              <w:rPr>
                <w:rFonts w:ascii="Cambria Math" w:hAnsi="Cambria Math"/>
              </w:rPr>
              <m:t>i ⊆X ∧ u</m:t>
            </m:r>
            <m:d>
              <m:dPr>
                <m:ctrlPr>
                  <w:rPr>
                    <w:rFonts w:ascii="Cambria Math" w:hAnsi="Cambria Math"/>
                    <w:i/>
                  </w:rPr>
                </m:ctrlPr>
              </m:dPr>
              <m:e>
                <m:r>
                  <m:rPr>
                    <m:sty m:val="p"/>
                  </m:rPr>
                  <w:rPr>
                    <w:rFonts w:ascii="Cambria Math" w:hAnsi="Cambria Math"/>
                  </w:rPr>
                  <m:t>i</m:t>
                </m:r>
              </m:e>
            </m:d>
            <m:r>
              <w:rPr>
                <w:rFonts w:ascii="Cambria Math" w:hAnsi="Cambria Math"/>
              </w:rPr>
              <m:t xml:space="preserve"> &lt; 0  </m:t>
            </m:r>
          </m:sub>
          <m:sup/>
          <m:e>
            <m:r>
              <w:rPr>
                <w:rFonts w:ascii="Cambria Math" w:hAnsi="Cambria Math"/>
              </w:rPr>
              <m:t>(u</m:t>
            </m:r>
            <m:d>
              <m:dPr>
                <m:ctrlPr>
                  <w:rPr>
                    <w:rFonts w:ascii="Cambria Math" w:hAnsi="Cambria Math"/>
                    <w:i/>
                  </w:rPr>
                </m:ctrlPr>
              </m:dPr>
              <m:e>
                <m:r>
                  <m:rPr>
                    <m:sty m:val="p"/>
                  </m:rPr>
                  <w:rPr>
                    <w:rFonts w:ascii="Cambria Math" w:hAnsi="Cambria Math"/>
                  </w:rPr>
                  <m:t>i</m:t>
                </m:r>
              </m:e>
            </m:d>
            <m:r>
              <w:rPr>
                <w:rFonts w:ascii="Cambria Math" w:hAnsi="Cambria Math"/>
              </w:rPr>
              <m:t xml:space="preserve">* </m:t>
            </m:r>
          </m:e>
        </m:nary>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oMath>
      <w:r w:rsidR="00820175">
        <w:t xml:space="preserve"> </w:t>
      </w:r>
    </w:p>
    <w:p w14:paraId="32CB44B8" w14:textId="77777777" w:rsidR="00820175" w:rsidRDefault="00820175" w:rsidP="00820175">
      <w:pPr>
        <w:pStyle w:val="PARA"/>
      </w:pPr>
      <w:r>
        <w:t xml:space="preserve">Và giá trị tiện ích âm của X trong cơ sở dữ liệu sẽ được tính bởi công thức: </w:t>
      </w:r>
    </w:p>
    <w:p w14:paraId="6282EDEF" w14:textId="23369A0E" w:rsidR="00820175" w:rsidRDefault="00820175" w:rsidP="00BA6415">
      <w:pPr>
        <w:pStyle w:val="PARA"/>
        <w:numPr>
          <w:ilvl w:val="0"/>
          <w:numId w:val="43"/>
        </w:numPr>
      </w:pPr>
      <w:r>
        <w:t xml:space="preserve">NU(X) = </w:t>
      </w:r>
      <m:oMath>
        <m:nary>
          <m:naryPr>
            <m:chr m:val="∑"/>
            <m:limLoc m:val="subSup"/>
            <m:supHide m:val="1"/>
            <m:ctrlPr>
              <w:rPr>
                <w:rFonts w:ascii="Cambria Math" w:hAnsi="Cambria Math"/>
                <w:i/>
              </w:rPr>
            </m:ctrlPr>
          </m:naryPr>
          <m:sub>
            <m:r>
              <w:rPr>
                <w:rFonts w:ascii="Cambria Math" w:hAnsi="Cambria Math"/>
              </w:rPr>
              <m:t xml:space="preserve">X ⊆ </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 xml:space="preserve"> ⊆ D </m:t>
            </m:r>
          </m:sub>
          <m:sup/>
          <m:e>
            <m:r>
              <w:rPr>
                <w:rFonts w:ascii="Cambria Math" w:hAnsi="Cambria Math"/>
              </w:rPr>
              <m:t xml:space="preserve">NU(X, </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 xml:space="preserve">) </m:t>
            </m:r>
          </m:e>
        </m:nary>
      </m:oMath>
    </w:p>
    <w:p w14:paraId="16053468" w14:textId="77777777" w:rsidR="00ED4271" w:rsidRDefault="00ED4271" w:rsidP="00820175">
      <w:pPr>
        <w:pStyle w:val="PARA"/>
      </w:pPr>
    </w:p>
    <w:p w14:paraId="186A4396" w14:textId="546791B6" w:rsidR="00ED4271" w:rsidRDefault="00ED4271" w:rsidP="00820175">
      <w:pPr>
        <w:pStyle w:val="PARA"/>
      </w:pPr>
      <w:r>
        <w:t>Ví dụ</w:t>
      </w:r>
    </w:p>
    <w:p w14:paraId="648E25D1" w14:textId="77777777" w:rsidR="00820175" w:rsidRDefault="00820175" w:rsidP="006406DB">
      <w:pPr>
        <w:pStyle w:val="PARA"/>
      </w:pPr>
    </w:p>
    <w:p w14:paraId="5C5B74E3" w14:textId="2192C9B9" w:rsidR="001427D1" w:rsidRDefault="00125273" w:rsidP="0085434E">
      <w:pPr>
        <w:pStyle w:val="PARA"/>
      </w:pPr>
      <w:r w:rsidRPr="00EA6DD5">
        <w:rPr>
          <w:b/>
          <w:bCs/>
        </w:rPr>
        <w:t>Định nghĩa 6</w:t>
      </w:r>
      <w:r>
        <w:t xml:space="preserve"> (Expected support):  </w:t>
      </w:r>
      <w:r w:rsidR="00EA6DD5">
        <w:t xml:space="preserve">Cho một cơ sở dữ liệu định lượng không chắc chắn </w:t>
      </w:r>
      <w:r w:rsidR="00E66469">
        <w:t>D</w:t>
      </w:r>
      <w:r w:rsidR="00EA6DD5">
        <w:t xml:space="preserve">, một itemset X và một giao dịch không chắc chắn T, nếu như X </w:t>
      </w:r>
      <m:oMath>
        <m:r>
          <w:rPr>
            <w:rFonts w:ascii="Cambria Math" w:hAnsi="Cambria Math"/>
          </w:rPr>
          <m:t>∈</m:t>
        </m:r>
      </m:oMath>
      <w:r w:rsidR="00EA6DD5">
        <w:t xml:space="preserve"> T, giá trị xác suất của X</w:t>
      </w:r>
      <w:r w:rsidR="001427D1">
        <w:t xml:space="preserve"> trong giao dịch T</w:t>
      </w:r>
      <w:r w:rsidR="00C74017">
        <w:t xml:space="preserve"> sẽ</w:t>
      </w:r>
      <w:r w:rsidR="001427D1">
        <w:t xml:space="preserve"> được tính bởi công thức: </w:t>
      </w:r>
    </w:p>
    <w:p w14:paraId="63A67E90" w14:textId="7B0A938A" w:rsidR="00E160AE" w:rsidRDefault="00ED4271" w:rsidP="001320DA">
      <w:pPr>
        <w:pStyle w:val="PARA"/>
        <w:numPr>
          <w:ilvl w:val="0"/>
          <w:numId w:val="43"/>
        </w:numPr>
      </w:pPr>
      <w:r>
        <w:t>P</w:t>
      </w:r>
      <w:r w:rsidR="001427D1">
        <w:t xml:space="preserve">(X, T) = </w:t>
      </w:r>
      <m:oMath>
        <m:nary>
          <m:naryPr>
            <m:chr m:val="∏"/>
            <m:limLoc m:val="undOvr"/>
            <m:supHide m:val="1"/>
            <m:ctrlPr>
              <w:rPr>
                <w:rFonts w:ascii="Cambria Math" w:hAnsi="Cambria Math"/>
                <w:i/>
              </w:rPr>
            </m:ctrlPr>
          </m:naryPr>
          <m:sub>
            <m:r>
              <w:rPr>
                <w:rFonts w:ascii="Cambria Math" w:hAnsi="Cambria Math"/>
              </w:rPr>
              <m:t>i ⊆X</m:t>
            </m:r>
          </m:sub>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i</m:t>
                    </m:r>
                  </m:e>
                  <m:sub>
                    <m:r>
                      <w:rPr>
                        <w:rFonts w:ascii="Cambria Math" w:hAnsi="Cambria Math"/>
                      </w:rPr>
                      <m:t>T</m:t>
                    </m:r>
                  </m:sub>
                </m:sSub>
              </m:sub>
            </m:sSub>
          </m:e>
        </m:nary>
      </m:oMath>
      <w:r w:rsidR="00EA6DD5">
        <w:t xml:space="preserve"> </w:t>
      </w:r>
    </w:p>
    <w:p w14:paraId="19D70E00" w14:textId="6920B74A" w:rsidR="00ED4271" w:rsidRDefault="00ED4271" w:rsidP="00ED4271">
      <w:pPr>
        <w:pStyle w:val="PARA"/>
      </w:pPr>
      <w:r>
        <w:t xml:space="preserve">Và độ hỗ trợ kì vọng (expected support) của X trong cơ sở dữ liệu sẽ được tính bởi công thức: </w:t>
      </w:r>
    </w:p>
    <w:p w14:paraId="3F27FD22" w14:textId="5589547E" w:rsidR="00ED4271" w:rsidRDefault="00ED4271" w:rsidP="001320DA">
      <w:pPr>
        <w:pStyle w:val="PARA"/>
        <w:numPr>
          <w:ilvl w:val="0"/>
          <w:numId w:val="43"/>
        </w:numPr>
      </w:pPr>
      <w:r>
        <w:t xml:space="preserve">P(X) = </w:t>
      </w:r>
      <m:oMath>
        <m:nary>
          <m:naryPr>
            <m:chr m:val="∑"/>
            <m:limLoc m:val="undOvr"/>
            <m:supHide m:val="1"/>
            <m:ctrlPr>
              <w:rPr>
                <w:rFonts w:ascii="Cambria Math" w:hAnsi="Cambria Math"/>
                <w:i/>
              </w:rPr>
            </m:ctrlPr>
          </m:naryPr>
          <m:sub>
            <m:r>
              <w:rPr>
                <w:rFonts w:ascii="Cambria Math" w:hAnsi="Cambria Math"/>
              </w:rPr>
              <m:t xml:space="preserve">X ⊆ </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 xml:space="preserve"> T</m:t>
                </m:r>
              </m:e>
              <m:sub>
                <m:r>
                  <w:rPr>
                    <w:rFonts w:ascii="Cambria Math" w:hAnsi="Cambria Math"/>
                  </w:rPr>
                  <m:t>j</m:t>
                </m:r>
              </m:sub>
            </m:sSub>
            <m:r>
              <w:rPr>
                <w:rFonts w:ascii="Cambria Math" w:hAnsi="Cambria Math"/>
              </w:rPr>
              <m:t xml:space="preserve"> ⊆ D</m:t>
            </m:r>
          </m:sub>
          <m:sup/>
          <m:e>
            <m:r>
              <m:rPr>
                <m:sty m:val="p"/>
              </m:rPr>
              <w:rPr>
                <w:rFonts w:ascii="Cambria Math" w:hAnsi="Cambria Math"/>
              </w:rPr>
              <m:t xml:space="preserve">P(X, </m:t>
            </m:r>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e>
        </m:nary>
      </m:oMath>
    </w:p>
    <w:p w14:paraId="00264633" w14:textId="77777777" w:rsidR="00ED4271" w:rsidRDefault="00ED4271" w:rsidP="0085434E">
      <w:pPr>
        <w:pStyle w:val="PARA"/>
      </w:pPr>
    </w:p>
    <w:p w14:paraId="7CCD1AB3" w14:textId="6679AF18" w:rsidR="00503B7B" w:rsidRDefault="00503B7B" w:rsidP="00503B7B">
      <w:pPr>
        <w:pStyle w:val="PARA"/>
      </w:pPr>
      <w:r w:rsidRPr="0098154F">
        <w:rPr>
          <w:b/>
          <w:bCs/>
        </w:rPr>
        <w:t xml:space="preserve">Chiến lược </w:t>
      </w:r>
      <w:r>
        <w:rPr>
          <w:b/>
          <w:bCs/>
        </w:rPr>
        <w:t>3</w:t>
      </w:r>
      <w:r>
        <w:t xml:space="preserve"> (Probability pruning</w:t>
      </w:r>
      <w:r w:rsidR="001C30F0">
        <w:t>):</w:t>
      </w:r>
      <w:r w:rsidR="00E373C7">
        <w:t xml:space="preserve"> Cho một cơ sở dữ liệu định lượng không chắc chắn D và </w:t>
      </w:r>
      <w:r>
        <w:t>itemset X,</w:t>
      </w:r>
      <w:r w:rsidR="007C2DFB">
        <w:t xml:space="preserve"> ngưỡng xác suất tối thiểu minProb,</w:t>
      </w:r>
      <w:r>
        <w:t xml:space="preserve"> nếu như </w:t>
      </w:r>
      <w:r w:rsidR="00CF6BA8">
        <w:t>P(X) &lt; minProb * |D|</w:t>
      </w:r>
      <w:r>
        <w:t xml:space="preserve">, thì </w:t>
      </w:r>
      <w:r w:rsidR="007716AB">
        <w:t>tập mục</w:t>
      </w:r>
      <w:r>
        <w:t xml:space="preserve"> X </w:t>
      </w:r>
      <w:r w:rsidR="005142CA">
        <w:t>và các phần mở rộng của nó</w:t>
      </w:r>
      <w:r w:rsidR="005142CA">
        <w:t xml:space="preserve"> </w:t>
      </w:r>
      <w:r>
        <w:t>đều</w:t>
      </w:r>
      <w:r w:rsidR="00CF6BA8">
        <w:t xml:space="preserve"> không phải là một mẫu kì vọng cao.</w:t>
      </w:r>
    </w:p>
    <w:p w14:paraId="4460720E" w14:textId="77777777" w:rsidR="0099224F" w:rsidRDefault="0099224F" w:rsidP="00503B7B">
      <w:pPr>
        <w:pStyle w:val="PARA"/>
      </w:pPr>
    </w:p>
    <w:p w14:paraId="1AE3F16D" w14:textId="4E38CE86" w:rsidR="00C52C26" w:rsidRDefault="00C52C26" w:rsidP="00503B7B">
      <w:pPr>
        <w:pStyle w:val="PARA"/>
      </w:pPr>
      <w:r>
        <w:t>Ví dụ:</w:t>
      </w:r>
    </w:p>
    <w:p w14:paraId="687978B3" w14:textId="77777777" w:rsidR="00C52C26" w:rsidRDefault="00C52C26" w:rsidP="00503B7B">
      <w:pPr>
        <w:pStyle w:val="PARA"/>
      </w:pPr>
    </w:p>
    <w:p w14:paraId="1A59772B" w14:textId="2C43ADCC" w:rsidR="0099224F" w:rsidRDefault="0099224F" w:rsidP="00503B7B">
      <w:pPr>
        <w:pStyle w:val="PARA"/>
      </w:pPr>
      <w:r w:rsidRPr="0099224F">
        <w:rPr>
          <w:b/>
          <w:bCs/>
        </w:rPr>
        <w:t>Định nghĩa 7</w:t>
      </w:r>
      <w:r>
        <w:t xml:space="preserve"> (Expected High Utility Pattern): </w:t>
      </w:r>
      <w:r w:rsidR="00504273">
        <w:t>Cho một cơ sở dữ liệu định lượng không chắc chắn D</w:t>
      </w:r>
      <w:r w:rsidR="00674D10">
        <w:t>,</w:t>
      </w:r>
      <w:r w:rsidR="00504273">
        <w:t xml:space="preserve"> </w:t>
      </w:r>
      <w:r w:rsidR="00E836A2">
        <w:t xml:space="preserve">một </w:t>
      </w:r>
      <w:r w:rsidR="00504273">
        <w:t>itemset X</w:t>
      </w:r>
      <w:r w:rsidR="00E836A2">
        <w:t xml:space="preserve">, </w:t>
      </w:r>
      <w:r w:rsidR="00674D10">
        <w:t xml:space="preserve">một </w:t>
      </w:r>
      <w:r w:rsidR="00E836A2">
        <w:t>ngưỡng xác suất tối thiểu minProb, ngưỡng tiện ích tối thiểu minUtil.</w:t>
      </w:r>
      <w:r w:rsidR="00504273">
        <w:t xml:space="preserve"> </w:t>
      </w:r>
      <w:r w:rsidR="00E836A2">
        <w:t>N</w:t>
      </w:r>
      <w:r w:rsidR="00504273">
        <w:t>ếu</w:t>
      </w:r>
      <w:r w:rsidR="00E836A2">
        <w:t xml:space="preserve"> như itemset</w:t>
      </w:r>
      <w:r w:rsidR="00504273">
        <w:t xml:space="preserve"> X thoả mãn cả 2 điều kiện:</w:t>
      </w:r>
    </w:p>
    <w:p w14:paraId="47346093" w14:textId="7A3132EE" w:rsidR="00504273" w:rsidRDefault="00FD4223" w:rsidP="00503B7B">
      <w:pPr>
        <w:pStyle w:val="PARA"/>
      </w:pPr>
      <w:r>
        <w:t xml:space="preserve">(1) </w:t>
      </w:r>
      <w:r w:rsidR="00504273">
        <w:t xml:space="preserve">P(X) </w:t>
      </w:r>
      <m:oMath>
        <m:r>
          <w:rPr>
            <w:rFonts w:ascii="Cambria Math" w:hAnsi="Cambria Math"/>
          </w:rPr>
          <m:t>≥</m:t>
        </m:r>
      </m:oMath>
      <w:r w:rsidR="00504273">
        <w:t xml:space="preserve"> min</w:t>
      </w:r>
      <w:r w:rsidR="003E387F">
        <w:t>P</w:t>
      </w:r>
      <w:r w:rsidR="00504273">
        <w:t>rob * |D</w:t>
      </w:r>
      <w:r>
        <w:t xml:space="preserve">|,   (2) </w:t>
      </w:r>
      <w:r w:rsidR="003E387F">
        <w:t xml:space="preserve">U(X) </w:t>
      </w:r>
      <m:oMath>
        <m:r>
          <w:rPr>
            <w:rFonts w:ascii="Cambria Math" w:hAnsi="Cambria Math"/>
          </w:rPr>
          <m:t>≥</m:t>
        </m:r>
      </m:oMath>
      <w:r w:rsidR="003E387F">
        <w:t xml:space="preserve"> minUtil</w:t>
      </w:r>
    </w:p>
    <w:p w14:paraId="4555529C" w14:textId="7C6C89A8" w:rsidR="00FD4223" w:rsidRDefault="00FD4223" w:rsidP="00503B7B">
      <w:pPr>
        <w:pStyle w:val="PARA"/>
      </w:pPr>
      <w:r>
        <w:t>Thì</w:t>
      </w:r>
      <w:r w:rsidR="00E836A2">
        <w:t xml:space="preserve"> </w:t>
      </w:r>
      <w:r>
        <w:t>tập mục X</w:t>
      </w:r>
      <w:r w:rsidR="00E836A2">
        <w:t xml:space="preserve"> được xem</w:t>
      </w:r>
      <w:r>
        <w:t xml:space="preserve"> là một mẫu tiện ích – kì vọng cao.</w:t>
      </w:r>
    </w:p>
    <w:p w14:paraId="4CEBA192" w14:textId="5274DA42" w:rsidR="009906AB" w:rsidRDefault="009906AB" w:rsidP="00503B7B">
      <w:pPr>
        <w:pStyle w:val="PARA"/>
      </w:pPr>
    </w:p>
    <w:p w14:paraId="7B22771D" w14:textId="450760CD" w:rsidR="009906AB" w:rsidRDefault="009906AB" w:rsidP="00503B7B">
      <w:pPr>
        <w:pStyle w:val="PARA"/>
      </w:pPr>
      <w:r>
        <w:t xml:space="preserve">Ví dụ: </w:t>
      </w:r>
    </w:p>
    <w:p w14:paraId="3E880724" w14:textId="77777777" w:rsidR="009D52D5" w:rsidRDefault="009D52D5" w:rsidP="00503B7B">
      <w:pPr>
        <w:pStyle w:val="PARA"/>
      </w:pPr>
    </w:p>
    <w:p w14:paraId="6616CCD5" w14:textId="3BD823BE" w:rsidR="009D52D5" w:rsidRDefault="009D52D5" w:rsidP="00503B7B">
      <w:pPr>
        <w:pStyle w:val="PARA"/>
      </w:pPr>
      <w:r w:rsidRPr="001C4F69">
        <w:rPr>
          <w:b/>
          <w:bCs/>
        </w:rPr>
        <w:t xml:space="preserve">Định nghĩa </w:t>
      </w:r>
      <w:r w:rsidR="0099224F">
        <w:rPr>
          <w:b/>
          <w:bCs/>
        </w:rPr>
        <w:t>8</w:t>
      </w:r>
      <w:r>
        <w:t xml:space="preserve"> (Transaction Weight</w:t>
      </w:r>
      <w:r w:rsidR="001C4F69">
        <w:t>ed</w:t>
      </w:r>
      <w:r>
        <w:t xml:space="preserve"> Utility): </w:t>
      </w:r>
      <w:r w:rsidR="001C4F69">
        <w:t xml:space="preserve">Cho một cơ sở dữ liệu định lượng không chắc chắn </w:t>
      </w:r>
      <w:r w:rsidR="00E66469">
        <w:t>D</w:t>
      </w:r>
      <w:r w:rsidR="001C4F69">
        <w:t xml:space="preserve">, một itemset </w:t>
      </w:r>
      <w:r w:rsidR="00393D13">
        <w:t xml:space="preserve">X </w:t>
      </w:r>
      <w:r w:rsidR="001C4F69">
        <w:t>và một giao dịch không chắc chắn T, giá trị tiện ích dương của giao dịch T được tính bởi công thức:</w:t>
      </w:r>
    </w:p>
    <w:p w14:paraId="192ACF53" w14:textId="2F7F3C3C" w:rsidR="001C4F69" w:rsidRDefault="001C4F69" w:rsidP="00BA6415">
      <w:pPr>
        <w:pStyle w:val="PARA"/>
        <w:numPr>
          <w:ilvl w:val="0"/>
          <w:numId w:val="43"/>
        </w:numPr>
      </w:pPr>
      <w:r>
        <w:t xml:space="preserve">PU(T) = </w:t>
      </w:r>
      <m:oMath>
        <m:nary>
          <m:naryPr>
            <m:chr m:val="∑"/>
            <m:limLoc m:val="subSup"/>
            <m:supHide m:val="1"/>
            <m:ctrlPr>
              <w:rPr>
                <w:rFonts w:ascii="Cambria Math" w:hAnsi="Cambria Math"/>
                <w:i/>
              </w:rPr>
            </m:ctrlPr>
          </m:naryPr>
          <m:sub>
            <m:r>
              <w:rPr>
                <w:rFonts w:ascii="Cambria Math" w:hAnsi="Cambria Math"/>
              </w:rPr>
              <m:t>i ⊆ T,  u</m:t>
            </m:r>
            <m:d>
              <m:dPr>
                <m:ctrlPr>
                  <w:rPr>
                    <w:rFonts w:ascii="Cambria Math" w:hAnsi="Cambria Math"/>
                    <w:i/>
                  </w:rPr>
                </m:ctrlPr>
              </m:dPr>
              <m:e>
                <m:r>
                  <w:rPr>
                    <w:rFonts w:ascii="Cambria Math" w:hAnsi="Cambria Math"/>
                  </w:rPr>
                  <m:t>i</m:t>
                </m:r>
              </m:e>
            </m:d>
            <m:r>
              <w:rPr>
                <w:rFonts w:ascii="Cambria Math" w:hAnsi="Cambria Math"/>
              </w:rPr>
              <m:t xml:space="preserve"> &gt; 0</m:t>
            </m:r>
          </m:sub>
          <m:sup/>
          <m:e>
            <m:r>
              <w:rPr>
                <w:rFonts w:ascii="Cambria Math" w:hAnsi="Cambria Math"/>
              </w:rPr>
              <m:t>(u</m:t>
            </m:r>
            <m:d>
              <m:dPr>
                <m:ctrlPr>
                  <w:rPr>
                    <w:rFonts w:ascii="Cambria Math" w:hAnsi="Cambria Math"/>
                    <w:i/>
                  </w:rPr>
                </m:ctrlPr>
              </m:dPr>
              <m:e>
                <m:r>
                  <m:rPr>
                    <m:sty m:val="p"/>
                  </m:rPr>
                  <w:rPr>
                    <w:rFonts w:ascii="Cambria Math" w:hAnsi="Cambria Math"/>
                  </w:rPr>
                  <m:t>i</m:t>
                </m:r>
              </m:e>
            </m:d>
            <m:r>
              <w:rPr>
                <w:rFonts w:ascii="Cambria Math" w:hAnsi="Cambria Math"/>
              </w:rPr>
              <m:t xml:space="preserve">* </m:t>
            </m:r>
          </m:e>
        </m:nary>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oMath>
    </w:p>
    <w:p w14:paraId="6B710AB7" w14:textId="269F1EB0" w:rsidR="001C4F69" w:rsidRDefault="001C4F69" w:rsidP="00503B7B">
      <w:pPr>
        <w:pStyle w:val="PARA"/>
      </w:pPr>
      <w:r>
        <w:t xml:space="preserve">Và nếu như X </w:t>
      </w:r>
      <m:oMath>
        <m:r>
          <w:rPr>
            <w:rFonts w:ascii="Cambria Math" w:hAnsi="Cambria Math"/>
          </w:rPr>
          <m:t>∈</m:t>
        </m:r>
      </m:oMath>
      <w:r>
        <w:t xml:space="preserve"> T, giá trị tiện tích trọng số của X trong giao dịch T được tính bởi công thức:</w:t>
      </w:r>
    </w:p>
    <w:p w14:paraId="152E822A" w14:textId="3B87704F" w:rsidR="00D404F5" w:rsidRDefault="00D404F5" w:rsidP="00BA6415">
      <w:pPr>
        <w:pStyle w:val="PARA"/>
        <w:numPr>
          <w:ilvl w:val="0"/>
          <w:numId w:val="43"/>
        </w:numPr>
      </w:pPr>
      <w:r>
        <w:t xml:space="preserve">TWU(X) = </w:t>
      </w:r>
      <m:oMath>
        <m:nary>
          <m:naryPr>
            <m:chr m:val="∑"/>
            <m:limLoc m:val="undOvr"/>
            <m:supHide m:val="1"/>
            <m:ctrlPr>
              <w:rPr>
                <w:rFonts w:ascii="Cambria Math" w:hAnsi="Cambria Math"/>
                <w:i/>
              </w:rPr>
            </m:ctrlPr>
          </m:naryPr>
          <m:sub>
            <m:r>
              <w:rPr>
                <w:rFonts w:ascii="Cambria Math" w:hAnsi="Cambria Math"/>
              </w:rPr>
              <m:t xml:space="preserve">X ⊆ </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 xml:space="preserve"> T</m:t>
                </m:r>
              </m:e>
              <m:sub>
                <m:r>
                  <w:rPr>
                    <w:rFonts w:ascii="Cambria Math" w:hAnsi="Cambria Math"/>
                  </w:rPr>
                  <m:t>j</m:t>
                </m:r>
              </m:sub>
            </m:sSub>
            <m:r>
              <w:rPr>
                <w:rFonts w:ascii="Cambria Math" w:hAnsi="Cambria Math"/>
              </w:rPr>
              <m:t xml:space="preserve"> ⊆ D</m:t>
            </m:r>
          </m:sub>
          <m:sup/>
          <m:e>
            <m:r>
              <m:rPr>
                <m:sty m:val="p"/>
              </m:rPr>
              <w:rPr>
                <w:rFonts w:ascii="Cambria Math" w:hAnsi="Cambria Math"/>
              </w:rPr>
              <m:t>PU(</m:t>
            </m:r>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e>
        </m:nary>
      </m:oMath>
    </w:p>
    <w:p w14:paraId="786AED2B" w14:textId="34443F41" w:rsidR="001C4F69" w:rsidRDefault="001C4F69" w:rsidP="00503B7B">
      <w:pPr>
        <w:pStyle w:val="PARA"/>
      </w:pPr>
    </w:p>
    <w:p w14:paraId="30E4F9F9" w14:textId="4EE0B114" w:rsidR="00D757E2" w:rsidRDefault="00D757E2" w:rsidP="00503B7B">
      <w:pPr>
        <w:pStyle w:val="PARA"/>
      </w:pPr>
      <w:r>
        <w:t xml:space="preserve">Ví dụ: </w:t>
      </w:r>
    </w:p>
    <w:p w14:paraId="4DA661B4" w14:textId="1B69EFC1" w:rsidR="00503B7B" w:rsidRDefault="00503B7B" w:rsidP="0085434E">
      <w:pPr>
        <w:pStyle w:val="PARA"/>
      </w:pPr>
      <w:r>
        <w:t xml:space="preserve"> </w:t>
      </w:r>
    </w:p>
    <w:p w14:paraId="332B78B0" w14:textId="77777777" w:rsidR="00674D10" w:rsidRDefault="00012220" w:rsidP="0085434E">
      <w:pPr>
        <w:pStyle w:val="PARA"/>
      </w:pPr>
      <w:r w:rsidRPr="0098154F">
        <w:rPr>
          <w:b/>
          <w:bCs/>
        </w:rPr>
        <w:t>Chiến lược</w:t>
      </w:r>
      <w:r>
        <w:rPr>
          <w:b/>
          <w:bCs/>
        </w:rPr>
        <w:t xml:space="preserve"> 4</w:t>
      </w:r>
      <w:r>
        <w:t xml:space="preserve"> (Transaction Weighted Utility pruning):</w:t>
      </w:r>
      <w:r w:rsidR="00BC6EF4">
        <w:t xml:space="preserve"> Xét những item đơn lẻ i (i </w:t>
      </w:r>
      <m:oMath>
        <m:r>
          <w:rPr>
            <w:rFonts w:ascii="Cambria Math" w:hAnsi="Cambria Math"/>
          </w:rPr>
          <m:t>∈</m:t>
        </m:r>
      </m:oMath>
      <w:r w:rsidR="00BC6EF4">
        <w:t xml:space="preserve"> </w:t>
      </w:r>
      <m:oMath>
        <m:r>
          <w:rPr>
            <w:rFonts w:ascii="Cambria Math" w:hAnsi="Cambria Math"/>
          </w:rPr>
          <m:t>I</m:t>
        </m:r>
      </m:oMath>
      <w:r w:rsidR="00BC6EF4">
        <w:t xml:space="preserve">), nếu như </w:t>
      </w:r>
      <w:r w:rsidR="0099224F">
        <w:t xml:space="preserve">TWU({i}) &lt; minUtil </w:t>
      </w:r>
      <w:r w:rsidR="007716AB">
        <w:t xml:space="preserve">thì bất kì tập mục nào chứa i, đều không phải là một </w:t>
      </w:r>
      <w:r w:rsidR="00C7759F">
        <w:t>mẫu</w:t>
      </w:r>
      <w:r w:rsidR="007716AB">
        <w:t xml:space="preserve"> tiện ích cao.</w:t>
      </w:r>
    </w:p>
    <w:p w14:paraId="540FB698" w14:textId="77777777" w:rsidR="00CC31C5" w:rsidRDefault="00CC31C5" w:rsidP="0085434E">
      <w:pPr>
        <w:pStyle w:val="PARA"/>
      </w:pPr>
    </w:p>
    <w:p w14:paraId="72C1F928" w14:textId="77777777" w:rsidR="00EE3974" w:rsidRDefault="00674D10" w:rsidP="0085434E">
      <w:pPr>
        <w:pStyle w:val="PARA"/>
      </w:pPr>
      <w:r>
        <w:t xml:space="preserve">Ví dụ: </w:t>
      </w:r>
    </w:p>
    <w:p w14:paraId="530394D2" w14:textId="77777777" w:rsidR="001320DA" w:rsidRDefault="001320DA" w:rsidP="0085434E">
      <w:pPr>
        <w:pStyle w:val="PARA"/>
      </w:pPr>
    </w:p>
    <w:p w14:paraId="18978F8C" w14:textId="70B5F78C" w:rsidR="001320DA" w:rsidRDefault="001320DA" w:rsidP="001320DA">
      <w:pPr>
        <w:pStyle w:val="PARA"/>
      </w:pPr>
      <w:r w:rsidRPr="0098154F">
        <w:rPr>
          <w:b/>
          <w:bCs/>
        </w:rPr>
        <w:t>Chiến lược</w:t>
      </w:r>
      <w:r>
        <w:rPr>
          <w:b/>
          <w:bCs/>
        </w:rPr>
        <w:t xml:space="preserve"> </w:t>
      </w:r>
      <w:r>
        <w:rPr>
          <w:b/>
          <w:bCs/>
        </w:rPr>
        <w:t>5</w:t>
      </w:r>
      <w:r>
        <w:t xml:space="preserve"> (</w:t>
      </w:r>
      <w:r w:rsidRPr="001320DA">
        <w:t>Estimated Utility Co-occurrence Pruning in N-database</w:t>
      </w:r>
      <w:r>
        <w:t xml:space="preserve">): </w:t>
      </w:r>
      <w:r>
        <w:t xml:space="preserve">Đối với hai item đơn lẻ </w:t>
      </w:r>
      <w:bookmarkStart w:id="1" w:name="_Hlk185163729"/>
      <m:oMath>
        <m:sSub>
          <m:sSubPr>
            <m:ctrlPr>
              <w:rPr>
                <w:rFonts w:ascii="Cambria Math" w:hAnsi="Cambria Math"/>
              </w:rPr>
            </m:ctrlPr>
          </m:sSubPr>
          <m:e>
            <m:r>
              <w:rPr>
                <w:rFonts w:ascii="Cambria Math" w:hAnsi="Cambria Math"/>
              </w:rPr>
              <m:t>i</m:t>
            </m:r>
          </m:e>
          <m:sub>
            <m:r>
              <w:rPr>
                <w:rFonts w:ascii="Cambria Math" w:hAnsi="Cambria Math"/>
              </w:rPr>
              <m:t>i</m:t>
            </m:r>
          </m:sub>
        </m:sSub>
      </m:oMath>
      <w:r w:rsidR="00F1490B">
        <w:t xml:space="preserve">, </w:t>
      </w:r>
      <m:oMath>
        <m:sSub>
          <m:sSubPr>
            <m:ctrlPr>
              <w:rPr>
                <w:rFonts w:ascii="Cambria Math" w:hAnsi="Cambria Math"/>
              </w:rPr>
            </m:ctrlPr>
          </m:sSubPr>
          <m:e>
            <m:r>
              <w:rPr>
                <w:rFonts w:ascii="Cambria Math" w:hAnsi="Cambria Math"/>
              </w:rPr>
              <m:t>i</m:t>
            </m:r>
          </m:e>
          <m:sub>
            <m:r>
              <w:rPr>
                <w:rFonts w:ascii="Cambria Math" w:hAnsi="Cambria Math"/>
              </w:rPr>
              <m:t>j</m:t>
            </m:r>
          </m:sub>
        </m:sSub>
      </m:oMath>
      <w:bookmarkEnd w:id="1"/>
      <w:r w:rsidR="00F1490B">
        <w:t xml:space="preserve"> chúng ta có thể lưu giá trị TWU</w:t>
      </w:r>
      <w:r w:rsidR="006769A0">
        <w:t xml:space="preserve"> của chúng</w:t>
      </w:r>
      <w:r w:rsidR="00F1490B">
        <w:t xml:space="preserve"> vào một ma trận tam giác được gọi là EUCP. Đối với một tập mục X, nếu</w:t>
      </w:r>
      <w:r w:rsidR="00D80162">
        <w:t xml:space="preserve"> nó</w:t>
      </w:r>
      <w:r w:rsidR="00F1490B">
        <w:t xml:space="preserve"> chứa cả hai item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00F1490B">
        <w:t xml:space="preserve">, </w:t>
      </w:r>
      <m:oMath>
        <m:sSub>
          <m:sSubPr>
            <m:ctrlPr>
              <w:rPr>
                <w:rFonts w:ascii="Cambria Math" w:hAnsi="Cambria Math"/>
              </w:rPr>
            </m:ctrlPr>
          </m:sSubPr>
          <m:e>
            <m:r>
              <w:rPr>
                <w:rFonts w:ascii="Cambria Math" w:hAnsi="Cambria Math"/>
              </w:rPr>
              <m:t>i</m:t>
            </m:r>
          </m:e>
          <m:sub>
            <m:r>
              <w:rPr>
                <w:rFonts w:ascii="Cambria Math" w:hAnsi="Cambria Math"/>
              </w:rPr>
              <m:t>j</m:t>
            </m:r>
          </m:sub>
        </m:sSub>
      </m:oMath>
      <w:r w:rsidR="00F1490B">
        <w:t xml:space="preserve"> </w:t>
      </w:r>
      <w:r w:rsidR="00D80162">
        <w:t xml:space="preserve">và </w:t>
      </w:r>
      <w:r w:rsidR="00D80162">
        <w:t>TWU({</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00D80162">
        <w:t xml:space="preserve">, </w:t>
      </w:r>
      <m:oMath>
        <m:sSub>
          <m:sSubPr>
            <m:ctrlPr>
              <w:rPr>
                <w:rFonts w:ascii="Cambria Math" w:hAnsi="Cambria Math"/>
              </w:rPr>
            </m:ctrlPr>
          </m:sSubPr>
          <m:e>
            <m:r>
              <w:rPr>
                <w:rFonts w:ascii="Cambria Math" w:hAnsi="Cambria Math"/>
              </w:rPr>
              <m:t>i</m:t>
            </m:r>
          </m:e>
          <m:sub>
            <m:r>
              <w:rPr>
                <w:rFonts w:ascii="Cambria Math" w:hAnsi="Cambria Math"/>
              </w:rPr>
              <m:t>j</m:t>
            </m:r>
          </m:sub>
        </m:sSub>
      </m:oMath>
      <w:r w:rsidR="00D80162">
        <w:t>})</w:t>
      </w:r>
      <w:r w:rsidR="00D80162">
        <w:t xml:space="preserve"> &lt; minUtil thì </w:t>
      </w:r>
      <w:r w:rsidR="006769A0">
        <w:t xml:space="preserve">tập mục </w:t>
      </w:r>
      <w:r w:rsidR="00D80162">
        <w:t xml:space="preserve">X và các </w:t>
      </w:r>
      <w:r w:rsidR="005142CA">
        <w:t>phần</w:t>
      </w:r>
      <w:r w:rsidR="00D80162">
        <w:t xml:space="preserve"> </w:t>
      </w:r>
      <w:r w:rsidR="00D517B2">
        <w:t>mở rộng của nó</w:t>
      </w:r>
      <w:r w:rsidR="00D80162">
        <w:t xml:space="preserve"> đều không phải là một mẫu tiện ích cao</w:t>
      </w:r>
      <w:r w:rsidR="006769A0">
        <w:t>.</w:t>
      </w:r>
    </w:p>
    <w:p w14:paraId="34C5DFED" w14:textId="77777777" w:rsidR="006769A0" w:rsidRDefault="006769A0" w:rsidP="001320DA">
      <w:pPr>
        <w:pStyle w:val="PARA"/>
      </w:pPr>
    </w:p>
    <w:p w14:paraId="0EAF72F3" w14:textId="29C7850E" w:rsidR="006769A0" w:rsidRDefault="006769A0" w:rsidP="001320DA">
      <w:pPr>
        <w:pStyle w:val="PARA"/>
      </w:pPr>
      <w:r>
        <w:t xml:space="preserve">Ví dụ: </w:t>
      </w:r>
    </w:p>
    <w:p w14:paraId="58F8E436" w14:textId="77777777" w:rsidR="00EE3974" w:rsidRDefault="00EE3974" w:rsidP="0085434E">
      <w:pPr>
        <w:pStyle w:val="PARA"/>
      </w:pPr>
    </w:p>
    <w:p w14:paraId="43027EF8" w14:textId="3CCFBDCC" w:rsidR="001C30F0" w:rsidRDefault="00EE3974" w:rsidP="0085434E">
      <w:pPr>
        <w:pStyle w:val="PARA"/>
      </w:pPr>
      <w:r w:rsidRPr="00EE3974">
        <w:rPr>
          <w:b/>
          <w:bCs/>
        </w:rPr>
        <w:t>Định nghĩa 9</w:t>
      </w:r>
      <w:r>
        <w:t xml:space="preserve"> (Order of Item</w:t>
      </w:r>
      <w:r w:rsidR="00706713">
        <w:t>s</w:t>
      </w:r>
      <w:r>
        <w:t xml:space="preserve">): </w:t>
      </w:r>
      <w:r w:rsidR="00A55262">
        <w:t xml:space="preserve">Cho một tập mục chứa các item đơn lẻ: </w:t>
      </w:r>
      <m:oMath>
        <m:r>
          <w:rPr>
            <w:rFonts w:ascii="Cambria Math" w:hAnsi="Cambria Math"/>
          </w:rPr>
          <m:t>I</m:t>
        </m:r>
      </m:oMath>
      <w:r w:rsidR="00A55262">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k</m:t>
                </m:r>
              </m:sub>
            </m:sSub>
          </m:e>
        </m:d>
      </m:oMath>
      <w:r w:rsidR="00A55262">
        <w:t xml:space="preserve">, ta định nghĩa thứ tự ưu tiên giữa </w:t>
      </w:r>
      <w:r w:rsidR="00132CC4">
        <w:t>hai</w:t>
      </w:r>
      <w:r w:rsidR="00A55262">
        <w:t xml:space="preserve"> item</w:t>
      </w:r>
      <w:r w:rsidR="00132CC4">
        <w:t xml:space="preserve"> đơn lẻ</w:t>
      </w:r>
      <w:r w:rsidR="00A55262">
        <w:t xml:space="preserve"> </w:t>
      </w:r>
      <m:oMath>
        <m:sSub>
          <m:sSubPr>
            <m:ctrlPr>
              <w:rPr>
                <w:rFonts w:ascii="Cambria Math" w:hAnsi="Cambria Math"/>
              </w:rPr>
            </m:ctrlPr>
          </m:sSubPr>
          <m:e>
            <m:r>
              <w:rPr>
                <w:rFonts w:ascii="Cambria Math" w:hAnsi="Cambria Math"/>
              </w:rPr>
              <m:t>i</m:t>
            </m:r>
          </m:e>
          <m:sub>
            <m:r>
              <w:rPr>
                <w:rFonts w:ascii="Cambria Math" w:hAnsi="Cambria Math"/>
              </w:rPr>
              <m:t>a</m:t>
            </m:r>
          </m:sub>
        </m:sSub>
      </m:oMath>
      <w:r w:rsidR="00A55262">
        <w:t xml:space="preserve"> và </w:t>
      </w:r>
      <m:oMath>
        <m:sSub>
          <m:sSubPr>
            <m:ctrlPr>
              <w:rPr>
                <w:rFonts w:ascii="Cambria Math" w:hAnsi="Cambria Math"/>
              </w:rPr>
            </m:ctrlPr>
          </m:sSubPr>
          <m:e>
            <m:r>
              <w:rPr>
                <w:rFonts w:ascii="Cambria Math" w:hAnsi="Cambria Math"/>
              </w:rPr>
              <m:t>i</m:t>
            </m:r>
          </m:e>
          <m:sub>
            <m:r>
              <w:rPr>
                <w:rFonts w:ascii="Cambria Math" w:hAnsi="Cambria Math"/>
              </w:rPr>
              <m:t>b</m:t>
            </m:r>
          </m:sub>
        </m:sSub>
      </m:oMath>
      <w:r w:rsidR="00A55262">
        <w:t xml:space="preserve"> (</w:t>
      </w:r>
      <m:oMath>
        <m:sSub>
          <m:sSubPr>
            <m:ctrlPr>
              <w:rPr>
                <w:rFonts w:ascii="Cambria Math" w:hAnsi="Cambria Math"/>
              </w:rPr>
            </m:ctrlPr>
          </m:sSubPr>
          <m:e>
            <m:r>
              <w:rPr>
                <w:rFonts w:ascii="Cambria Math" w:hAnsi="Cambria Math"/>
              </w:rPr>
              <m:t>i</m:t>
            </m:r>
          </m:e>
          <m:sub>
            <m:r>
              <w:rPr>
                <w:rFonts w:ascii="Cambria Math" w:hAnsi="Cambria Math"/>
              </w:rPr>
              <m:t>a</m:t>
            </m:r>
          </m:sub>
        </m:sSub>
      </m:oMath>
      <w:r w:rsidR="00A55262">
        <w:t xml:space="preserve">, </w:t>
      </w:r>
      <m:oMath>
        <m:sSub>
          <m:sSubPr>
            <m:ctrlPr>
              <w:rPr>
                <w:rFonts w:ascii="Cambria Math" w:hAnsi="Cambria Math"/>
              </w:rPr>
            </m:ctrlPr>
          </m:sSubPr>
          <m:e>
            <m:r>
              <w:rPr>
                <w:rFonts w:ascii="Cambria Math" w:hAnsi="Cambria Math"/>
              </w:rPr>
              <m:t>i</m:t>
            </m:r>
          </m:e>
          <m:sub>
            <m:r>
              <w:rPr>
                <w:rFonts w:ascii="Cambria Math" w:hAnsi="Cambria Math"/>
              </w:rPr>
              <m:t>b</m:t>
            </m:r>
          </m:sub>
        </m:sSub>
      </m:oMath>
      <w:r w:rsidR="00A55262">
        <w:t xml:space="preserve"> </w:t>
      </w:r>
      <m:oMath>
        <m:r>
          <w:rPr>
            <w:rFonts w:ascii="Cambria Math" w:hAnsi="Cambria Math"/>
          </w:rPr>
          <m:t>∈</m:t>
        </m:r>
      </m:oMath>
      <w:r w:rsidR="00A55262">
        <w:t xml:space="preserve">  </w:t>
      </w:r>
      <m:oMath>
        <m:r>
          <w:rPr>
            <w:rFonts w:ascii="Cambria Math" w:hAnsi="Cambria Math"/>
          </w:rPr>
          <m:t>I</m:t>
        </m:r>
      </m:oMath>
      <w:r w:rsidR="00A55262">
        <w:t xml:space="preserve"> ) như sau:</w:t>
      </w:r>
    </w:p>
    <w:p w14:paraId="16C39D0B" w14:textId="535A430D" w:rsidR="00A55262" w:rsidRDefault="00A55262" w:rsidP="0085434E">
      <w:pPr>
        <w:pStyle w:val="PARA"/>
      </w:pPr>
      <w:r>
        <w:t>(1) Nếu u(</w:t>
      </w:r>
      <m:oMath>
        <m:sSub>
          <m:sSubPr>
            <m:ctrlPr>
              <w:rPr>
                <w:rFonts w:ascii="Cambria Math" w:hAnsi="Cambria Math"/>
              </w:rPr>
            </m:ctrlPr>
          </m:sSubPr>
          <m:e>
            <m:r>
              <w:rPr>
                <w:rFonts w:ascii="Cambria Math" w:hAnsi="Cambria Math"/>
              </w:rPr>
              <m:t>i</m:t>
            </m:r>
          </m:e>
          <m:sub>
            <m:r>
              <w:rPr>
                <w:rFonts w:ascii="Cambria Math" w:hAnsi="Cambria Math"/>
              </w:rPr>
              <m:t>a</m:t>
            </m:r>
          </m:sub>
        </m:sSub>
      </m:oMath>
      <w:r>
        <w:t>) &gt; 0 và u(</w:t>
      </w:r>
      <m:oMath>
        <m:sSub>
          <m:sSubPr>
            <m:ctrlPr>
              <w:rPr>
                <w:rFonts w:ascii="Cambria Math" w:hAnsi="Cambria Math"/>
              </w:rPr>
            </m:ctrlPr>
          </m:sSubPr>
          <m:e>
            <m:r>
              <w:rPr>
                <w:rFonts w:ascii="Cambria Math" w:hAnsi="Cambria Math"/>
              </w:rPr>
              <m:t>i</m:t>
            </m:r>
          </m:e>
          <m:sub>
            <m:r>
              <w:rPr>
                <w:rFonts w:ascii="Cambria Math" w:hAnsi="Cambria Math"/>
              </w:rPr>
              <m:t>b</m:t>
            </m:r>
          </m:sub>
        </m:sSub>
      </m:oMath>
      <w:r>
        <w:t xml:space="preserve">) </w:t>
      </w:r>
      <m:oMath>
        <m:r>
          <w:rPr>
            <w:rFonts w:ascii="Cambria Math" w:hAnsi="Cambria Math"/>
          </w:rPr>
          <m:t>≤</m:t>
        </m:r>
      </m:oMath>
      <w:r>
        <w:t xml:space="preserve"> 0,  ta kết luận </w:t>
      </w:r>
      <m:oMath>
        <m:sSub>
          <m:sSubPr>
            <m:ctrlPr>
              <w:rPr>
                <w:rFonts w:ascii="Cambria Math" w:hAnsi="Cambria Math"/>
              </w:rPr>
            </m:ctrlPr>
          </m:sSubPr>
          <m:e>
            <m:r>
              <w:rPr>
                <w:rFonts w:ascii="Cambria Math" w:hAnsi="Cambria Math"/>
              </w:rPr>
              <m:t>i</m:t>
            </m:r>
          </m:e>
          <m:sub>
            <m:r>
              <w:rPr>
                <w:rFonts w:ascii="Cambria Math" w:hAnsi="Cambria Math"/>
              </w:rPr>
              <m:t>a</m:t>
            </m:r>
          </m:sub>
        </m:sSub>
      </m:oMath>
      <w:r>
        <w:t xml:space="preserve"> &lt; </w:t>
      </w:r>
      <m:oMath>
        <m:sSub>
          <m:sSubPr>
            <m:ctrlPr>
              <w:rPr>
                <w:rFonts w:ascii="Cambria Math" w:hAnsi="Cambria Math"/>
              </w:rPr>
            </m:ctrlPr>
          </m:sSubPr>
          <m:e>
            <m:r>
              <w:rPr>
                <w:rFonts w:ascii="Cambria Math" w:hAnsi="Cambria Math"/>
              </w:rPr>
              <m:t>i</m:t>
            </m:r>
          </m:e>
          <m:sub>
            <m:r>
              <w:rPr>
                <w:rFonts w:ascii="Cambria Math" w:hAnsi="Cambria Math"/>
              </w:rPr>
              <m:t>b</m:t>
            </m:r>
          </m:sub>
        </m:sSub>
      </m:oMath>
      <w:r w:rsidR="00891509">
        <w:t>.</w:t>
      </w:r>
    </w:p>
    <w:p w14:paraId="4C197CD6" w14:textId="779942E6" w:rsidR="0085434E" w:rsidRDefault="00A55262" w:rsidP="00A55262">
      <w:pPr>
        <w:pStyle w:val="PARA"/>
      </w:pPr>
      <w:r>
        <w:t>(2) Nếu u(</w:t>
      </w:r>
      <m:oMath>
        <m:sSub>
          <m:sSubPr>
            <m:ctrlPr>
              <w:rPr>
                <w:rFonts w:ascii="Cambria Math" w:hAnsi="Cambria Math"/>
              </w:rPr>
            </m:ctrlPr>
          </m:sSubPr>
          <m:e>
            <m:r>
              <w:rPr>
                <w:rFonts w:ascii="Cambria Math" w:hAnsi="Cambria Math"/>
              </w:rPr>
              <m:t>i</m:t>
            </m:r>
          </m:e>
          <m:sub>
            <m:r>
              <w:rPr>
                <w:rFonts w:ascii="Cambria Math" w:hAnsi="Cambria Math"/>
              </w:rPr>
              <m:t>a</m:t>
            </m:r>
          </m:sub>
        </m:sSub>
      </m:oMath>
      <w:r>
        <w:t>) * u(</w:t>
      </w:r>
      <m:oMath>
        <m:sSub>
          <m:sSubPr>
            <m:ctrlPr>
              <w:rPr>
                <w:rFonts w:ascii="Cambria Math" w:hAnsi="Cambria Math"/>
              </w:rPr>
            </m:ctrlPr>
          </m:sSubPr>
          <m:e>
            <m:r>
              <w:rPr>
                <w:rFonts w:ascii="Cambria Math" w:hAnsi="Cambria Math"/>
              </w:rPr>
              <m:t>i</m:t>
            </m:r>
          </m:e>
          <m:sub>
            <m:r>
              <w:rPr>
                <w:rFonts w:ascii="Cambria Math" w:hAnsi="Cambria Math"/>
              </w:rPr>
              <m:t>b</m:t>
            </m:r>
          </m:sub>
        </m:sSub>
      </m:oMath>
      <w:r>
        <w:t>) &gt;  0 và TWU({</w:t>
      </w:r>
      <m:oMath>
        <m:sSub>
          <m:sSubPr>
            <m:ctrlPr>
              <w:rPr>
                <w:rFonts w:ascii="Cambria Math" w:hAnsi="Cambria Math"/>
              </w:rPr>
            </m:ctrlPr>
          </m:sSubPr>
          <m:e>
            <m:r>
              <w:rPr>
                <w:rFonts w:ascii="Cambria Math" w:hAnsi="Cambria Math"/>
              </w:rPr>
              <m:t>i</m:t>
            </m:r>
          </m:e>
          <m:sub>
            <m:r>
              <w:rPr>
                <w:rFonts w:ascii="Cambria Math" w:hAnsi="Cambria Math"/>
              </w:rPr>
              <m:t>a</m:t>
            </m:r>
          </m:sub>
        </m:sSub>
      </m:oMath>
      <w:r>
        <w:t>}) &lt; TWU({</w:t>
      </w:r>
      <m:oMath>
        <m:sSub>
          <m:sSubPr>
            <m:ctrlPr>
              <w:rPr>
                <w:rFonts w:ascii="Cambria Math" w:hAnsi="Cambria Math"/>
              </w:rPr>
            </m:ctrlPr>
          </m:sSubPr>
          <m:e>
            <m:r>
              <w:rPr>
                <w:rFonts w:ascii="Cambria Math" w:hAnsi="Cambria Math"/>
              </w:rPr>
              <m:t>i</m:t>
            </m:r>
          </m:e>
          <m:sub>
            <m:r>
              <w:rPr>
                <w:rFonts w:ascii="Cambria Math" w:hAnsi="Cambria Math"/>
              </w:rPr>
              <m:t>b</m:t>
            </m:r>
          </m:sub>
        </m:sSub>
      </m:oMath>
      <w:r w:rsidRPr="00A55262">
        <w:t xml:space="preserve"> </w:t>
      </w:r>
      <w:r>
        <w:t xml:space="preserve">}), ta kết luận </w:t>
      </w:r>
      <m:oMath>
        <m:sSub>
          <m:sSubPr>
            <m:ctrlPr>
              <w:rPr>
                <w:rFonts w:ascii="Cambria Math" w:hAnsi="Cambria Math"/>
              </w:rPr>
            </m:ctrlPr>
          </m:sSubPr>
          <m:e>
            <m:r>
              <w:rPr>
                <w:rFonts w:ascii="Cambria Math" w:hAnsi="Cambria Math"/>
              </w:rPr>
              <m:t>i</m:t>
            </m:r>
          </m:e>
          <m:sub>
            <m:r>
              <w:rPr>
                <w:rFonts w:ascii="Cambria Math" w:hAnsi="Cambria Math"/>
              </w:rPr>
              <m:t>a</m:t>
            </m:r>
          </m:sub>
        </m:sSub>
      </m:oMath>
      <w:r>
        <w:t xml:space="preserve"> &lt; </w:t>
      </w:r>
      <m:oMath>
        <m:sSub>
          <m:sSubPr>
            <m:ctrlPr>
              <w:rPr>
                <w:rFonts w:ascii="Cambria Math" w:hAnsi="Cambria Math"/>
              </w:rPr>
            </m:ctrlPr>
          </m:sSubPr>
          <m:e>
            <m:r>
              <w:rPr>
                <w:rFonts w:ascii="Cambria Math" w:hAnsi="Cambria Math"/>
              </w:rPr>
              <m:t>i</m:t>
            </m:r>
          </m:e>
          <m:sub>
            <m:r>
              <w:rPr>
                <w:rFonts w:ascii="Cambria Math" w:hAnsi="Cambria Math"/>
              </w:rPr>
              <m:t>b</m:t>
            </m:r>
          </m:sub>
        </m:sSub>
      </m:oMath>
      <w:r w:rsidR="00891509">
        <w:t>.</w:t>
      </w:r>
    </w:p>
    <w:p w14:paraId="2E9656EE" w14:textId="310A9713" w:rsidR="00A55262" w:rsidRDefault="00A55262" w:rsidP="00A55262">
      <w:pPr>
        <w:pStyle w:val="PARA"/>
      </w:pPr>
      <w:r>
        <w:lastRenderedPageBreak/>
        <w:t>(3) Nếu u(</w:t>
      </w:r>
      <m:oMath>
        <m:sSub>
          <m:sSubPr>
            <m:ctrlPr>
              <w:rPr>
                <w:rFonts w:ascii="Cambria Math" w:hAnsi="Cambria Math"/>
              </w:rPr>
            </m:ctrlPr>
          </m:sSubPr>
          <m:e>
            <m:r>
              <w:rPr>
                <w:rFonts w:ascii="Cambria Math" w:hAnsi="Cambria Math"/>
              </w:rPr>
              <m:t>i</m:t>
            </m:r>
          </m:e>
          <m:sub>
            <m:r>
              <w:rPr>
                <w:rFonts w:ascii="Cambria Math" w:hAnsi="Cambria Math"/>
              </w:rPr>
              <m:t>a</m:t>
            </m:r>
          </m:sub>
        </m:sSub>
      </m:oMath>
      <w:r>
        <w:t>)</w:t>
      </w:r>
      <w:r w:rsidR="00132CC4">
        <w:t xml:space="preserve"> </w:t>
      </w:r>
      <w:r>
        <w:t>*</w:t>
      </w:r>
      <w:r w:rsidR="00132CC4">
        <w:t xml:space="preserve"> </w:t>
      </w:r>
      <w:r>
        <w:t>u(</w:t>
      </w:r>
      <m:oMath>
        <m:sSub>
          <m:sSubPr>
            <m:ctrlPr>
              <w:rPr>
                <w:rFonts w:ascii="Cambria Math" w:hAnsi="Cambria Math"/>
              </w:rPr>
            </m:ctrlPr>
          </m:sSubPr>
          <m:e>
            <m:r>
              <w:rPr>
                <w:rFonts w:ascii="Cambria Math" w:hAnsi="Cambria Math"/>
              </w:rPr>
              <m:t>i</m:t>
            </m:r>
          </m:e>
          <m:sub>
            <m:r>
              <w:rPr>
                <w:rFonts w:ascii="Cambria Math" w:hAnsi="Cambria Math"/>
              </w:rPr>
              <m:t>b</m:t>
            </m:r>
          </m:sub>
        </m:sSub>
      </m:oMath>
      <w:r>
        <w:t>) &gt;  0 và TWU({</w:t>
      </w:r>
      <m:oMath>
        <m:sSub>
          <m:sSubPr>
            <m:ctrlPr>
              <w:rPr>
                <w:rFonts w:ascii="Cambria Math" w:hAnsi="Cambria Math"/>
              </w:rPr>
            </m:ctrlPr>
          </m:sSubPr>
          <m:e>
            <m:r>
              <w:rPr>
                <w:rFonts w:ascii="Cambria Math" w:hAnsi="Cambria Math"/>
              </w:rPr>
              <m:t>i</m:t>
            </m:r>
          </m:e>
          <m:sub>
            <m:r>
              <w:rPr>
                <w:rFonts w:ascii="Cambria Math" w:hAnsi="Cambria Math"/>
              </w:rPr>
              <m:t>a</m:t>
            </m:r>
          </m:sub>
        </m:sSub>
      </m:oMath>
      <w:r>
        <w:t>}) = TWU({</w:t>
      </w:r>
      <m:oMath>
        <m:sSub>
          <m:sSubPr>
            <m:ctrlPr>
              <w:rPr>
                <w:rFonts w:ascii="Cambria Math" w:hAnsi="Cambria Math"/>
              </w:rPr>
            </m:ctrlPr>
          </m:sSubPr>
          <m:e>
            <m:r>
              <w:rPr>
                <w:rFonts w:ascii="Cambria Math" w:hAnsi="Cambria Math"/>
              </w:rPr>
              <m:t>i</m:t>
            </m:r>
          </m:e>
          <m:sub>
            <m:r>
              <w:rPr>
                <w:rFonts w:ascii="Cambria Math" w:hAnsi="Cambria Math"/>
              </w:rPr>
              <m:t>b</m:t>
            </m:r>
          </m:sub>
        </m:sSub>
      </m:oMath>
      <w:r>
        <w:t>}) và u(</w:t>
      </w:r>
      <m:oMath>
        <m:sSub>
          <m:sSubPr>
            <m:ctrlPr>
              <w:rPr>
                <w:rFonts w:ascii="Cambria Math" w:hAnsi="Cambria Math"/>
              </w:rPr>
            </m:ctrlPr>
          </m:sSubPr>
          <m:e>
            <m:r>
              <w:rPr>
                <w:rFonts w:ascii="Cambria Math" w:hAnsi="Cambria Math"/>
              </w:rPr>
              <m:t>i</m:t>
            </m:r>
          </m:e>
          <m:sub>
            <m:r>
              <w:rPr>
                <w:rFonts w:ascii="Cambria Math" w:hAnsi="Cambria Math"/>
              </w:rPr>
              <m:t>a</m:t>
            </m:r>
          </m:sub>
        </m:sSub>
      </m:oMath>
      <w:r>
        <w:t>) &gt; u(</w:t>
      </w:r>
      <m:oMath>
        <m:sSub>
          <m:sSubPr>
            <m:ctrlPr>
              <w:rPr>
                <w:rFonts w:ascii="Cambria Math" w:hAnsi="Cambria Math"/>
              </w:rPr>
            </m:ctrlPr>
          </m:sSubPr>
          <m:e>
            <m:r>
              <w:rPr>
                <w:rFonts w:ascii="Cambria Math" w:hAnsi="Cambria Math"/>
              </w:rPr>
              <m:t>i</m:t>
            </m:r>
          </m:e>
          <m:sub>
            <m:r>
              <w:rPr>
                <w:rFonts w:ascii="Cambria Math" w:hAnsi="Cambria Math"/>
              </w:rPr>
              <m:t>b</m:t>
            </m:r>
          </m:sub>
        </m:sSub>
      </m:oMath>
      <w:r>
        <w:t xml:space="preserve">), ta kết luận </w:t>
      </w:r>
      <m:oMath>
        <m:sSub>
          <m:sSubPr>
            <m:ctrlPr>
              <w:rPr>
                <w:rFonts w:ascii="Cambria Math" w:hAnsi="Cambria Math"/>
              </w:rPr>
            </m:ctrlPr>
          </m:sSubPr>
          <m:e>
            <m:r>
              <w:rPr>
                <w:rFonts w:ascii="Cambria Math" w:hAnsi="Cambria Math"/>
              </w:rPr>
              <m:t>i</m:t>
            </m:r>
          </m:e>
          <m:sub>
            <m:r>
              <w:rPr>
                <w:rFonts w:ascii="Cambria Math" w:hAnsi="Cambria Math"/>
              </w:rPr>
              <m:t>a</m:t>
            </m:r>
          </m:sub>
        </m:sSub>
      </m:oMath>
      <w:r>
        <w:t xml:space="preserve"> &lt; </w:t>
      </w:r>
      <m:oMath>
        <m:sSub>
          <m:sSubPr>
            <m:ctrlPr>
              <w:rPr>
                <w:rFonts w:ascii="Cambria Math" w:hAnsi="Cambria Math"/>
              </w:rPr>
            </m:ctrlPr>
          </m:sSubPr>
          <m:e>
            <m:r>
              <w:rPr>
                <w:rFonts w:ascii="Cambria Math" w:hAnsi="Cambria Math"/>
              </w:rPr>
              <m:t>i</m:t>
            </m:r>
          </m:e>
          <m:sub>
            <m:r>
              <w:rPr>
                <w:rFonts w:ascii="Cambria Math" w:hAnsi="Cambria Math"/>
              </w:rPr>
              <m:t>b</m:t>
            </m:r>
          </m:sub>
        </m:sSub>
      </m:oMath>
      <w:r w:rsidR="00891509">
        <w:t>.</w:t>
      </w:r>
    </w:p>
    <w:p w14:paraId="752B20E9" w14:textId="77777777" w:rsidR="00677FDA" w:rsidRDefault="00677FDA" w:rsidP="00A55262">
      <w:pPr>
        <w:pStyle w:val="PARA"/>
      </w:pPr>
    </w:p>
    <w:p w14:paraId="199690DB" w14:textId="62285F3D" w:rsidR="009C2C79" w:rsidRDefault="00677FDA" w:rsidP="00A55262">
      <w:pPr>
        <w:pStyle w:val="PARA"/>
      </w:pPr>
      <w:r>
        <w:t>Ta cũng có thể mở rộng thứ tự ưu tiên giữa</w:t>
      </w:r>
      <w:r w:rsidR="009C2C79">
        <w:t xml:space="preserve"> hai tập mụ</w:t>
      </w:r>
      <w:r w:rsidR="004B67CA">
        <w:t xml:space="preserve">c </w:t>
      </w:r>
      <m:oMath>
        <m:r>
          <w:rPr>
            <w:rFonts w:ascii="Cambria Math" w:hAnsi="Cambria Math"/>
          </w:rPr>
          <m:t>A</m:t>
        </m:r>
      </m:oMath>
      <w:r w:rsidR="00891509">
        <w:t xml:space="preserve">, </w:t>
      </w:r>
      <m:oMath>
        <m:r>
          <w:rPr>
            <w:rFonts w:ascii="Cambria Math"/>
          </w:rPr>
          <m:t>B</m:t>
        </m:r>
      </m:oMath>
      <w:r>
        <w:t xml:space="preserve"> </w:t>
      </w:r>
    </w:p>
    <w:p w14:paraId="4E1B1529" w14:textId="198B8C6A" w:rsidR="00677FDA" w:rsidRDefault="009C2C79" w:rsidP="00A55262">
      <w:pPr>
        <w:pStyle w:val="PARA"/>
      </w:pPr>
      <w:r>
        <w:t xml:space="preserve">Nếu </w:t>
      </w:r>
      <m:oMath>
        <m:sSub>
          <m:sSubPr>
            <m:ctrlPr>
              <w:rPr>
                <w:rFonts w:ascii="Cambria Math" w:hAnsi="Cambria Math"/>
              </w:rPr>
            </m:ctrlPr>
          </m:sSubPr>
          <m:e>
            <m:r>
              <w:rPr>
                <w:rFonts w:ascii="Cambria Math" w:hAnsi="Cambria Math"/>
              </w:rPr>
              <m:t>i</m:t>
            </m:r>
          </m:e>
          <m:sub>
            <m:r>
              <w:rPr>
                <w:rFonts w:ascii="Cambria Math" w:hAnsi="Cambria Math"/>
              </w:rPr>
              <m:t>a</m:t>
            </m:r>
          </m:sub>
        </m:sSub>
      </m:oMath>
      <w:r>
        <w:t xml:space="preserve"> &lt; </w:t>
      </w:r>
      <m:oMath>
        <m:sSub>
          <m:sSubPr>
            <m:ctrlPr>
              <w:rPr>
                <w:rFonts w:ascii="Cambria Math" w:hAnsi="Cambria Math"/>
              </w:rPr>
            </m:ctrlPr>
          </m:sSubPr>
          <m:e>
            <m:r>
              <w:rPr>
                <w:rFonts w:ascii="Cambria Math" w:hAnsi="Cambria Math"/>
              </w:rPr>
              <m:t>i</m:t>
            </m:r>
          </m:e>
          <m:sub>
            <m:r>
              <w:rPr>
                <w:rFonts w:ascii="Cambria Math" w:hAnsi="Cambria Math"/>
              </w:rPr>
              <m:t>b</m:t>
            </m:r>
          </m:sub>
        </m:sSub>
      </m:oMath>
      <w:r>
        <w:t xml:space="preserve"> (</w:t>
      </w:r>
      <m:oMath>
        <m:r>
          <w:rPr>
            <w:rFonts w:ascii="Cambria Math" w:hAnsi="Cambria Math"/>
          </w:rPr>
          <m:t>∀</m:t>
        </m:r>
        <m:sSub>
          <m:sSubPr>
            <m:ctrlPr>
              <w:rPr>
                <w:rFonts w:ascii="Cambria Math" w:hAnsi="Cambria Math"/>
                <w:i/>
              </w:rPr>
            </m:ctrlPr>
          </m:sSubPr>
          <m:e>
            <m:r>
              <w:rPr>
                <w:rFonts w:ascii="Cambria Math"/>
              </w:rPr>
              <m:t>i</m:t>
            </m:r>
          </m:e>
          <m:sub>
            <m:r>
              <w:rPr>
                <w:rFonts w:ascii="Cambria Math"/>
              </w:rPr>
              <m:t>a</m:t>
            </m:r>
          </m:sub>
        </m:sSub>
        <m:r>
          <w:rPr>
            <w:rFonts w:ascii="Cambria Math" w:hAnsi="Cambria Math" w:cs="Cambria Math"/>
          </w:rPr>
          <m:t>∈</m:t>
        </m:r>
        <m:r>
          <w:rPr>
            <w:rFonts w:ascii="Cambria Math"/>
          </w:rPr>
          <m:t>A</m:t>
        </m:r>
      </m:oMath>
      <w:r>
        <w:t xml:space="preserve"> và </w:t>
      </w:r>
      <m:oMath>
        <m:r>
          <w:rPr>
            <w:rFonts w:ascii="Cambria Math" w:hAnsi="Cambria Math"/>
          </w:rPr>
          <m:t>∀</m:t>
        </m:r>
        <m:sSub>
          <m:sSubPr>
            <m:ctrlPr>
              <w:rPr>
                <w:rFonts w:ascii="Cambria Math" w:hAnsi="Cambria Math"/>
                <w:i/>
              </w:rPr>
            </m:ctrlPr>
          </m:sSubPr>
          <m:e>
            <m:r>
              <w:rPr>
                <w:rFonts w:ascii="Cambria Math"/>
              </w:rPr>
              <m:t>i</m:t>
            </m:r>
          </m:e>
          <m:sub>
            <m:r>
              <w:rPr>
                <w:rFonts w:ascii="Cambria Math"/>
              </w:rPr>
              <m:t>b</m:t>
            </m:r>
          </m:sub>
        </m:sSub>
        <m:r>
          <w:rPr>
            <w:rFonts w:ascii="Cambria Math" w:hAnsi="Cambria Math" w:cs="Cambria Math"/>
          </w:rPr>
          <m:t>∈</m:t>
        </m:r>
        <m:r>
          <w:rPr>
            <w:rFonts w:ascii="Cambria Math"/>
          </w:rPr>
          <m:t>B</m:t>
        </m:r>
      </m:oMath>
      <w:r>
        <w:t xml:space="preserve"> ), ta có thể kết luận </w:t>
      </w:r>
      <m:oMath>
        <m:r>
          <w:rPr>
            <w:rFonts w:ascii="Cambria Math" w:hAnsi="Cambria Math"/>
          </w:rPr>
          <m:t>A</m:t>
        </m:r>
      </m:oMath>
      <w:r>
        <w:t xml:space="preserve"> &lt; </w:t>
      </w:r>
      <m:oMath>
        <m:r>
          <w:rPr>
            <w:rFonts w:ascii="Cambria Math"/>
          </w:rPr>
          <m:t>B</m:t>
        </m:r>
      </m:oMath>
    </w:p>
    <w:p w14:paraId="4F468EF2" w14:textId="77777777" w:rsidR="00932BAC" w:rsidRDefault="00932BAC" w:rsidP="00A55262">
      <w:pPr>
        <w:pStyle w:val="PARA"/>
      </w:pPr>
    </w:p>
    <w:p w14:paraId="3D40A6F7" w14:textId="3C70B565" w:rsidR="002C28F1" w:rsidRDefault="002C28F1" w:rsidP="00A55262">
      <w:pPr>
        <w:pStyle w:val="PARA"/>
      </w:pPr>
      <w:r>
        <w:t>Ví dụ:</w:t>
      </w:r>
    </w:p>
    <w:p w14:paraId="5FF290E4" w14:textId="77777777" w:rsidR="003B012E" w:rsidRDefault="003B012E" w:rsidP="00A55262">
      <w:pPr>
        <w:pStyle w:val="PARA"/>
      </w:pPr>
    </w:p>
    <w:p w14:paraId="3ECAD987" w14:textId="5C356801" w:rsidR="002C28F1" w:rsidRDefault="00932BAC" w:rsidP="002C28F1">
      <w:pPr>
        <w:pStyle w:val="PARA"/>
      </w:pPr>
      <w:r w:rsidRPr="002C28F1">
        <w:rPr>
          <w:b/>
          <w:bCs/>
        </w:rPr>
        <w:t>Định nghĩa 10</w:t>
      </w:r>
      <w:r>
        <w:t xml:space="preserve"> (Remaining Utility): </w:t>
      </w:r>
      <w:r w:rsidR="002C28F1">
        <w:t xml:space="preserve">Cho một cơ sở dữ liệu định lượng không chắc chắn D, một itemset X và một giao dịch không chắc chắn T, nếu như X </w:t>
      </w:r>
      <m:oMath>
        <m:r>
          <w:rPr>
            <w:rFonts w:ascii="Cambria Math" w:hAnsi="Cambria Math"/>
          </w:rPr>
          <m:t>∈</m:t>
        </m:r>
      </m:oMath>
      <w:r w:rsidR="002C28F1">
        <w:t xml:space="preserve"> T, giá trị tiện còn lại (remaining utility) của X trong giao dịch T được tính bởi công thức: </w:t>
      </w:r>
    </w:p>
    <w:p w14:paraId="63C24395" w14:textId="4ED7DB58" w:rsidR="00377CD5" w:rsidRDefault="00377CD5" w:rsidP="00BA6415">
      <w:pPr>
        <w:pStyle w:val="PARA"/>
        <w:numPr>
          <w:ilvl w:val="0"/>
          <w:numId w:val="43"/>
        </w:numPr>
      </w:pPr>
      <w:r>
        <w:t xml:space="preserve">RU(X, T) =  </w:t>
      </w:r>
      <m:oMath>
        <m:nary>
          <m:naryPr>
            <m:chr m:val="∑"/>
            <m:limLoc m:val="subSup"/>
            <m:supHide m:val="1"/>
            <m:ctrlPr>
              <w:rPr>
                <w:rFonts w:ascii="Cambria Math" w:hAnsi="Cambria Math"/>
                <w:i/>
              </w:rPr>
            </m:ctrlPr>
          </m:naryPr>
          <m:sub>
            <m:r>
              <w:rPr>
                <w:rFonts w:ascii="Cambria Math" w:hAnsi="Cambria Math"/>
              </w:rPr>
              <m:t>i ∈ T ∧ i &gt; x ∀x ∈ X ∧ u</m:t>
            </m:r>
            <m:d>
              <m:dPr>
                <m:ctrlPr>
                  <w:rPr>
                    <w:rFonts w:ascii="Cambria Math" w:hAnsi="Cambria Math"/>
                    <w:i/>
                  </w:rPr>
                </m:ctrlPr>
              </m:dPr>
              <m:e>
                <m:r>
                  <w:rPr>
                    <w:rFonts w:ascii="Cambria Math" w:hAnsi="Cambria Math"/>
                  </w:rPr>
                  <m:t>i</m:t>
                </m:r>
              </m:e>
            </m:d>
            <m:r>
              <w:rPr>
                <w:rFonts w:ascii="Cambria Math" w:hAnsi="Cambria Math"/>
              </w:rPr>
              <m:t xml:space="preserve"> &gt; 0  </m:t>
            </m:r>
          </m:sub>
          <m:sup/>
          <m:e>
            <m:r>
              <w:rPr>
                <w:rFonts w:ascii="Cambria Math" w:hAnsi="Cambria Math"/>
              </w:rPr>
              <m:t>(u</m:t>
            </m:r>
            <m:d>
              <m:dPr>
                <m:ctrlPr>
                  <w:rPr>
                    <w:rFonts w:ascii="Cambria Math" w:hAnsi="Cambria Math"/>
                    <w:i/>
                  </w:rPr>
                </m:ctrlPr>
              </m:dPr>
              <m:e>
                <m:r>
                  <m:rPr>
                    <m:sty m:val="p"/>
                  </m:rPr>
                  <w:rPr>
                    <w:rFonts w:ascii="Cambria Math" w:hAnsi="Cambria Math"/>
                  </w:rPr>
                  <m:t>i</m:t>
                </m:r>
              </m:e>
            </m:d>
            <m:r>
              <w:rPr>
                <w:rFonts w:ascii="Cambria Math" w:hAnsi="Cambria Math"/>
              </w:rPr>
              <m:t xml:space="preserve">* </m:t>
            </m:r>
          </m:e>
        </m:nary>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oMath>
    </w:p>
    <w:p w14:paraId="7ADDCE2E" w14:textId="7620CE8F" w:rsidR="009A313B" w:rsidRDefault="009A313B" w:rsidP="009A313B">
      <w:pPr>
        <w:pStyle w:val="PARA"/>
      </w:pPr>
      <w:r>
        <w:t xml:space="preserve">Và giá trị tiện ích còn lại của X trong cơ sở dữ liệu sẽ được tính bởi công thức: </w:t>
      </w:r>
    </w:p>
    <w:p w14:paraId="2A3BA27D" w14:textId="57073770" w:rsidR="009A313B" w:rsidRDefault="009A313B" w:rsidP="00BA6415">
      <w:pPr>
        <w:pStyle w:val="PARA"/>
        <w:numPr>
          <w:ilvl w:val="0"/>
          <w:numId w:val="43"/>
        </w:numPr>
      </w:pPr>
      <w:r>
        <w:t xml:space="preserve">RU(X) = </w:t>
      </w:r>
      <m:oMath>
        <m:nary>
          <m:naryPr>
            <m:chr m:val="∑"/>
            <m:limLoc m:val="subSup"/>
            <m:supHide m:val="1"/>
            <m:ctrlPr>
              <w:rPr>
                <w:rFonts w:ascii="Cambria Math" w:hAnsi="Cambria Math"/>
                <w:i/>
              </w:rPr>
            </m:ctrlPr>
          </m:naryPr>
          <m:sub>
            <m:r>
              <w:rPr>
                <w:rFonts w:ascii="Cambria Math" w:hAnsi="Cambria Math"/>
              </w:rPr>
              <m:t xml:space="preserve">X ⊆ </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 xml:space="preserve"> ⊆ D </m:t>
            </m:r>
          </m:sub>
          <m:sup/>
          <m:e>
            <m:r>
              <w:rPr>
                <w:rFonts w:ascii="Cambria Math" w:hAnsi="Cambria Math"/>
              </w:rPr>
              <m:t xml:space="preserve">RU(X, </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 xml:space="preserve">) </m:t>
            </m:r>
          </m:e>
        </m:nary>
      </m:oMath>
    </w:p>
    <w:p w14:paraId="6382C7F4" w14:textId="0707F38D" w:rsidR="002C28F1" w:rsidRDefault="002C28F1" w:rsidP="00A55262">
      <w:pPr>
        <w:pStyle w:val="PARA"/>
      </w:pPr>
    </w:p>
    <w:p w14:paraId="76588CBD" w14:textId="38126AED" w:rsidR="007C2DFB" w:rsidRDefault="007C2DFB" w:rsidP="00A55262">
      <w:pPr>
        <w:pStyle w:val="PARA"/>
      </w:pPr>
      <w:r>
        <w:t>Ví dụ:</w:t>
      </w:r>
    </w:p>
    <w:p w14:paraId="5F72BE68" w14:textId="15493E4F" w:rsidR="007C2DFB" w:rsidRDefault="007C2DFB" w:rsidP="00A55262">
      <w:pPr>
        <w:pStyle w:val="PARA"/>
      </w:pPr>
    </w:p>
    <w:p w14:paraId="560FE16A" w14:textId="6F24CDB5" w:rsidR="007C2DFB" w:rsidRDefault="007C2DFB" w:rsidP="00A55262">
      <w:pPr>
        <w:pStyle w:val="PARA"/>
      </w:pPr>
      <w:r w:rsidRPr="0098154F">
        <w:rPr>
          <w:b/>
          <w:bCs/>
        </w:rPr>
        <w:t>Chiến lược</w:t>
      </w:r>
      <w:r>
        <w:rPr>
          <w:b/>
          <w:bCs/>
        </w:rPr>
        <w:t xml:space="preserve"> </w:t>
      </w:r>
      <w:r w:rsidR="001320DA">
        <w:rPr>
          <w:b/>
          <w:bCs/>
        </w:rPr>
        <w:t>6</w:t>
      </w:r>
      <w:r>
        <w:t xml:space="preserve"> (Remaining Utility pruning): </w:t>
      </w:r>
      <w:r w:rsidR="009A313B">
        <w:t>Cho một cơ sở dữ liệu định lượng không chắc chắn D</w:t>
      </w:r>
      <w:r w:rsidR="00214DE7">
        <w:t>, một</w:t>
      </w:r>
      <w:r w:rsidR="009A313B">
        <w:t xml:space="preserve"> itemset X, ngưỡng tiện ích tối thiểu minUtil, nếu như </w:t>
      </w:r>
      <w:r w:rsidR="002E1048">
        <w:t>RU(X) + U(X) &lt; minUtil</w:t>
      </w:r>
      <w:r w:rsidR="009A313B">
        <w:t xml:space="preserve">, thì tập mục X </w:t>
      </w:r>
      <w:r w:rsidR="005142CA">
        <w:t>và các phần mở rộng của nó</w:t>
      </w:r>
      <w:r w:rsidR="005142CA">
        <w:t xml:space="preserve"> </w:t>
      </w:r>
      <w:r w:rsidR="009A313B">
        <w:t xml:space="preserve">đều không phải là một mẫu </w:t>
      </w:r>
      <w:r w:rsidR="002E1048">
        <w:t xml:space="preserve">tiện ích </w:t>
      </w:r>
      <w:r w:rsidR="009A313B">
        <w:t>cao</w:t>
      </w:r>
      <w:r>
        <w:t>.</w:t>
      </w:r>
    </w:p>
    <w:p w14:paraId="62606481" w14:textId="77777777" w:rsidR="007C2DFB" w:rsidRDefault="007C2DFB" w:rsidP="00A55262">
      <w:pPr>
        <w:pStyle w:val="PARA"/>
      </w:pPr>
    </w:p>
    <w:p w14:paraId="1F8915A5" w14:textId="7F1862E1" w:rsidR="00BA6415" w:rsidRDefault="00932BAC" w:rsidP="00A55262">
      <w:pPr>
        <w:pStyle w:val="PARA"/>
      </w:pPr>
      <w:r w:rsidRPr="00B21BE5">
        <w:rPr>
          <w:b/>
          <w:bCs/>
        </w:rPr>
        <w:t>Định nghĩa 11</w:t>
      </w:r>
      <w:r>
        <w:t xml:space="preserve"> (</w:t>
      </w:r>
      <w:r w:rsidR="00B21BE5" w:rsidRPr="00B21BE5">
        <w:t>PNU-List</w:t>
      </w:r>
      <w:r>
        <w:t>)</w:t>
      </w:r>
      <w:r w:rsidR="00BA6415">
        <w:t>: Cấu trúc danh mục tiện ích dương và âm của một tập mục X là một tuple gồm hai phần tử (X, utilitty-list)</w:t>
      </w:r>
      <w:r w:rsidR="00EE784A">
        <w:t xml:space="preserve">, </w:t>
      </w:r>
      <w:r w:rsidR="00BA6415">
        <w:t>utilitity-list đại diện cho một</w:t>
      </w:r>
      <w:r w:rsidR="00EE784A">
        <w:t xml:space="preserve"> </w:t>
      </w:r>
      <w:r w:rsidR="00BA6415">
        <w:t>mảng và mỗi phần tử</w:t>
      </w:r>
      <w:r w:rsidR="00EE784A">
        <w:t xml:space="preserve"> trong mảng </w:t>
      </w:r>
      <w:r w:rsidR="00BA6415">
        <w:t>là một 5-tuple (tid, pu, nu, ru, prob)</w:t>
      </w:r>
      <w:r w:rsidR="00EE784A">
        <w:t xml:space="preserve"> với</w:t>
      </w:r>
      <w:r w:rsidR="00BA6415">
        <w:t>:</w:t>
      </w:r>
    </w:p>
    <w:p w14:paraId="6F69FE8B" w14:textId="77777777" w:rsidR="00BA6415" w:rsidRDefault="00BA6415" w:rsidP="00BA6415">
      <w:pPr>
        <w:pStyle w:val="PARA"/>
        <w:numPr>
          <w:ilvl w:val="0"/>
          <w:numId w:val="43"/>
        </w:numPr>
      </w:pPr>
      <w:r>
        <w:t xml:space="preserve">tid là id của giao dịch chứa nó. </w:t>
      </w:r>
    </w:p>
    <w:p w14:paraId="3549BD93" w14:textId="0288CAA3" w:rsidR="00BA6415" w:rsidRDefault="00BA6415" w:rsidP="00BA6415">
      <w:pPr>
        <w:pStyle w:val="PARA"/>
        <w:numPr>
          <w:ilvl w:val="0"/>
          <w:numId w:val="43"/>
        </w:numPr>
      </w:pPr>
      <w:r>
        <w:t>pu là giá trị tiện ích dương</w:t>
      </w:r>
      <w:r w:rsidR="0077382B">
        <w:t>.</w:t>
      </w:r>
      <w:r>
        <w:t xml:space="preserve"> </w:t>
      </w:r>
    </w:p>
    <w:p w14:paraId="7D0F9027" w14:textId="77777777" w:rsidR="00BA6415" w:rsidRDefault="00BA6415" w:rsidP="00BA6415">
      <w:pPr>
        <w:pStyle w:val="PARA"/>
        <w:numPr>
          <w:ilvl w:val="0"/>
          <w:numId w:val="43"/>
        </w:numPr>
      </w:pPr>
      <w:r>
        <w:t xml:space="preserve">nu là giá trị tiện ích âm. </w:t>
      </w:r>
    </w:p>
    <w:p w14:paraId="2BCDA759" w14:textId="77777777" w:rsidR="00BA6415" w:rsidRDefault="00BA6415" w:rsidP="00BA6415">
      <w:pPr>
        <w:pStyle w:val="PARA"/>
        <w:numPr>
          <w:ilvl w:val="0"/>
          <w:numId w:val="43"/>
        </w:numPr>
      </w:pPr>
      <w:r>
        <w:t>ru là giá trị tiện ích còn lại.</w:t>
      </w:r>
    </w:p>
    <w:p w14:paraId="744806F7" w14:textId="0B99CD76" w:rsidR="00932BAC" w:rsidRDefault="00BA6415" w:rsidP="00BA6415">
      <w:pPr>
        <w:pStyle w:val="PARA"/>
        <w:numPr>
          <w:ilvl w:val="0"/>
          <w:numId w:val="43"/>
        </w:numPr>
      </w:pPr>
      <w:r>
        <w:t>prob là giá trị xác xuất trong giao dịch đó.</w:t>
      </w:r>
    </w:p>
    <w:p w14:paraId="7BA69220" w14:textId="77777777" w:rsidR="002260D2" w:rsidRDefault="002260D2" w:rsidP="002260D2">
      <w:pPr>
        <w:pStyle w:val="PARA"/>
      </w:pPr>
    </w:p>
    <w:p w14:paraId="0EDFBFCD" w14:textId="52BBD638" w:rsidR="002260D2" w:rsidRDefault="002260D2" w:rsidP="002260D2">
      <w:pPr>
        <w:pStyle w:val="PARA"/>
      </w:pPr>
      <w:r>
        <w:t xml:space="preserve">Ví dụ: </w:t>
      </w:r>
    </w:p>
    <w:p w14:paraId="2742ABAB" w14:textId="77777777" w:rsidR="00BA6415" w:rsidRDefault="00BA6415" w:rsidP="00A55262">
      <w:pPr>
        <w:pStyle w:val="PARA"/>
        <w:rPr>
          <w:b/>
          <w:bCs/>
        </w:rPr>
      </w:pPr>
    </w:p>
    <w:p w14:paraId="6CF1B4BB" w14:textId="35508D15" w:rsidR="00932BAC" w:rsidRDefault="00932BAC" w:rsidP="00A55262">
      <w:pPr>
        <w:pStyle w:val="PARA"/>
      </w:pPr>
      <w:r w:rsidRPr="00B21BE5">
        <w:rPr>
          <w:b/>
          <w:bCs/>
        </w:rPr>
        <w:t>Định nghĩa 12</w:t>
      </w:r>
      <w:r>
        <w:t xml:space="preserve"> (</w:t>
      </w:r>
      <w:r w:rsidR="00B21BE5">
        <w:t>MList</w:t>
      </w:r>
      <w:r>
        <w:t>)</w:t>
      </w:r>
      <w:r w:rsidR="0053659A">
        <w:t xml:space="preserve">: Cấu trúc MList là một cấu trúc được cải tiến từ cấu trúc PNU-List là một </w:t>
      </w:r>
      <w:r w:rsidR="00A01627">
        <w:t>6</w:t>
      </w:r>
      <w:r w:rsidR="0053659A">
        <w:t xml:space="preserve">-tuple </w:t>
      </w:r>
      <w:r w:rsidR="00311956">
        <w:t>được tạo bởi</w:t>
      </w:r>
      <w:r w:rsidR="0053659A">
        <w:t xml:space="preserve"> các thành phần (X, X’, X’-PNUList, </w:t>
      </w:r>
      <w:r w:rsidR="00742984">
        <w:t>P</w:t>
      </w:r>
      <w:r w:rsidR="0053659A">
        <w:t>refix-X’</w:t>
      </w:r>
      <w:r w:rsidR="0077382B">
        <w:t>, pu, ru</w:t>
      </w:r>
      <w:r w:rsidR="0053659A">
        <w:t>) với:</w:t>
      </w:r>
    </w:p>
    <w:p w14:paraId="0F20561B" w14:textId="50441C04" w:rsidR="0053659A" w:rsidRDefault="0053659A" w:rsidP="0053659A">
      <w:pPr>
        <w:pStyle w:val="PARA"/>
        <w:numPr>
          <w:ilvl w:val="0"/>
          <w:numId w:val="43"/>
        </w:numPr>
      </w:pPr>
      <w:r>
        <w:t>X là tập mục được tạo thành.</w:t>
      </w:r>
    </w:p>
    <w:p w14:paraId="3AE3BC17" w14:textId="3DDDC819" w:rsidR="0053659A" w:rsidRDefault="0053659A" w:rsidP="0053659A">
      <w:pPr>
        <w:pStyle w:val="PARA"/>
        <w:numPr>
          <w:ilvl w:val="0"/>
          <w:numId w:val="43"/>
        </w:numPr>
      </w:pPr>
      <w:r>
        <w:t xml:space="preserve">X’ là một tập con của X và </w:t>
      </w:r>
      <w:r w:rsidRPr="0053659A">
        <w:t>đại diện cho tập mục thực</w:t>
      </w:r>
      <w:r w:rsidR="00742984">
        <w:t xml:space="preserve"> sự</w:t>
      </w:r>
      <w:r w:rsidRPr="0053659A">
        <w:t xml:space="preserve"> được lưu trữ trong Mlist</w:t>
      </w:r>
      <w:r>
        <w:t>.</w:t>
      </w:r>
    </w:p>
    <w:p w14:paraId="0DF82BB1" w14:textId="191C6F32" w:rsidR="0053659A" w:rsidRDefault="0053659A" w:rsidP="0053659A">
      <w:pPr>
        <w:pStyle w:val="PARA"/>
        <w:numPr>
          <w:ilvl w:val="0"/>
          <w:numId w:val="43"/>
        </w:numPr>
      </w:pPr>
      <w:r>
        <w:t>X’-PNUList là cấu trúc PNUList của</w:t>
      </w:r>
      <w:r w:rsidR="00742984">
        <w:t xml:space="preserve"> tập mục</w:t>
      </w:r>
      <w:r>
        <w:t xml:space="preserve"> X’.</w:t>
      </w:r>
    </w:p>
    <w:p w14:paraId="25A88BB9" w14:textId="72E29978" w:rsidR="0053659A" w:rsidRDefault="0053659A" w:rsidP="0053659A">
      <w:pPr>
        <w:pStyle w:val="PARA"/>
        <w:numPr>
          <w:ilvl w:val="0"/>
          <w:numId w:val="43"/>
        </w:numPr>
      </w:pPr>
      <w:r>
        <w:t>Prefix-X’ là tập mục tiền tố của X’</w:t>
      </w:r>
      <w:r w:rsidR="00742984">
        <w:t>.</w:t>
      </w:r>
    </w:p>
    <w:p w14:paraId="2E4F535C" w14:textId="343DCB63" w:rsidR="0077382B" w:rsidRDefault="0077382B" w:rsidP="0053659A">
      <w:pPr>
        <w:pStyle w:val="PARA"/>
        <w:numPr>
          <w:ilvl w:val="0"/>
          <w:numId w:val="43"/>
        </w:numPr>
      </w:pPr>
      <w:r>
        <w:t>pu là giá trị tiện ích dương.</w:t>
      </w:r>
    </w:p>
    <w:p w14:paraId="05B57132" w14:textId="62A299DE" w:rsidR="0077382B" w:rsidRDefault="0077382B" w:rsidP="0053659A">
      <w:pPr>
        <w:pStyle w:val="PARA"/>
        <w:numPr>
          <w:ilvl w:val="0"/>
          <w:numId w:val="43"/>
        </w:numPr>
      </w:pPr>
      <w:r>
        <w:t>r</w:t>
      </w:r>
      <w:r>
        <w:t xml:space="preserve">u là giá trị tiện ích </w:t>
      </w:r>
      <w:r>
        <w:t>còn lại</w:t>
      </w:r>
      <w:r>
        <w:t>.</w:t>
      </w:r>
    </w:p>
    <w:p w14:paraId="64647529" w14:textId="77777777" w:rsidR="002260D2" w:rsidRDefault="002260D2" w:rsidP="002260D2">
      <w:pPr>
        <w:pStyle w:val="PARA"/>
      </w:pPr>
    </w:p>
    <w:p w14:paraId="0CBECD0E" w14:textId="4C21A735" w:rsidR="002260D2" w:rsidRDefault="002260D2" w:rsidP="002260D2">
      <w:pPr>
        <w:pStyle w:val="PARA"/>
      </w:pPr>
      <w:r>
        <w:t xml:space="preserve">Ví dụ: </w:t>
      </w:r>
    </w:p>
    <w:p w14:paraId="5471242C" w14:textId="77777777" w:rsidR="00742984" w:rsidRDefault="00742984" w:rsidP="00742984">
      <w:pPr>
        <w:pStyle w:val="PARA"/>
        <w:ind w:left="360"/>
      </w:pPr>
    </w:p>
    <w:p w14:paraId="02664202" w14:textId="6DF6F400" w:rsidR="007E0A83" w:rsidRDefault="00B21BE5" w:rsidP="00B21BE5">
      <w:pPr>
        <w:pStyle w:val="PARA"/>
      </w:pPr>
      <w:r>
        <w:rPr>
          <w:b/>
          <w:bCs/>
        </w:rPr>
        <w:t>Đ</w:t>
      </w:r>
      <w:r w:rsidRPr="00B21BE5">
        <w:rPr>
          <w:b/>
          <w:bCs/>
        </w:rPr>
        <w:t>ịnh nghĩa 1</w:t>
      </w:r>
      <w:r>
        <w:rPr>
          <w:b/>
          <w:bCs/>
        </w:rPr>
        <w:t>3</w:t>
      </w:r>
      <w:r>
        <w:t xml:space="preserve"> (</w:t>
      </w:r>
      <w:r>
        <w:t>Dynamic Upper Bound</w:t>
      </w:r>
      <w:r>
        <w:t>)</w:t>
      </w:r>
      <w:r w:rsidR="00742984">
        <w:t>: Cho hai tập mục X và Y có cùng bậc trong</w:t>
      </w:r>
      <w:r w:rsidR="0004364F">
        <w:t xml:space="preserve"> một</w:t>
      </w:r>
      <w:r w:rsidR="00742984">
        <w:t xml:space="preserve"> cây liệt kê</w:t>
      </w:r>
      <w:r w:rsidR="0004364F">
        <w:t xml:space="preserve"> (</w:t>
      </w:r>
      <w:r w:rsidR="0004364F" w:rsidRPr="0004364F">
        <w:t>Enumeration tree</w:t>
      </w:r>
      <w:r w:rsidR="0004364F">
        <w:t xml:space="preserve">) và X là tập mục sắp được mở rộng và </w:t>
      </w:r>
      <m:oMath>
        <m:r>
          <w:rPr>
            <w:rFonts w:ascii="Cambria Math" w:hAnsi="Cambria Math"/>
          </w:rPr>
          <m:t>Y</m:t>
        </m:r>
      </m:oMath>
      <w:r w:rsidR="0004364F">
        <w:t xml:space="preserve"> &gt; </w:t>
      </w:r>
      <m:oMath>
        <m:r>
          <w:rPr>
            <w:rFonts w:ascii="Cambria Math" w:hAnsi="Cambria Math"/>
          </w:rPr>
          <m:t>X</m:t>
        </m:r>
      </m:oMath>
      <w:r w:rsidR="0004364F">
        <w:t xml:space="preserve"> (có độ ưu tiên thấp </w:t>
      </w:r>
      <w:r w:rsidR="0004364F">
        <w:t xml:space="preserve">hơn). Khi đó ta có thể viết lại: </w:t>
      </w:r>
      <m:oMath>
        <m:r>
          <w:rPr>
            <w:rFonts w:ascii="Cambria Math" w:hAnsi="Cambria Math"/>
          </w:rPr>
          <m:t>X</m:t>
        </m:r>
      </m:oMath>
      <w:r w:rsidR="0004364F">
        <w:t xml:space="preserve"> = </w:t>
      </w:r>
      <m:oMath>
        <m:acc>
          <m:accPr>
            <m:chr m:val="̃"/>
            <m:ctrlPr>
              <w:rPr>
                <w:rFonts w:ascii="Cambria Math" w:hAnsi="Cambria Math"/>
                <w:i/>
              </w:rPr>
            </m:ctrlPr>
          </m:accPr>
          <m:e>
            <m:r>
              <w:rPr>
                <w:rFonts w:ascii="Cambria Math" w:hAnsi="Cambria Math"/>
              </w:rPr>
              <m:t>X</m:t>
            </m:r>
          </m:e>
        </m:acc>
        <m:r>
          <w:rPr>
            <w:rFonts w:ascii="Cambria Math" w:hAnsi="Cambria Math"/>
          </w:rPr>
          <m:t>∪x</m:t>
        </m:r>
      </m:oMath>
      <w:r w:rsidR="00E06451">
        <w:t xml:space="preserve">,  </w:t>
      </w:r>
      <m:oMath>
        <m:r>
          <w:rPr>
            <w:rFonts w:ascii="Cambria Math" w:hAnsi="Cambria Math"/>
          </w:rPr>
          <m:t>Y</m:t>
        </m:r>
      </m:oMath>
      <w:r w:rsidR="00E06451">
        <w:t xml:space="preserve"> = </w:t>
      </w:r>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y</m:t>
        </m:r>
      </m:oMath>
      <w:r w:rsidR="006378F1">
        <w:t xml:space="preserve"> v</w:t>
      </w:r>
      <w:r w:rsidR="007E0A83">
        <w:t>ới</w:t>
      </w:r>
      <w:r w:rsidR="006378F1">
        <w:t xml:space="preserve"> </w:t>
      </w:r>
      <m:oMath>
        <m:r>
          <w:rPr>
            <w:rFonts w:ascii="Cambria Math" w:hAnsi="Cambria Math"/>
          </w:rPr>
          <m:t>x</m:t>
        </m:r>
      </m:oMath>
      <w:r w:rsidR="006378F1">
        <w:t xml:space="preserve">, </w:t>
      </w:r>
      <m:oMath>
        <m:r>
          <w:rPr>
            <w:rFonts w:ascii="Cambria Math" w:hAnsi="Cambria Math"/>
          </w:rPr>
          <m:t>y</m:t>
        </m:r>
      </m:oMath>
      <w:r w:rsidR="006378F1">
        <w:t xml:space="preserve"> là hai item có trong tập </w:t>
      </w:r>
      <m:oMath>
        <m:r>
          <w:rPr>
            <w:rFonts w:ascii="Cambria Math" w:hAnsi="Cambria Math"/>
          </w:rPr>
          <m:t>I</m:t>
        </m:r>
      </m:oMath>
      <w:r w:rsidR="007E0A83">
        <w:t xml:space="preserve">. </w:t>
      </w:r>
    </w:p>
    <w:p w14:paraId="1180F485" w14:textId="05A0D7FA" w:rsidR="007E0A83" w:rsidRDefault="007E0A83" w:rsidP="00B21BE5">
      <w:pPr>
        <w:pStyle w:val="PARA"/>
      </w:pPr>
      <w:r>
        <w:t xml:space="preserve">Nếu tập mục </w:t>
      </w:r>
      <m:oMath>
        <m:r>
          <w:rPr>
            <w:rFonts w:ascii="Cambria Math" w:hAnsi="Cambria Math"/>
          </w:rPr>
          <m:t>Y</m:t>
        </m:r>
      </m:oMath>
      <w:r>
        <w:t xml:space="preserve"> được tạo bởi PNUList (định nghĩa 11):</w:t>
      </w:r>
    </w:p>
    <w:p w14:paraId="7FAE5C01" w14:textId="56668B52" w:rsidR="007E0A83" w:rsidRDefault="007E0A83" w:rsidP="00902DFE">
      <w:pPr>
        <w:pStyle w:val="PARA"/>
        <w:numPr>
          <w:ilvl w:val="0"/>
          <w:numId w:val="43"/>
        </w:numPr>
      </w:pPr>
      <w:r>
        <w:t>DU(</w:t>
      </w:r>
      <m:oMath>
        <m:r>
          <w:rPr>
            <w:rFonts w:ascii="Cambria Math" w:hAnsi="Cambria Math"/>
          </w:rPr>
          <m:t>Y</m:t>
        </m:r>
      </m:oMath>
      <w:r>
        <w:t xml:space="preserve">, </w:t>
      </w:r>
      <m:oMath>
        <m:r>
          <w:rPr>
            <w:rFonts w:ascii="Cambria Math" w:hAnsi="Cambria Math"/>
          </w:rPr>
          <m:t>X</m:t>
        </m:r>
      </m:oMath>
      <w:r>
        <w:t xml:space="preserve">) </w:t>
      </w:r>
      <w:r>
        <w:t xml:space="preserve">= </w:t>
      </w:r>
      <w:r w:rsidRPr="007E0A83">
        <w:t>RU(Y)</w:t>
      </w:r>
      <w:r>
        <w:t xml:space="preserve"> </w:t>
      </w:r>
      <w:r w:rsidRPr="007E0A83">
        <w:t>+</w:t>
      </w:r>
      <w:r>
        <w:t xml:space="preserve"> </w:t>
      </w:r>
      <w:r w:rsidRPr="007E0A83">
        <w:t>PU(Y)</w:t>
      </w:r>
      <w:r>
        <w:t xml:space="preserve"> </w:t>
      </w:r>
      <w:r w:rsidRPr="007E0A83">
        <w:t>+</w:t>
      </w:r>
      <w:r>
        <w:t xml:space="preserve"> </w:t>
      </w:r>
      <w:r w:rsidRPr="007E0A83">
        <w:t>PU(x),</w:t>
      </w:r>
    </w:p>
    <w:p w14:paraId="292A22F3" w14:textId="36C90C20" w:rsidR="007E0A83" w:rsidRDefault="007E0A83" w:rsidP="00B21BE5">
      <w:pPr>
        <w:pStyle w:val="PARA"/>
      </w:pPr>
      <w:r>
        <w:t xml:space="preserve">Nếu tập mục </w:t>
      </w:r>
      <m:oMath>
        <m:r>
          <w:rPr>
            <w:rFonts w:ascii="Cambria Math" w:hAnsi="Cambria Math"/>
          </w:rPr>
          <m:t>Y</m:t>
        </m:r>
      </m:oMath>
      <w:r>
        <w:t xml:space="preserve"> được tạo bởi </w:t>
      </w:r>
      <w:r>
        <w:t>M</w:t>
      </w:r>
      <w:r>
        <w:t>List (định nghĩa 1</w:t>
      </w:r>
      <w:r>
        <w:t>2</w:t>
      </w:r>
      <w:r>
        <w:t>):</w:t>
      </w:r>
    </w:p>
    <w:p w14:paraId="75A7B94B" w14:textId="6E487F6F" w:rsidR="007E0A83" w:rsidRDefault="007E0A83" w:rsidP="00902DFE">
      <w:pPr>
        <w:pStyle w:val="PARA"/>
        <w:numPr>
          <w:ilvl w:val="0"/>
          <w:numId w:val="43"/>
        </w:numPr>
      </w:pPr>
      <w:r>
        <w:t>DU(</w:t>
      </w:r>
      <m:oMath>
        <m:r>
          <w:rPr>
            <w:rFonts w:ascii="Cambria Math" w:hAnsi="Cambria Math"/>
          </w:rPr>
          <m:t>Y</m:t>
        </m:r>
      </m:oMath>
      <w:r>
        <w:t xml:space="preserve">, </w:t>
      </w:r>
      <m:oMath>
        <m:r>
          <w:rPr>
            <w:rFonts w:ascii="Cambria Math" w:hAnsi="Cambria Math"/>
          </w:rPr>
          <m:t>X</m:t>
        </m:r>
      </m:oMath>
      <w:r>
        <w:t xml:space="preserve">) = </w:t>
      </w:r>
      <w:r w:rsidRPr="007E0A83">
        <w:t>RU(Y-Mlist)</w:t>
      </w:r>
      <w:r>
        <w:t xml:space="preserve"> </w:t>
      </w:r>
      <w:r w:rsidRPr="007E0A83">
        <w:t>+</w:t>
      </w:r>
      <w:r>
        <w:t xml:space="preserve"> </w:t>
      </w:r>
      <w:r w:rsidRPr="007E0A83">
        <w:t>PU(Y-Mlist)</w:t>
      </w:r>
      <w:r>
        <w:t xml:space="preserve"> </w:t>
      </w:r>
      <w:r w:rsidRPr="007E0A83">
        <w:t>+</w:t>
      </w:r>
      <w:r>
        <w:t xml:space="preserve"> </w:t>
      </w:r>
      <w:r w:rsidRPr="007E0A83">
        <w:t>PU(x).</w:t>
      </w:r>
    </w:p>
    <w:p w14:paraId="7BEB871B" w14:textId="77777777" w:rsidR="007E0A83" w:rsidRDefault="007E0A83" w:rsidP="00B21BE5">
      <w:pPr>
        <w:pStyle w:val="PARA"/>
      </w:pPr>
    </w:p>
    <w:p w14:paraId="6EE2501B" w14:textId="69FE1FAA" w:rsidR="00B21BE5" w:rsidRDefault="00B21BE5" w:rsidP="00A55262">
      <w:pPr>
        <w:pStyle w:val="PARA"/>
      </w:pPr>
      <w:r w:rsidRPr="0098154F">
        <w:rPr>
          <w:b/>
          <w:bCs/>
        </w:rPr>
        <w:t>Chiến lược</w:t>
      </w:r>
      <w:r>
        <w:rPr>
          <w:b/>
          <w:bCs/>
        </w:rPr>
        <w:t xml:space="preserve"> </w:t>
      </w:r>
      <w:r>
        <w:rPr>
          <w:b/>
          <w:bCs/>
        </w:rPr>
        <w:t>7</w:t>
      </w:r>
      <w:r>
        <w:t xml:space="preserve"> (Dynamic Upper</w:t>
      </w:r>
      <w:r>
        <w:t xml:space="preserve"> </w:t>
      </w:r>
      <w:r>
        <w:t>Bound pruning):</w:t>
      </w:r>
      <w:r w:rsidR="008579D6">
        <w:t xml:space="preserve"> </w:t>
      </w:r>
      <w:r w:rsidR="008579D6">
        <w:t>Cho hai tập mục X và Y có cùng bậc trong một cây liệt kê (</w:t>
      </w:r>
      <w:r w:rsidR="008579D6" w:rsidRPr="0004364F">
        <w:t>Enumeration tree</w:t>
      </w:r>
      <w:r w:rsidR="008579D6">
        <w:t>)</w:t>
      </w:r>
      <w:r w:rsidR="00930E2F">
        <w:t xml:space="preserve">, </w:t>
      </w:r>
      <w:r w:rsidR="008579D6">
        <w:t xml:space="preserve">X là tập mục sắp được mở rộng và </w:t>
      </w:r>
      <m:oMath>
        <m:r>
          <w:rPr>
            <w:rFonts w:ascii="Cambria Math" w:hAnsi="Cambria Math"/>
          </w:rPr>
          <m:t>Y</m:t>
        </m:r>
      </m:oMath>
      <w:r w:rsidR="008579D6">
        <w:t xml:space="preserve"> &gt; </w:t>
      </w:r>
      <m:oMath>
        <m:r>
          <w:rPr>
            <w:rFonts w:ascii="Cambria Math" w:hAnsi="Cambria Math"/>
          </w:rPr>
          <m:t>X</m:t>
        </m:r>
      </m:oMath>
      <w:r w:rsidR="008579D6">
        <w:t xml:space="preserve"> (có độ ưu tiên thấp hơn).</w:t>
      </w:r>
      <w:r w:rsidR="008579D6">
        <w:t xml:space="preserve"> </w:t>
      </w:r>
    </w:p>
    <w:p w14:paraId="6C738C0D" w14:textId="7D5E98E0" w:rsidR="004B6902" w:rsidRDefault="004B6902" w:rsidP="00B40919">
      <w:pPr>
        <w:pStyle w:val="PARA"/>
        <w:numPr>
          <w:ilvl w:val="0"/>
          <w:numId w:val="43"/>
        </w:numPr>
      </w:pPr>
      <w:r>
        <w:t>Nếu</w:t>
      </w:r>
      <w:r w:rsidR="00B6762B">
        <w:t xml:space="preserve"> DU</w:t>
      </w:r>
      <w:r>
        <w:t>(</w:t>
      </w:r>
      <m:oMath>
        <m:r>
          <w:rPr>
            <w:rFonts w:ascii="Cambria Math" w:hAnsi="Cambria Math"/>
          </w:rPr>
          <m:t>Y</m:t>
        </m:r>
      </m:oMath>
      <w:r>
        <w:t xml:space="preserve">, </w:t>
      </w:r>
      <m:oMath>
        <m:r>
          <w:rPr>
            <w:rFonts w:ascii="Cambria Math" w:hAnsi="Cambria Math"/>
          </w:rPr>
          <m:t>X</m:t>
        </m:r>
      </m:oMath>
      <w:r>
        <w:t>)</w:t>
      </w:r>
      <w:r>
        <w:t xml:space="preserve"> &lt; minUtil thì ta không c</w:t>
      </w:r>
      <w:r w:rsidR="00B40919">
        <w:t>ần tạo ra ứng viên</w:t>
      </w:r>
      <w:r>
        <w:t xml:space="preserve"> </w:t>
      </w:r>
      <m:oMath>
        <m:r>
          <w:rPr>
            <w:rFonts w:ascii="Cambria Math" w:hAnsi="Cambria Math"/>
          </w:rPr>
          <m:t>X</m:t>
        </m:r>
        <m:r>
          <w:rPr>
            <w:rFonts w:ascii="Cambria Math" w:hAnsi="Cambria Math"/>
          </w:rPr>
          <m:t>∪</m:t>
        </m:r>
        <m:r>
          <w:rPr>
            <w:rFonts w:ascii="Cambria Math" w:hAnsi="Cambria Math"/>
          </w:rPr>
          <m:t>Y</m:t>
        </m:r>
      </m:oMath>
      <w:r w:rsidR="00B40919">
        <w:t>.</w:t>
      </w:r>
      <w:r>
        <w:t xml:space="preserve"> </w:t>
      </w:r>
    </w:p>
    <w:p w14:paraId="007F93B6" w14:textId="69D0F728" w:rsidR="00B40919" w:rsidRDefault="00B40919" w:rsidP="00B40919">
      <w:pPr>
        <w:pStyle w:val="PARA"/>
        <w:numPr>
          <w:ilvl w:val="0"/>
          <w:numId w:val="43"/>
        </w:numPr>
      </w:pPr>
      <w:r>
        <w:t>Nếu Y được tạo bởi cấu trúc PNUList và Y có tập mục prefix là</w:t>
      </w:r>
      <w:r w:rsidRPr="00B40919">
        <w:rPr>
          <w:rFonts w:ascii="Cambria Math" w:hAnsi="Cambria Math"/>
          <w:i/>
        </w:rPr>
        <w:t xml:space="preserve"> </w:t>
      </w:r>
      <m:oMath>
        <m:acc>
          <m:accPr>
            <m:chr m:val="̃"/>
            <m:ctrlPr>
              <w:rPr>
                <w:rFonts w:ascii="Cambria Math" w:hAnsi="Cambria Math"/>
                <w:i/>
              </w:rPr>
            </m:ctrlPr>
          </m:accPr>
          <m:e>
            <m:r>
              <w:rPr>
                <w:rFonts w:ascii="Cambria Math" w:hAnsi="Cambria Math"/>
              </w:rPr>
              <m:t>Y</m:t>
            </m:r>
          </m:e>
        </m:acc>
      </m:oMath>
      <w:r>
        <w:t xml:space="preserve"> thì ta sẽ khởi tạo cấu trúc Mlis</w:t>
      </w:r>
      <w:r w:rsidR="00930E2F">
        <w:t>t như sau:</w:t>
      </w:r>
      <w:r>
        <w:t xml:space="preserve"> MList(</w:t>
      </w:r>
      <m:oMath>
        <m:r>
          <w:rPr>
            <w:rFonts w:ascii="Cambria Math" w:hAnsi="Cambria Math"/>
          </w:rPr>
          <m:t>X</m:t>
        </m:r>
        <m:r>
          <w:rPr>
            <w:rFonts w:ascii="Cambria Math" w:hAnsi="Cambria Math"/>
          </w:rPr>
          <m:t>∪Y</m:t>
        </m:r>
      </m:oMath>
      <w:r>
        <w:t xml:space="preserve">, Y, Y-PNUList, </w:t>
      </w:r>
      <m:oMath>
        <m:acc>
          <m:accPr>
            <m:chr m:val="̃"/>
            <m:ctrlPr>
              <w:rPr>
                <w:rFonts w:ascii="Cambria Math" w:hAnsi="Cambria Math"/>
                <w:i/>
              </w:rPr>
            </m:ctrlPr>
          </m:accPr>
          <m:e>
            <m:r>
              <w:rPr>
                <w:rFonts w:ascii="Cambria Math" w:hAnsi="Cambria Math"/>
              </w:rPr>
              <m:t>Y</m:t>
            </m:r>
          </m:e>
        </m:acc>
      </m:oMath>
      <w:r>
        <w:t>-PNUList)</w:t>
      </w:r>
    </w:p>
    <w:p w14:paraId="2973AF66" w14:textId="54D0C1E4" w:rsidR="00B40919" w:rsidRDefault="00B40919" w:rsidP="00B40919">
      <w:pPr>
        <w:pStyle w:val="PARA"/>
        <w:numPr>
          <w:ilvl w:val="0"/>
          <w:numId w:val="43"/>
        </w:numPr>
      </w:pPr>
      <w:r>
        <w:t>Nếu Y được tạo bởi cấu trúc MList(</w:t>
      </w:r>
      <w:r w:rsidR="00930E2F">
        <w:t xml:space="preserve">Y, Y’, Y’-PNUList, </w:t>
      </w:r>
      <m:oMath>
        <m:acc>
          <m:accPr>
            <m:chr m:val="̃"/>
            <m:ctrlPr>
              <w:rPr>
                <w:rFonts w:ascii="Cambria Math" w:hAnsi="Cambria Math"/>
                <w:i/>
              </w:rPr>
            </m:ctrlPr>
          </m:accPr>
          <m:e>
            <m:r>
              <w:rPr>
                <w:rFonts w:ascii="Cambria Math" w:hAnsi="Cambria Math"/>
              </w:rPr>
              <m:t>Y</m:t>
            </m:r>
          </m:e>
        </m:acc>
        <m:r>
          <w:rPr>
            <w:rFonts w:ascii="Cambria Math" w:hAnsi="Cambria Math"/>
          </w:rPr>
          <m:t>'</m:t>
        </m:r>
      </m:oMath>
      <w:r w:rsidR="00930E2F">
        <w:t>-PNUList</w:t>
      </w:r>
      <w:r>
        <w:t>)</w:t>
      </w:r>
      <w:r w:rsidR="00930E2F">
        <w:t xml:space="preserve"> thì ta sẽ khởi tạo cấu trúc MList như sau: MList(</w:t>
      </w:r>
      <m:oMath>
        <m:r>
          <w:rPr>
            <w:rFonts w:ascii="Cambria Math" w:hAnsi="Cambria Math"/>
          </w:rPr>
          <m:t>X</m:t>
        </m:r>
        <m:r>
          <w:rPr>
            <w:rFonts w:ascii="Cambria Math" w:hAnsi="Cambria Math"/>
          </w:rPr>
          <m:t>∪Y</m:t>
        </m:r>
      </m:oMath>
      <w:r w:rsidR="00930E2F">
        <w:t>,</w:t>
      </w:r>
      <w:r w:rsidR="00930E2F" w:rsidRPr="00930E2F">
        <w:t xml:space="preserve"> </w:t>
      </w:r>
      <w:r w:rsidR="00930E2F">
        <w:t xml:space="preserve">Y’, Y’-PNUList, </w:t>
      </w:r>
      <m:oMath>
        <m:acc>
          <m:accPr>
            <m:chr m:val="̃"/>
            <m:ctrlPr>
              <w:rPr>
                <w:rFonts w:ascii="Cambria Math" w:hAnsi="Cambria Math"/>
                <w:i/>
              </w:rPr>
            </m:ctrlPr>
          </m:accPr>
          <m:e>
            <m:r>
              <w:rPr>
                <w:rFonts w:ascii="Cambria Math" w:hAnsi="Cambria Math"/>
              </w:rPr>
              <m:t>Y</m:t>
            </m:r>
          </m:e>
        </m:acc>
        <m:r>
          <w:rPr>
            <w:rFonts w:ascii="Cambria Math" w:hAnsi="Cambria Math"/>
          </w:rPr>
          <m:t>'</m:t>
        </m:r>
      </m:oMath>
      <w:r w:rsidR="00930E2F">
        <w:t>-PNUList</w:t>
      </w:r>
      <w:r w:rsidR="00930E2F">
        <w:t xml:space="preserve"> )</w:t>
      </w:r>
    </w:p>
    <w:p w14:paraId="5680C89A" w14:textId="77777777" w:rsidR="001D7A59" w:rsidRDefault="001D7A59" w:rsidP="001D7A59">
      <w:pPr>
        <w:pStyle w:val="PARA"/>
      </w:pPr>
    </w:p>
    <w:p w14:paraId="10BD0589" w14:textId="7846C3D0" w:rsidR="001D7A59" w:rsidRDefault="001D7A59" w:rsidP="001D7A59">
      <w:pPr>
        <w:pStyle w:val="PARA"/>
      </w:pPr>
      <w:r>
        <w:t xml:space="preserve">Ví dụ: </w:t>
      </w:r>
    </w:p>
    <w:p w14:paraId="32B38FD0" w14:textId="77777777" w:rsidR="001D7A59" w:rsidRDefault="001D7A59" w:rsidP="001D7A59">
      <w:pPr>
        <w:pStyle w:val="PARA"/>
      </w:pPr>
    </w:p>
    <w:p w14:paraId="7A005F12" w14:textId="52ED8F39" w:rsidR="00101368" w:rsidRDefault="00F81E3B" w:rsidP="001D7A59">
      <w:pPr>
        <w:pStyle w:val="PARA"/>
      </w:pPr>
      <w:r w:rsidRPr="00F81E3B">
        <w:rPr>
          <w:b/>
          <w:bCs/>
        </w:rPr>
        <w:t>Định nghĩa 14</w:t>
      </w:r>
      <w:r>
        <w:t xml:space="preserve"> (Local Utility): Cho một tập mục </w:t>
      </w:r>
      <m:oMath>
        <m:r>
          <w:rPr>
            <w:rFonts w:ascii="Cambria Math" w:hAnsi="Cambria Math"/>
          </w:rPr>
          <m:t>α</m:t>
        </m:r>
      </m:oMath>
      <w:r>
        <w:t xml:space="preserve"> và một item </w:t>
      </w:r>
      <m:oMath>
        <m:r>
          <w:rPr>
            <w:rFonts w:ascii="Cambria Math" w:hAnsi="Cambria Math"/>
          </w:rPr>
          <m:t>z</m:t>
        </m:r>
      </m:oMath>
      <w:r w:rsidR="00EF620E">
        <w:t xml:space="preserve"> bất kì có mức độ ưu tiên thấp hơn </w:t>
      </w:r>
      <m:oMath>
        <m:r>
          <w:rPr>
            <w:rFonts w:ascii="Cambria Math" w:hAnsi="Cambria Math"/>
          </w:rPr>
          <m:t>α</m:t>
        </m:r>
      </m:oMath>
      <w:r>
        <w:t xml:space="preserve"> (z &gt; </w:t>
      </w:r>
      <m:oMath>
        <m:r>
          <w:rPr>
            <w:rFonts w:ascii="Cambria Math" w:hAnsi="Cambria Math"/>
          </w:rPr>
          <m:t>α</m:t>
        </m:r>
      </m:oMath>
      <w:r>
        <w:t>)</w:t>
      </w:r>
      <w:r w:rsidR="00EF620E">
        <w:t xml:space="preserve">. Giá trị tiện ích cục bộ (local utility) </w:t>
      </w:r>
      <w:r w:rsidR="00101368">
        <w:t xml:space="preserve">của </w:t>
      </w:r>
      <m:oMath>
        <m:r>
          <w:rPr>
            <w:rFonts w:ascii="Cambria Math" w:hAnsi="Cambria Math"/>
          </w:rPr>
          <m:t>α</m:t>
        </m:r>
      </m:oMath>
      <w:r w:rsidR="00101368">
        <w:t xml:space="preserve"> và </w:t>
      </w:r>
      <m:oMath>
        <m:r>
          <w:rPr>
            <w:rFonts w:ascii="Cambria Math" w:hAnsi="Cambria Math"/>
          </w:rPr>
          <m:t>z</m:t>
        </m:r>
      </m:oMath>
      <w:r w:rsidR="00EF620E">
        <w:t xml:space="preserve"> </w:t>
      </w:r>
      <w:r w:rsidR="00101368">
        <w:t>được tính theo công thức sau:</w:t>
      </w:r>
      <w:r w:rsidR="00B809B0">
        <w:t xml:space="preserve"> </w:t>
      </w:r>
      <w:r w:rsidR="00101368">
        <w:t>lu(</w:t>
      </w:r>
      <m:oMath>
        <m:r>
          <w:rPr>
            <w:rFonts w:ascii="Cambria Math" w:hAnsi="Cambria Math"/>
          </w:rPr>
          <m:t>α</m:t>
        </m:r>
        <m:r>
          <w:rPr>
            <w:rFonts w:ascii="Cambria Math" w:hAnsi="Cambria Math"/>
          </w:rPr>
          <m:t>, z</m:t>
        </m:r>
      </m:oMath>
      <w:r w:rsidR="00101368">
        <w:t xml:space="preserve">) = </w:t>
      </w:r>
      <m:oMath>
        <m:nary>
          <m:naryPr>
            <m:chr m:val="∑"/>
            <m:limLoc m:val="undOvr"/>
            <m:supHide m:val="1"/>
            <m:ctrlPr>
              <w:rPr>
                <w:rFonts w:ascii="Cambria Math" w:hAnsi="Cambria Math"/>
                <w:i/>
              </w:rPr>
            </m:ctrlPr>
          </m:naryPr>
          <m:sub>
            <m:r>
              <w:rPr>
                <w:rFonts w:ascii="Cambria Math" w:hAnsi="Cambria Math"/>
              </w:rPr>
              <m:t>α</m:t>
            </m:r>
            <m:r>
              <w:rPr>
                <w:rFonts w:ascii="Cambria Math" w:hAnsi="Cambria Math"/>
              </w:rPr>
              <m:t xml:space="preserve"> ∪</m:t>
            </m:r>
            <m:r>
              <w:rPr>
                <w:rFonts w:ascii="Cambria Math" w:hAnsi="Cambria Math"/>
              </w:rPr>
              <m:t xml:space="preserve"> </m:t>
            </m:r>
            <m:d>
              <m:dPr>
                <m:begChr m:val="{"/>
                <m:endChr m:val="}"/>
                <m:ctrlPr>
                  <w:rPr>
                    <w:rFonts w:ascii="Cambria Math" w:hAnsi="Cambria Math"/>
                    <w:i/>
                  </w:rPr>
                </m:ctrlPr>
              </m:dPr>
              <m:e>
                <m:r>
                  <w:rPr>
                    <w:rFonts w:ascii="Cambria Math" w:hAnsi="Cambria Math"/>
                  </w:rPr>
                  <m:t>z</m:t>
                </m:r>
              </m:e>
            </m:d>
            <m:r>
              <w:rPr>
                <w:rFonts w:ascii="Cambria Math" w:hAnsi="Cambria Math"/>
              </w:rPr>
              <m:t xml:space="preserve"> </m:t>
            </m:r>
            <m:r>
              <w:rPr>
                <w:rFonts w:ascii="Cambria Math" w:hAnsi="Cambria Math"/>
              </w:rPr>
              <m:t>⊆</m:t>
            </m:r>
            <m:r>
              <m:rPr>
                <m:sty m:val="p"/>
              </m:rPr>
              <w:rPr>
                <w:rFonts w:ascii="Cambria Math" w:hAnsi="Cambria Math"/>
              </w:rPr>
              <m:t>T</m:t>
            </m:r>
            <m:r>
              <w:rPr>
                <w:rFonts w:ascii="Cambria Math" w:hAnsi="Cambria Math"/>
              </w:rPr>
              <m:t xml:space="preserve"> </m:t>
            </m:r>
            <m:r>
              <w:rPr>
                <w:rFonts w:ascii="Cambria Math" w:hAnsi="Cambria Math"/>
              </w:rPr>
              <m:t xml:space="preserve">∧ </m:t>
            </m:r>
            <m:r>
              <m:rPr>
                <m:sty m:val="p"/>
              </m:rPr>
              <w:rPr>
                <w:rFonts w:ascii="Cambria Math" w:hAnsi="Cambria Math"/>
              </w:rPr>
              <m:t>T</m:t>
            </m:r>
            <m:r>
              <w:rPr>
                <w:rFonts w:ascii="Cambria Math" w:hAnsi="Cambria Math"/>
              </w:rPr>
              <m:t xml:space="preserve"> ⊆ D </m:t>
            </m:r>
          </m:sub>
          <m:sup/>
          <m:e>
            <m:r>
              <w:rPr>
                <w:rFonts w:ascii="Cambria Math" w:hAnsi="Cambria Math"/>
              </w:rPr>
              <m:t>U</m:t>
            </m:r>
            <m:d>
              <m:dPr>
                <m:ctrlPr>
                  <w:rPr>
                    <w:rFonts w:ascii="Cambria Math" w:hAnsi="Cambria Math"/>
                    <w:i/>
                  </w:rPr>
                </m:ctrlPr>
              </m:dPr>
              <m:e>
                <m:r>
                  <w:rPr>
                    <w:rFonts w:ascii="Cambria Math" w:hAnsi="Cambria Math"/>
                  </w:rPr>
                  <m:t>α</m:t>
                </m:r>
                <m:r>
                  <w:rPr>
                    <w:rFonts w:ascii="Cambria Math" w:hAnsi="Cambria Math"/>
                  </w:rPr>
                  <m:t>,  T</m:t>
                </m:r>
              </m:e>
            </m:d>
            <m:r>
              <w:rPr>
                <w:rFonts w:ascii="Cambria Math" w:hAnsi="Cambria Math"/>
              </w:rPr>
              <m:t>+RU(</m:t>
            </m:r>
            <m:r>
              <w:rPr>
                <w:rFonts w:ascii="Cambria Math" w:hAnsi="Cambria Math"/>
              </w:rPr>
              <m:t>α</m:t>
            </m:r>
            <m:r>
              <w:rPr>
                <w:rFonts w:ascii="Cambria Math" w:hAnsi="Cambria Math"/>
              </w:rPr>
              <m:t>, T)</m:t>
            </m:r>
          </m:e>
        </m:nary>
      </m:oMath>
    </w:p>
    <w:p w14:paraId="1C4B1F21" w14:textId="77777777" w:rsidR="00CF0829" w:rsidRDefault="00CF0829" w:rsidP="001D7A59">
      <w:pPr>
        <w:pStyle w:val="PARA"/>
      </w:pPr>
    </w:p>
    <w:p w14:paraId="565CB104" w14:textId="7B9FC707" w:rsidR="00F21C82" w:rsidRDefault="00F21C82" w:rsidP="001D7A59">
      <w:pPr>
        <w:pStyle w:val="PARA"/>
      </w:pPr>
      <w:r>
        <w:t xml:space="preserve">Ví dụ: </w:t>
      </w:r>
    </w:p>
    <w:p w14:paraId="065875E5" w14:textId="77777777" w:rsidR="00F21C82" w:rsidRDefault="00F21C82" w:rsidP="001D7A59">
      <w:pPr>
        <w:pStyle w:val="PARA"/>
      </w:pPr>
    </w:p>
    <w:p w14:paraId="6C013AFF" w14:textId="4EAA7A28" w:rsidR="009F64E4" w:rsidRDefault="00CF0829" w:rsidP="00CF0829">
      <w:pPr>
        <w:pStyle w:val="PARA"/>
      </w:pPr>
      <w:r w:rsidRPr="00F81E3B">
        <w:rPr>
          <w:b/>
          <w:bCs/>
        </w:rPr>
        <w:t xml:space="preserve">Định nghĩa </w:t>
      </w:r>
      <w:r>
        <w:rPr>
          <w:b/>
          <w:bCs/>
        </w:rPr>
        <w:t>15</w:t>
      </w:r>
      <w:r>
        <w:t xml:space="preserve"> (</w:t>
      </w:r>
      <w:r w:rsidR="00F21C82">
        <w:t>Subtree</w:t>
      </w:r>
      <w:r>
        <w:t xml:space="preserve"> Utility): Cho một tập mục </w:t>
      </w:r>
      <m:oMath>
        <m:r>
          <w:rPr>
            <w:rFonts w:ascii="Cambria Math" w:hAnsi="Cambria Math"/>
          </w:rPr>
          <m:t>α</m:t>
        </m:r>
      </m:oMath>
      <w:r>
        <w:t xml:space="preserve"> và một item </w:t>
      </w:r>
      <m:oMath>
        <m:r>
          <w:rPr>
            <w:rFonts w:ascii="Cambria Math" w:hAnsi="Cambria Math"/>
          </w:rPr>
          <m:t>z</m:t>
        </m:r>
      </m:oMath>
      <w:r>
        <w:t xml:space="preserve"> bất kì có mức độ ưu tiên thấp hơn </w:t>
      </w:r>
      <m:oMath>
        <m:r>
          <w:rPr>
            <w:rFonts w:ascii="Cambria Math" w:hAnsi="Cambria Math"/>
          </w:rPr>
          <m:t>α</m:t>
        </m:r>
      </m:oMath>
      <w:r>
        <w:t xml:space="preserve"> (z &gt; </w:t>
      </w:r>
      <m:oMath>
        <m:r>
          <w:rPr>
            <w:rFonts w:ascii="Cambria Math" w:hAnsi="Cambria Math"/>
          </w:rPr>
          <m:t>α</m:t>
        </m:r>
      </m:oMath>
      <w:r>
        <w:t xml:space="preserve">). Giá trị tiện ích </w:t>
      </w:r>
      <w:r w:rsidR="00464D1C">
        <w:t>cây con</w:t>
      </w:r>
      <w:r>
        <w:t xml:space="preserve"> (</w:t>
      </w:r>
      <w:r w:rsidR="00464D1C">
        <w:t>subtree</w:t>
      </w:r>
      <w:r>
        <w:t xml:space="preserve"> utility) của </w:t>
      </w:r>
      <m:oMath>
        <m:r>
          <w:rPr>
            <w:rFonts w:ascii="Cambria Math" w:hAnsi="Cambria Math"/>
          </w:rPr>
          <m:t>α</m:t>
        </m:r>
      </m:oMath>
      <w:r>
        <w:t xml:space="preserve"> và </w:t>
      </w:r>
      <m:oMath>
        <m:r>
          <w:rPr>
            <w:rFonts w:ascii="Cambria Math" w:hAnsi="Cambria Math"/>
          </w:rPr>
          <m:t>z</m:t>
        </m:r>
      </m:oMath>
      <w:r>
        <w:t xml:space="preserve"> </w:t>
      </w:r>
      <w:r w:rsidR="00855908">
        <w:t xml:space="preserve">là </w:t>
      </w:r>
      <w:r w:rsidR="00F44CDA">
        <w:t>su(</w:t>
      </w:r>
      <m:oMath>
        <m:r>
          <w:rPr>
            <w:rFonts w:ascii="Cambria Math" w:hAnsi="Cambria Math"/>
          </w:rPr>
          <m:t>α</m:t>
        </m:r>
        <m:r>
          <w:rPr>
            <w:rFonts w:ascii="Cambria Math" w:hAnsi="Cambria Math"/>
          </w:rPr>
          <m:t>, z</m:t>
        </m:r>
      </m:oMath>
      <w:r w:rsidR="00F44CDA">
        <w:t xml:space="preserve">) </w:t>
      </w:r>
      <w:r>
        <w:t>được tính theo công thức sau:</w:t>
      </w:r>
    </w:p>
    <w:p w14:paraId="5E67FD71" w14:textId="04D2AC40" w:rsidR="00CF0829" w:rsidRDefault="00CF0829" w:rsidP="00CF0829">
      <w:pPr>
        <w:pStyle w:val="PARA"/>
      </w:pPr>
      <w:r>
        <w:t xml:space="preserve"> </w:t>
      </w:r>
      <m:oMath>
        <m:nary>
          <m:naryPr>
            <m:chr m:val="∑"/>
            <m:limLoc m:val="undOvr"/>
            <m:supHide m:val="1"/>
            <m:ctrlPr>
              <w:rPr>
                <w:rFonts w:ascii="Cambria Math" w:hAnsi="Cambria Math"/>
                <w:i/>
              </w:rPr>
            </m:ctrlPr>
          </m:naryPr>
          <m:sub>
            <m:r>
              <w:rPr>
                <w:rFonts w:ascii="Cambria Math" w:hAnsi="Cambria Math"/>
              </w:rPr>
              <m:t>α</m:t>
            </m:r>
            <m:r>
              <w:rPr>
                <w:rFonts w:ascii="Cambria Math" w:hAnsi="Cambria Math"/>
              </w:rPr>
              <m:t xml:space="preserve"> ∪ </m:t>
            </m:r>
            <m:d>
              <m:dPr>
                <m:begChr m:val="{"/>
                <m:endChr m:val="}"/>
                <m:ctrlPr>
                  <w:rPr>
                    <w:rFonts w:ascii="Cambria Math" w:hAnsi="Cambria Math"/>
                    <w:i/>
                  </w:rPr>
                </m:ctrlPr>
              </m:dPr>
              <m:e>
                <m:r>
                  <w:rPr>
                    <w:rFonts w:ascii="Cambria Math" w:hAnsi="Cambria Math"/>
                  </w:rPr>
                  <m:t>z</m:t>
                </m:r>
              </m:e>
            </m:d>
            <m:r>
              <w:rPr>
                <w:rFonts w:ascii="Cambria Math" w:hAnsi="Cambria Math"/>
              </w:rPr>
              <m:t xml:space="preserve"> ⊆</m:t>
            </m:r>
            <m:r>
              <m:rPr>
                <m:sty m:val="p"/>
              </m:rPr>
              <w:rPr>
                <w:rFonts w:ascii="Cambria Math" w:hAnsi="Cambria Math"/>
              </w:rPr>
              <m:t>T</m:t>
            </m:r>
            <m:r>
              <w:rPr>
                <w:rFonts w:ascii="Cambria Math" w:hAnsi="Cambria Math"/>
              </w:rPr>
              <m:t xml:space="preserve"> ∧ </m:t>
            </m:r>
            <m:r>
              <m:rPr>
                <m:sty m:val="p"/>
              </m:rPr>
              <w:rPr>
                <w:rFonts w:ascii="Cambria Math" w:hAnsi="Cambria Math"/>
              </w:rPr>
              <m:t>T</m:t>
            </m:r>
            <m:r>
              <w:rPr>
                <w:rFonts w:ascii="Cambria Math" w:hAnsi="Cambria Math"/>
              </w:rPr>
              <m:t xml:space="preserve"> ⊆ D </m:t>
            </m:r>
          </m:sub>
          <m:sup/>
          <m:e>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α</m:t>
                </m:r>
                <m:r>
                  <w:rPr>
                    <w:rFonts w:ascii="Cambria Math" w:hAnsi="Cambria Math"/>
                  </w:rPr>
                  <m:t xml:space="preserve">, </m:t>
                </m:r>
                <m:r>
                  <m:rPr>
                    <m:sty m:val="p"/>
                  </m:rPr>
                  <w:rPr>
                    <w:rFonts w:ascii="Cambria Math" w:hAnsi="Cambria Math"/>
                  </w:rPr>
                  <m:t>T</m:t>
                </m:r>
              </m:e>
            </m:d>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z</m:t>
                </m:r>
                <m:r>
                  <w:rPr>
                    <w:rFonts w:ascii="Cambria Math" w:hAnsi="Cambria Math"/>
                  </w:rPr>
                  <m:t>,</m:t>
                </m:r>
                <m:r>
                  <m:rPr>
                    <m:sty m:val="p"/>
                  </m:rPr>
                  <w:rPr>
                    <w:rFonts w:ascii="Cambria Math" w:hAnsi="Cambria Math"/>
                  </w:rPr>
                  <m:t xml:space="preserve"> T</m:t>
                </m:r>
              </m:e>
            </m:d>
            <m:r>
              <w:rPr>
                <w:rFonts w:ascii="Cambria Math" w:hAnsi="Cambria Math"/>
              </w:rPr>
              <m:t xml:space="preserve"> + </m:t>
            </m:r>
            <m:r>
              <w:rPr>
                <w:rFonts w:ascii="Cambria Math" w:hAnsi="Cambria Math"/>
              </w:rPr>
              <m:t>RU(</m:t>
            </m:r>
            <m:r>
              <w:rPr>
                <w:rFonts w:ascii="Cambria Math" w:hAnsi="Cambria Math"/>
              </w:rPr>
              <m:t>α</m:t>
            </m:r>
            <m:r>
              <w:rPr>
                <w:rFonts w:ascii="Cambria Math" w:hAnsi="Cambria Math"/>
              </w:rPr>
              <m:t>∪</m:t>
            </m:r>
            <m:d>
              <m:dPr>
                <m:begChr m:val="{"/>
                <m:endChr m:val="}"/>
                <m:ctrlPr>
                  <w:rPr>
                    <w:rFonts w:ascii="Cambria Math" w:hAnsi="Cambria Math"/>
                    <w:i/>
                  </w:rPr>
                </m:ctrlPr>
              </m:dPr>
              <m:e>
                <m:r>
                  <w:rPr>
                    <w:rFonts w:ascii="Cambria Math" w:hAnsi="Cambria Math"/>
                  </w:rPr>
                  <m:t>z</m:t>
                </m:r>
              </m:e>
            </m:d>
            <m:r>
              <w:rPr>
                <w:rFonts w:ascii="Cambria Math" w:hAnsi="Cambria Math"/>
              </w:rPr>
              <m:t>, T)</m:t>
            </m:r>
            <m:r>
              <w:rPr>
                <w:rFonts w:ascii="Cambria Math" w:hAnsi="Cambria Math"/>
              </w:rPr>
              <m:t>]</m:t>
            </m:r>
          </m:e>
        </m:nary>
      </m:oMath>
    </w:p>
    <w:p w14:paraId="624615FD" w14:textId="52A20CDB" w:rsidR="00217147" w:rsidRPr="00CF1C08" w:rsidRDefault="005242BD" w:rsidP="00217147">
      <w:pPr>
        <w:pStyle w:val="H2First"/>
        <w:numPr>
          <w:ilvl w:val="0"/>
          <w:numId w:val="14"/>
        </w:numPr>
      </w:pPr>
      <w:r>
        <w:t>Top</w:t>
      </w:r>
      <w:r w:rsidRPr="005242BD">
        <w:t>-k high utility itemset mining</w:t>
      </w:r>
      <w:r w:rsidR="00217147">
        <w:br/>
      </w:r>
    </w:p>
    <w:p w14:paraId="5DDE22D2" w14:textId="3C10768E" w:rsidR="00CF1C08" w:rsidRDefault="003F5FC4" w:rsidP="00AA4068">
      <w:pPr>
        <w:pStyle w:val="PARA"/>
      </w:pPr>
      <w:r w:rsidRPr="005A04C8">
        <w:rPr>
          <w:b/>
          <w:bCs/>
        </w:rPr>
        <w:t>Định nghĩa 16</w:t>
      </w:r>
      <w:r>
        <w:t xml:space="preserve"> (Top-k High</w:t>
      </w:r>
      <w:r w:rsidR="005A04C8">
        <w:t>-</w:t>
      </w:r>
      <w:r>
        <w:t>Utility Itemset): Cho tập mục</w:t>
      </w:r>
      <w:r w:rsidR="005A04C8">
        <w:t xml:space="preserve"> I </w:t>
      </w:r>
      <w:r w:rsidR="005A04C8">
        <w:t>chứa tất cả các item</w:t>
      </w:r>
      <w:r>
        <w:t xml:space="preserve">, một cơ sở dữ liệu định lượng không chắc chắn D và một hằng số </w:t>
      </w:r>
      <w:r w:rsidR="005A04C8">
        <w:t>được</w:t>
      </w:r>
      <w:r>
        <w:t xml:space="preserve"> người dùng định nghĩa</w:t>
      </w:r>
      <w:r w:rsidR="005A04C8">
        <w:t xml:space="preserve"> k</w:t>
      </w:r>
      <w:r>
        <w:t xml:space="preserve">. </w:t>
      </w:r>
      <w:r w:rsidR="005A04C8">
        <w:t xml:space="preserve">Top-k High-Utility Itemset là một tập </w:t>
      </w:r>
      <w:r w:rsidR="002E4FF6">
        <w:t xml:space="preserve">hợp chứa k </w:t>
      </w:r>
      <w:r w:rsidR="005A04C8">
        <w:t>tập mục có giá trị tiện ích cao nhất</w:t>
      </w:r>
      <w:r w:rsidR="00427A0F">
        <w:t xml:space="preserve"> có thể</w:t>
      </w:r>
      <w:r w:rsidR="005A04C8">
        <w:t xml:space="preserve"> được tìm thấy.</w:t>
      </w:r>
    </w:p>
    <w:p w14:paraId="58F7C024" w14:textId="5342B020" w:rsidR="0022232A" w:rsidRDefault="0022232A" w:rsidP="00AA4068">
      <w:pPr>
        <w:pStyle w:val="PARA"/>
      </w:pPr>
    </w:p>
    <w:p w14:paraId="7E0C1CF6" w14:textId="06BEF510" w:rsidR="0022232A" w:rsidRDefault="0022232A" w:rsidP="00AA4068">
      <w:pPr>
        <w:pStyle w:val="PARA"/>
      </w:pPr>
      <w:r>
        <w:t>Ví dụ:</w:t>
      </w:r>
    </w:p>
    <w:p w14:paraId="4B8DB047" w14:textId="77777777" w:rsidR="00590340" w:rsidRDefault="00590340" w:rsidP="00AA4068">
      <w:pPr>
        <w:pStyle w:val="PARA"/>
      </w:pPr>
    </w:p>
    <w:p w14:paraId="2C59724D" w14:textId="70931019" w:rsidR="00590340" w:rsidRDefault="00590340" w:rsidP="008A61C9">
      <w:pPr>
        <w:pStyle w:val="PARA"/>
      </w:pPr>
      <w:r w:rsidRPr="00C7496D">
        <w:rPr>
          <w:b/>
          <w:bCs/>
        </w:rPr>
        <w:t>Định nghĩa 17</w:t>
      </w:r>
      <w:r>
        <w:t xml:space="preserve"> (</w:t>
      </w:r>
      <w:r w:rsidR="001608D3" w:rsidRPr="001608D3">
        <w:t>Leaf Itemset Utility</w:t>
      </w:r>
      <w:r w:rsidR="001608D3">
        <w:t xml:space="preserve"> </w:t>
      </w:r>
      <w:r w:rsidR="008A61C9">
        <w:t>S</w:t>
      </w:r>
      <w:r w:rsidR="001608D3">
        <w:t>tructure</w:t>
      </w:r>
      <w:r>
        <w:t>): Cho một tập mục I’ chứa các item tiềm năng</w:t>
      </w:r>
      <w:r w:rsidR="00807A86">
        <w:t xml:space="preserve"> (TWU({</w:t>
      </w:r>
      <w:r w:rsidR="00EE7899">
        <w:t>i</w:t>
      </w:r>
      <w:r w:rsidR="00807A86">
        <w:t xml:space="preserve">}) </w:t>
      </w:r>
      <m:oMath>
        <m:r>
          <w:rPr>
            <w:rFonts w:ascii="Cambria Math" w:hAnsi="Cambria Math"/>
          </w:rPr>
          <m:t>≥</m:t>
        </m:r>
      </m:oMath>
      <w:r w:rsidR="00807A86">
        <w:t xml:space="preserve">  minUtil</w:t>
      </w:r>
      <w:r w:rsidR="005136F2">
        <w:t xml:space="preserve">, </w:t>
      </w:r>
      <m:oMath>
        <m:r>
          <w:rPr>
            <w:rFonts w:ascii="Cambria Math" w:hAnsi="Cambria Math"/>
          </w:rPr>
          <m:t>∀</m:t>
        </m:r>
        <m:r>
          <w:rPr>
            <w:rFonts w:ascii="Cambria Math" w:hAnsi="Cambria Math"/>
          </w:rPr>
          <m:t>i</m:t>
        </m:r>
        <m:r>
          <w:rPr>
            <w:rFonts w:ascii="Cambria Math" w:hAnsi="Cambria Math"/>
          </w:rPr>
          <m:t>∈</m:t>
        </m:r>
      </m:oMath>
      <w:r w:rsidR="005136F2">
        <w:t xml:space="preserve"> </w:t>
      </w:r>
      <m:oMath>
        <m:r>
          <m:rPr>
            <m:sty m:val="p"/>
          </m:rPr>
          <w:rPr>
            <w:rFonts w:ascii="Cambria Math" w:hAnsi="Cambria Math"/>
          </w:rPr>
          <m:t>I</m:t>
        </m:r>
      </m:oMath>
      <w:r w:rsidR="0099762C">
        <w:rPr>
          <w:iCs/>
        </w:rPr>
        <w:t>’</w:t>
      </w:r>
      <w:r w:rsidR="00807A86">
        <w:t>)</w:t>
      </w:r>
      <w:r w:rsidR="00B5107E">
        <w:t xml:space="preserve"> </w:t>
      </w:r>
      <w:r>
        <w:t>và</w:t>
      </w:r>
      <w:r w:rsidR="00DB47ED">
        <w:t xml:space="preserve"> đã</w:t>
      </w:r>
      <w:r>
        <w:t xml:space="preserve"> được sắp xếp dựa trên Định nghĩa </w:t>
      </w:r>
      <w:r w:rsidR="001608D3">
        <w:t>9 – Order of item</w:t>
      </w:r>
      <w:r w:rsidR="0012406C">
        <w:t>s</w:t>
      </w:r>
      <w:r w:rsidR="008A61C9">
        <w:t xml:space="preserve">. </w:t>
      </w:r>
      <w:r w:rsidR="008A61C9">
        <w:t>LIUS là một ma trận tam giác</w:t>
      </w:r>
      <w:r w:rsidR="008A61C9">
        <w:t xml:space="preserve"> </w:t>
      </w:r>
      <w:r w:rsidR="008A61C9">
        <w:t>được sử dụng để lưu trữ</w:t>
      </w:r>
      <w:r w:rsidR="008A61C9">
        <w:t xml:space="preserve"> </w:t>
      </w:r>
      <w:r w:rsidR="008A61C9">
        <w:t>giá trị tiện ích</w:t>
      </w:r>
      <w:r w:rsidR="0022232A">
        <w:t xml:space="preserve"> (utility)</w:t>
      </w:r>
      <w:r w:rsidR="008A61C9">
        <w:t xml:space="preserve"> của từng </w:t>
      </w:r>
      <w:r w:rsidR="000A3B2C">
        <w:t>tập 2-</w:t>
      </w:r>
      <w:r w:rsidR="008A61C9">
        <w:t xml:space="preserve">item </w:t>
      </w:r>
      <w:r w:rsidR="00CD5E51">
        <w:t>có trong</w:t>
      </w:r>
      <w:r w:rsidR="008A61C9">
        <w:t xml:space="preserve"> I</w:t>
      </w:r>
      <w:r w:rsidR="00CD5E51">
        <w:t>’</w:t>
      </w:r>
      <w:r w:rsidR="00D60B52">
        <w:t>.</w:t>
      </w:r>
    </w:p>
    <w:p w14:paraId="550BB740" w14:textId="77777777" w:rsidR="003E5F1B" w:rsidRDefault="003E5F1B" w:rsidP="008A61C9">
      <w:pPr>
        <w:pStyle w:val="PARA"/>
      </w:pPr>
    </w:p>
    <w:p w14:paraId="3C8D1D0E" w14:textId="1621DDAC" w:rsidR="003E5F1B" w:rsidRDefault="003E5F1B" w:rsidP="008A61C9">
      <w:pPr>
        <w:pStyle w:val="PARA"/>
      </w:pPr>
      <w:r>
        <w:t xml:space="preserve">Ví dụ: </w:t>
      </w:r>
    </w:p>
    <w:p w14:paraId="60F82FD4" w14:textId="77777777" w:rsidR="00427A0F" w:rsidRDefault="00427A0F" w:rsidP="00AA4068">
      <w:pPr>
        <w:pStyle w:val="PARA"/>
      </w:pPr>
    </w:p>
    <w:p w14:paraId="212A1604" w14:textId="7FA81A53" w:rsidR="00A422D5" w:rsidRDefault="00427A0F" w:rsidP="00AA4068">
      <w:pPr>
        <w:pStyle w:val="PARA"/>
      </w:pPr>
      <w:r w:rsidRPr="007410D5">
        <w:rPr>
          <w:b/>
          <w:bCs/>
        </w:rPr>
        <w:t>Chiến lược 8</w:t>
      </w:r>
      <w:r>
        <w:t xml:space="preserve"> (</w:t>
      </w:r>
      <w:r w:rsidR="00431956" w:rsidRPr="00431956">
        <w:t>Positive Real Item Utility strategy</w:t>
      </w:r>
      <w:r w:rsidR="00431956">
        <w:t xml:space="preserve">): </w:t>
      </w:r>
      <w:r w:rsidR="00A422D5" w:rsidRPr="00A422D5">
        <w:t xml:space="preserve">Trong lần </w:t>
      </w:r>
      <w:r w:rsidR="000F3D18">
        <w:t>quét</w:t>
      </w:r>
      <w:r w:rsidR="00A422D5" w:rsidRPr="00A422D5">
        <w:t xml:space="preserve"> </w:t>
      </w:r>
      <w:r w:rsidR="000F3D18">
        <w:t>cơ sở</w:t>
      </w:r>
      <w:r w:rsidR="00A422D5" w:rsidRPr="00A422D5">
        <w:t xml:space="preserve"> dữ liệu</w:t>
      </w:r>
      <w:r w:rsidR="000F3D18">
        <w:t xml:space="preserve"> lần</w:t>
      </w:r>
      <w:r w:rsidR="00A422D5" w:rsidRPr="00A422D5">
        <w:t xml:space="preserve"> đầu tiên,</w:t>
      </w:r>
      <w:r w:rsidR="00A422D5">
        <w:t xml:space="preserve"> </w:t>
      </w:r>
      <w:r w:rsidR="000F3D18">
        <w:t xml:space="preserve">các giá trị tiện ích dương của </w:t>
      </w:r>
      <w:r w:rsidR="000F3D18">
        <w:lastRenderedPageBreak/>
        <w:t xml:space="preserve">từng item trong tập I sẽ được tính toán </w:t>
      </w:r>
      <w:r w:rsidR="006839F3">
        <w:t xml:space="preserve">dựa trên </w:t>
      </w:r>
      <w:r w:rsidR="000F3D18">
        <w:t>Định nghĩa 4</w:t>
      </w:r>
      <w:r w:rsidR="006839F3">
        <w:t>. Sau đó c</w:t>
      </w:r>
      <w:r w:rsidR="006839F3" w:rsidRPr="006839F3">
        <w:t>hiến lược PRIU</w:t>
      </w:r>
      <w:r w:rsidR="006839F3">
        <w:t xml:space="preserve"> sẽ</w:t>
      </w:r>
      <w:r w:rsidR="006839F3" w:rsidRPr="006839F3">
        <w:t xml:space="preserve"> </w:t>
      </w:r>
      <w:r w:rsidR="006839F3">
        <w:t>cập nhật giá trị</w:t>
      </w:r>
      <w:r w:rsidR="006839F3" w:rsidRPr="006839F3">
        <w:t xml:space="preserve"> minUtil </w:t>
      </w:r>
      <w:r w:rsidR="006839F3">
        <w:t>bằng</w:t>
      </w:r>
      <w:r w:rsidR="006839F3" w:rsidRPr="006839F3">
        <w:t xml:space="preserve"> giá trị </w:t>
      </w:r>
      <w:r w:rsidR="00F722E4">
        <w:t>tiện ích</w:t>
      </w:r>
      <w:r w:rsidR="006839F3" w:rsidRPr="006839F3">
        <w:t xml:space="preserve"> lớn thứ k</w:t>
      </w:r>
      <w:r w:rsidR="0027300D">
        <w:t>-th</w:t>
      </w:r>
      <w:r w:rsidR="006839F3" w:rsidRPr="006839F3">
        <w:t xml:space="preserve"> trong danh sách đã được sắp xếp.</w:t>
      </w:r>
    </w:p>
    <w:p w14:paraId="6D31B5E5" w14:textId="77777777" w:rsidR="00072EA0" w:rsidRDefault="00072EA0" w:rsidP="00AA4068">
      <w:pPr>
        <w:pStyle w:val="PARA"/>
      </w:pPr>
    </w:p>
    <w:p w14:paraId="78769B67" w14:textId="31A45355" w:rsidR="00072EA0" w:rsidRDefault="00072EA0" w:rsidP="00AA4068">
      <w:pPr>
        <w:pStyle w:val="PARA"/>
      </w:pPr>
      <w:r w:rsidRPr="00072EA0">
        <w:rPr>
          <w:b/>
          <w:bCs/>
        </w:rPr>
        <w:t>Chiến lược 9</w:t>
      </w:r>
      <w:r>
        <w:t xml:space="preserve"> (</w:t>
      </w:r>
      <w:r w:rsidRPr="00072EA0">
        <w:t>Positive LIU-Exact strategy</w:t>
      </w:r>
      <w:r>
        <w:t xml:space="preserve">): </w:t>
      </w:r>
      <w:r w:rsidR="000A3C44">
        <w:t xml:space="preserve">Chiến lược này sử dụng các giá trị tiện ích (utility) được lưu trữ trong cấu trúc LIUS được nhắc đến trong Định nghĩa 17. </w:t>
      </w:r>
      <w:r w:rsidR="000A3C44">
        <w:t xml:space="preserve">Sau đó </w:t>
      </w:r>
      <w:r w:rsidR="000A3C44" w:rsidRPr="00072EA0">
        <w:t xml:space="preserve">PLIU-Exact </w:t>
      </w:r>
      <w:r w:rsidR="000A3C44">
        <w:t>sẽ</w:t>
      </w:r>
      <w:r w:rsidR="000A3C44">
        <w:t xml:space="preserve"> tiếp tục</w:t>
      </w:r>
      <w:r w:rsidR="000A3C44" w:rsidRPr="006839F3">
        <w:t xml:space="preserve"> </w:t>
      </w:r>
      <w:r w:rsidR="000A3C44">
        <w:t>cập nhật giá trị</w:t>
      </w:r>
      <w:r w:rsidR="000A3C44" w:rsidRPr="006839F3">
        <w:t xml:space="preserve"> minUtil </w:t>
      </w:r>
      <w:r w:rsidR="000A3C44">
        <w:t>bằng</w:t>
      </w:r>
      <w:r w:rsidR="000A3C44" w:rsidRPr="006839F3">
        <w:t xml:space="preserve"> giá trị </w:t>
      </w:r>
      <w:r w:rsidR="000A3C44">
        <w:t>tiện ích</w:t>
      </w:r>
      <w:r w:rsidR="000A3C44" w:rsidRPr="006839F3">
        <w:t xml:space="preserve"> lớn thứ k</w:t>
      </w:r>
      <w:r w:rsidR="0027300D">
        <w:t>-th</w:t>
      </w:r>
      <w:r w:rsidR="000A3C44" w:rsidRPr="006839F3">
        <w:t xml:space="preserve"> trong danh sách đã được sắp xếp.</w:t>
      </w:r>
    </w:p>
    <w:p w14:paraId="777F7F49" w14:textId="77777777" w:rsidR="0027300D" w:rsidRDefault="0027300D" w:rsidP="00AA4068">
      <w:pPr>
        <w:pStyle w:val="PARA"/>
      </w:pPr>
    </w:p>
    <w:p w14:paraId="2642E7CA" w14:textId="77777777" w:rsidR="00905534" w:rsidRDefault="0027300D" w:rsidP="00AA4068">
      <w:pPr>
        <w:pStyle w:val="PARA"/>
      </w:pPr>
      <w:r w:rsidRPr="00217147">
        <w:rPr>
          <w:b/>
          <w:bCs/>
        </w:rPr>
        <w:t>Định nghĩa 18</w:t>
      </w:r>
      <w:r>
        <w:t xml:space="preserve"> (</w:t>
      </w:r>
      <w:r w:rsidRPr="0027300D">
        <w:t>Tid</w:t>
      </w:r>
      <w:r>
        <w:t>-</w:t>
      </w:r>
      <w:r w:rsidRPr="0027300D">
        <w:t xml:space="preserve">set of an </w:t>
      </w:r>
      <w:r>
        <w:t>I</w:t>
      </w:r>
      <w:r w:rsidRPr="0027300D">
        <w:t>temset</w:t>
      </w:r>
      <w:r>
        <w:t>)</w:t>
      </w:r>
      <w:r w:rsidR="00905534">
        <w:t xml:space="preserve">: Tập hợp Tid-set của một tập mục X được kí hiệu là G(X) và được định nghĩa là tập hợp các id của những giao dịch chứa X. </w:t>
      </w:r>
    </w:p>
    <w:p w14:paraId="5D3F80BD" w14:textId="01435079" w:rsidR="00431956" w:rsidRDefault="00905534" w:rsidP="00265B26">
      <w:pPr>
        <w:pStyle w:val="PARA"/>
        <w:numPr>
          <w:ilvl w:val="0"/>
          <w:numId w:val="43"/>
        </w:numPr>
        <w:rPr>
          <w:i/>
        </w:rPr>
      </w:pPr>
      <w:r>
        <w:t xml:space="preserve">G(X) = </w:t>
      </w:r>
      <m:oMath>
        <m:r>
          <w:rPr>
            <w:rFonts w:ascii="Cambria Math" w:hAnsi="Cambria Math"/>
          </w:rPr>
          <m:t>{id | X⊆</m:t>
        </m:r>
        <m:sSub>
          <m:sSubPr>
            <m:ctrlPr>
              <w:rPr>
                <w:rFonts w:ascii="Cambria Math" w:hAnsi="Cambria Math"/>
              </w:rPr>
            </m:ctrlPr>
          </m:sSubPr>
          <m:e>
            <m:r>
              <w:rPr>
                <w:rFonts w:ascii="Cambria Math" w:hAnsi="Cambria Math"/>
              </w:rPr>
              <m:t>T</m:t>
            </m:r>
          </m:e>
          <m:sub>
            <m:r>
              <w:rPr>
                <w:rFonts w:ascii="Cambria Math" w:hAnsi="Cambria Math"/>
              </w:rPr>
              <m:t>id</m:t>
            </m:r>
          </m:sub>
        </m:sSub>
        <m: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id</m:t>
            </m:r>
          </m:sub>
        </m:sSub>
        <m:r>
          <w:rPr>
            <w:rFonts w:ascii="Cambria Math" w:hAnsi="Cambria Math"/>
          </w:rPr>
          <m:t xml:space="preserve"> ⊆ D}</m:t>
        </m:r>
      </m:oMath>
    </w:p>
    <w:p w14:paraId="59925926" w14:textId="62E2B33E" w:rsidR="00DB5C60" w:rsidRDefault="00DB5C60" w:rsidP="00DB5C60">
      <w:pPr>
        <w:pStyle w:val="PARAIndent"/>
        <w:ind w:firstLine="0"/>
      </w:pPr>
    </w:p>
    <w:p w14:paraId="067D40AC" w14:textId="0E63CCA6" w:rsidR="00B71AA8" w:rsidRDefault="00B71AA8" w:rsidP="00DB5C60">
      <w:pPr>
        <w:pStyle w:val="PARAIndent"/>
        <w:ind w:firstLine="0"/>
      </w:pPr>
      <w:r w:rsidRPr="00B71AA8">
        <w:rPr>
          <w:b/>
          <w:bCs/>
        </w:rPr>
        <w:t>Định nghĩa 19</w:t>
      </w:r>
      <w:r>
        <w:t xml:space="preserve"> (Coverage): Cho i và j là hai item đơn lẻ (</w:t>
      </w:r>
      <m:oMath>
        <m:r>
          <w:rPr>
            <w:rFonts w:ascii="Cambria Math" w:hAnsi="Cambria Math"/>
          </w:rPr>
          <m:t>i, j</m:t>
        </m:r>
        <m:r>
          <w:rPr>
            <w:rFonts w:ascii="Cambria Math" w:hAnsi="Cambria Math"/>
          </w:rPr>
          <m:t>∈</m:t>
        </m:r>
      </m:oMath>
      <w:r>
        <w:t xml:space="preserve"> </w:t>
      </w:r>
      <m:oMath>
        <m:r>
          <m:rPr>
            <m:sty m:val="p"/>
          </m:rPr>
          <w:rPr>
            <w:rFonts w:ascii="Cambria Math" w:hAnsi="Cambria Math"/>
          </w:rPr>
          <m:t>I</m:t>
        </m:r>
      </m:oMath>
      <w:r w:rsidR="00CB2A35">
        <w:rPr>
          <w:iCs/>
        </w:rPr>
        <w:t>’</w:t>
      </w:r>
      <w:r w:rsidR="00304E34">
        <w:rPr>
          <w:iCs/>
        </w:rPr>
        <w:t xml:space="preserve"> = { i |</w:t>
      </w:r>
      <w:r w:rsidR="00304E34" w:rsidRPr="00304E34">
        <w:t xml:space="preserve"> </w:t>
      </w:r>
      <w:r w:rsidR="00304E34">
        <w:t xml:space="preserve">TWU({i}) </w:t>
      </w:r>
      <m:oMath>
        <m:r>
          <w:rPr>
            <w:rFonts w:ascii="Cambria Math" w:hAnsi="Cambria Math"/>
          </w:rPr>
          <m:t>≥</m:t>
        </m:r>
      </m:oMath>
      <w:r w:rsidR="00304E34">
        <w:t xml:space="preserve">  minUtil, </w:t>
      </w:r>
      <m:oMath>
        <m:r>
          <w:rPr>
            <w:rFonts w:ascii="Cambria Math" w:hAnsi="Cambria Math"/>
          </w:rPr>
          <m:t>i∈</m:t>
        </m:r>
      </m:oMath>
      <w:r w:rsidR="00304E34">
        <w:t xml:space="preserve"> </w:t>
      </w:r>
      <m:oMath>
        <m:r>
          <m:rPr>
            <m:sty m:val="p"/>
          </m:rPr>
          <w:rPr>
            <w:rFonts w:ascii="Cambria Math" w:hAnsi="Cambria Math"/>
          </w:rPr>
          <m:t>I</m:t>
        </m:r>
      </m:oMath>
      <w:r w:rsidR="00304E34">
        <w:rPr>
          <w:iCs/>
        </w:rPr>
        <w:t>}</w:t>
      </w:r>
      <w:r>
        <w:t>)</w:t>
      </w:r>
      <w:r w:rsidR="00CB2A35">
        <w:t>. Item j được xem là một item nằm trong vùng (coverage) của i nếu</w:t>
      </w:r>
      <w:r w:rsidR="005D0BC5">
        <w:t>:</w:t>
      </w:r>
      <w:r w:rsidR="00CB2A35">
        <w:t xml:space="preserve"> G({j}) </w:t>
      </w:r>
      <m:oMath>
        <m:r>
          <m:rPr>
            <m:sty m:val="p"/>
          </m:rPr>
          <w:rPr>
            <w:rFonts w:ascii="Cambria Math" w:hAnsi="Cambria Math"/>
          </w:rPr>
          <m:t>⊆</m:t>
        </m:r>
      </m:oMath>
      <w:r w:rsidR="00CB2A35" w:rsidRPr="00CB2A35">
        <w:t xml:space="preserve"> </w:t>
      </w:r>
      <w:r w:rsidR="00CB2A35">
        <w:t>G({</w:t>
      </w:r>
      <w:r w:rsidR="00CB2A35">
        <w:t>i</w:t>
      </w:r>
      <w:r w:rsidR="00CB2A35">
        <w:t>})</w:t>
      </w:r>
      <w:r w:rsidR="001675A0">
        <w:t>.</w:t>
      </w:r>
      <w:r w:rsidR="00CB2A35">
        <w:t xml:space="preserve">   </w:t>
      </w:r>
    </w:p>
    <w:p w14:paraId="10FAD958" w14:textId="77777777" w:rsidR="00B71AA8" w:rsidRDefault="00B71AA8" w:rsidP="00DB5C60">
      <w:pPr>
        <w:pStyle w:val="PARAIndent"/>
        <w:ind w:firstLine="0"/>
      </w:pPr>
    </w:p>
    <w:p w14:paraId="74827D17" w14:textId="5735C40B" w:rsidR="004501A8" w:rsidRDefault="00B71AA8" w:rsidP="00DB5C60">
      <w:pPr>
        <w:pStyle w:val="PARAIndent"/>
        <w:ind w:firstLine="0"/>
      </w:pPr>
      <w:r w:rsidRPr="0008442F">
        <w:rPr>
          <w:b/>
          <w:bCs/>
        </w:rPr>
        <w:t>Định nghĩa 20</w:t>
      </w:r>
      <w:r>
        <w:t xml:space="preserve"> (</w:t>
      </w:r>
      <w:r w:rsidR="0008442F">
        <w:t xml:space="preserve">The </w:t>
      </w:r>
      <w:r w:rsidR="0008442F">
        <w:t>Coverage</w:t>
      </w:r>
      <w:r w:rsidR="0008442F">
        <w:t xml:space="preserve"> Utilility</w:t>
      </w:r>
      <w:r>
        <w:t>)</w:t>
      </w:r>
      <w:r w:rsidR="0008442F">
        <w:t>:</w:t>
      </w:r>
      <w:r w:rsidR="004A3B46">
        <w:t xml:space="preserve"> Cho một item </w:t>
      </w:r>
      <w:r w:rsidR="00DB5B0F">
        <w:t>p</w:t>
      </w:r>
      <w:r w:rsidR="004A3B46">
        <w:t>, và tập hợp C(</w:t>
      </w:r>
      <w:r w:rsidR="00DB5B0F">
        <w:t>p</w:t>
      </w:r>
      <w:r w:rsidR="004A3B46">
        <w:t xml:space="preserve">) chứa những item nằm trong vùng (coverage) của nó dựa trên </w:t>
      </w:r>
      <w:r w:rsidR="005D69DC">
        <w:t>Đ</w:t>
      </w:r>
      <w:r w:rsidR="004A3B46">
        <w:t>ịnh nghĩa 19</w:t>
      </w:r>
      <w:r w:rsidR="005D69DC">
        <w:t>, giá trị tiện ích của vùng item i sẽ được tính bởi công thức</w:t>
      </w:r>
      <w:r w:rsidR="004501A8">
        <w:t xml:space="preserve"> </w:t>
      </w:r>
    </w:p>
    <w:p w14:paraId="4C6876A6" w14:textId="2B360176" w:rsidR="0008442F" w:rsidRDefault="00A2411F" w:rsidP="00052BC9">
      <w:pPr>
        <w:pStyle w:val="PARAIndent"/>
        <w:numPr>
          <w:ilvl w:val="0"/>
          <w:numId w:val="43"/>
        </w:numPr>
      </w:pPr>
      <w:r>
        <w:t>U</w:t>
      </w:r>
      <w:r w:rsidR="00C43BCD">
        <w:t>(C(p))</w:t>
      </w:r>
      <w:r w:rsidR="004501A8">
        <w:t xml:space="preserve"> </w:t>
      </w:r>
      <w:r w:rsidR="00EC6E73">
        <w:t xml:space="preserve">= </w:t>
      </w:r>
      <m:oMath>
        <m:nary>
          <m:naryPr>
            <m:chr m:val="∑"/>
            <m:limLoc m:val="undOvr"/>
            <m:supHide m:val="1"/>
            <m:ctrlPr>
              <w:rPr>
                <w:rFonts w:ascii="Cambria Math" w:hAnsi="Cambria Math"/>
                <w:i/>
              </w:rPr>
            </m:ctrlPr>
          </m:naryPr>
          <m:sub>
            <m:r>
              <w:rPr>
                <w:rFonts w:ascii="Cambria Math" w:hAnsi="Cambria Math"/>
              </w:rPr>
              <m:t>1 ≤i ≤</m:t>
            </m:r>
            <m:r>
              <w:rPr>
                <w:rFonts w:ascii="Cambria Math" w:hAnsi="Cambria Math"/>
              </w:rPr>
              <m:t xml:space="preserve"> </m:t>
            </m:r>
            <m:r>
              <w:rPr>
                <w:rFonts w:ascii="Cambria Math" w:hAnsi="Cambria Math"/>
              </w:rPr>
              <m:t>r</m:t>
            </m:r>
          </m:sub>
          <m:sup/>
          <m:e>
            <m:r>
              <w:rPr>
                <w:rFonts w:ascii="Cambria Math" w:hAnsi="Cambria Math"/>
              </w:rPr>
              <m:t xml:space="preserve">U({p, </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w:r w:rsidR="005D69DC">
        <w:t xml:space="preserve"> </w:t>
      </w:r>
      <w:r w:rsidR="00030473">
        <w:t xml:space="preserve">– (1 – </w:t>
      </w:r>
      <m:oMath>
        <m:r>
          <w:rPr>
            <w:rFonts w:ascii="Cambria Math" w:hAnsi="Cambria Math"/>
          </w:rPr>
          <m:t>r</m:t>
        </m:r>
      </m:oMath>
      <w:r w:rsidR="00030473">
        <w:t xml:space="preserve">) * </w:t>
      </w:r>
      <m:oMath>
        <m:r>
          <w:rPr>
            <w:rFonts w:ascii="Cambria Math" w:hAnsi="Cambria Math"/>
          </w:rPr>
          <m:t>U</m:t>
        </m:r>
      </m:oMath>
      <w:r w:rsidR="00030473">
        <w:t>(</w:t>
      </w:r>
      <m:oMath>
        <m:r>
          <w:rPr>
            <w:rFonts w:ascii="Cambria Math" w:hAnsi="Cambria Math"/>
          </w:rPr>
          <m:t>p</m:t>
        </m:r>
      </m:oMath>
      <w:r w:rsidR="00030473">
        <w:t>)</w:t>
      </w:r>
    </w:p>
    <w:p w14:paraId="4903E61E" w14:textId="77777777" w:rsidR="004501A8" w:rsidRDefault="004501A8" w:rsidP="00DB5C60">
      <w:pPr>
        <w:pStyle w:val="PARAIndent"/>
        <w:ind w:firstLine="0"/>
      </w:pPr>
    </w:p>
    <w:p w14:paraId="1770B060" w14:textId="4C43C815" w:rsidR="0008442F" w:rsidRPr="00DB5C60" w:rsidRDefault="0008442F" w:rsidP="00DB5C60">
      <w:pPr>
        <w:pStyle w:val="PARAIndent"/>
        <w:ind w:firstLine="0"/>
      </w:pPr>
      <w:r w:rsidRPr="004C23CB">
        <w:rPr>
          <w:b/>
          <w:bCs/>
        </w:rPr>
        <w:t>Chiến lược 10</w:t>
      </w:r>
      <w:r>
        <w:t xml:space="preserve"> (</w:t>
      </w:r>
      <w:r w:rsidR="00100DF3">
        <w:t>COVL Strategy</w:t>
      </w:r>
      <w:r>
        <w:t>)</w:t>
      </w:r>
      <w:r w:rsidR="0098688A">
        <w:t xml:space="preserve">: </w:t>
      </w:r>
      <w:r w:rsidR="00D5279F">
        <w:t>Cho item</w:t>
      </w:r>
    </w:p>
    <w:p w14:paraId="2135E481" w14:textId="781311A1" w:rsidR="0091745E" w:rsidRPr="0091745E" w:rsidRDefault="000C1AE4" w:rsidP="000C1AE4">
      <w:pPr>
        <w:pStyle w:val="H1ListSpace"/>
      </w:pPr>
      <w:r>
        <w:t>P</w:t>
      </w:r>
      <w:r w:rsidRPr="000C1AE4">
        <w:t>ROPOSED EFFICIENT STRATEGIE</w:t>
      </w:r>
    </w:p>
    <w:p w14:paraId="2B8BECD3" w14:textId="77777777" w:rsidR="0091745E" w:rsidRPr="00B01558" w:rsidRDefault="0091745E" w:rsidP="0091745E">
      <w:pPr>
        <w:pStyle w:val="PARA"/>
        <w:rPr>
          <w:spacing w:val="0"/>
        </w:rPr>
      </w:pPr>
      <w:r w:rsidRPr="00B01558">
        <w:rPr>
          <w:spacing w:val="0"/>
        </w:rPr>
        <w:t xml:space="preserve">Use either SI (MKS) or CGS as primary units. (SI units are strongly encouraged.) English units may be used as secondary units (in parentheses). </w:t>
      </w:r>
      <w:r w:rsidRPr="00B01558">
        <w:rPr>
          <w:bCs/>
          <w:spacing w:val="0"/>
        </w:rPr>
        <w:t>This applies to papers in data storage</w:t>
      </w:r>
      <w:r w:rsidRPr="00B01558">
        <w:rPr>
          <w:spacing w:val="0"/>
        </w:rPr>
        <w:t>. For example, write “15 Gb/cm</w:t>
      </w:r>
      <w:r w:rsidRPr="00B01558">
        <w:rPr>
          <w:spacing w:val="0"/>
          <w:vertAlign w:val="superscript"/>
        </w:rPr>
        <w:t>2</w:t>
      </w:r>
      <w:r w:rsidRPr="00B01558">
        <w:rPr>
          <w:spacing w:val="0"/>
        </w:rPr>
        <w:t xml:space="preserve"> (100 Gb/in</w:t>
      </w:r>
      <w:r w:rsidRPr="00B01558">
        <w:rPr>
          <w:spacing w:val="0"/>
          <w:vertAlign w:val="superscript"/>
        </w:rPr>
        <w:t>2</w:t>
      </w:r>
      <w:r w:rsidRPr="00B01558">
        <w:rPr>
          <w:spacing w:val="0"/>
        </w:rPr>
        <w:t xml:space="preserve">).” </w:t>
      </w:r>
      <w:r w:rsidRPr="00B01558">
        <w:rPr>
          <w:spacing w:val="0"/>
        </w:rPr>
        <w:t>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32092AD4" w14:textId="77777777" w:rsidR="0091745E" w:rsidRDefault="0091745E" w:rsidP="0091745E">
      <w:pPr>
        <w:pStyle w:val="PARAIndent"/>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24BCC821" w14:textId="77777777" w:rsidR="0091745E" w:rsidRPr="0091745E" w:rsidRDefault="0091745E" w:rsidP="006777B9">
      <w:pPr>
        <w:pStyle w:val="H1ListSpace"/>
      </w:pPr>
      <w:r w:rsidRPr="0091745E">
        <w:t>SOME COMMON MISTAKES</w:t>
      </w:r>
    </w:p>
    <w:p w14:paraId="79566DE8" w14:textId="77777777" w:rsidR="0091745E" w:rsidRDefault="0091745E" w:rsidP="0091745E">
      <w:pPr>
        <w:pStyle w:val="PARA"/>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03C347E9" w14:textId="26A84AEC" w:rsidR="00BC4302" w:rsidRDefault="0091745E" w:rsidP="00BC4302">
      <w:pPr>
        <w:pStyle w:val="PARAIndent"/>
      </w:pPr>
      <w:r>
        <w:t>Be aware of the different meanings of the homophones “affect” (usually a verb) and “effect” (usually a noun), “complement” and “compliment,” “discreet” and “discrete,” “principal”</w:t>
      </w:r>
      <w:r w:rsidR="00B01558">
        <w:t xml:space="preserve"> </w:t>
      </w:r>
      <w:r>
        <w:t xml:space="preserve"> (e.g.,</w:t>
      </w:r>
      <w:r w:rsidR="00B01558">
        <w:t xml:space="preserve"> </w:t>
      </w:r>
      <w:r>
        <w:t xml:space="preserve"> “principal</w:t>
      </w:r>
      <w:r w:rsidR="00B01558">
        <w:t xml:space="preserve"> </w:t>
      </w:r>
      <w:r>
        <w:t xml:space="preserve"> investigator”)</w:t>
      </w:r>
      <w:r w:rsidR="00B01558">
        <w:t xml:space="preserve"> </w:t>
      </w:r>
      <w:r>
        <w:t xml:space="preserve"> and</w:t>
      </w:r>
      <w:r w:rsidR="00B01558">
        <w:t xml:space="preserve"> </w:t>
      </w:r>
      <w:r>
        <w:t xml:space="preserve"> “principle” </w:t>
      </w:r>
    </w:p>
    <w:p w14:paraId="75AA5509" w14:textId="77777777" w:rsidR="00BC4302" w:rsidRDefault="00BC4302" w:rsidP="00BC4302">
      <w:pPr>
        <w:pStyle w:val="PARAIndent"/>
        <w:sectPr w:rsidR="00BC4302" w:rsidSect="00CB2DB1">
          <w:headerReference w:type="default" r:id="rId10"/>
          <w:footerReference w:type="default" r:id="rId11"/>
          <w:type w:val="continuous"/>
          <w:pgSz w:w="11520" w:h="15660" w:code="1"/>
          <w:pgMar w:top="1300" w:right="740" w:bottom="1040" w:left="740" w:header="360" w:footer="640" w:gutter="0"/>
          <w:cols w:num="2" w:space="400"/>
          <w:docGrid w:linePitch="360"/>
        </w:sectPr>
      </w:pPr>
    </w:p>
    <w:p w14:paraId="228D3E98" w14:textId="77777777" w:rsidR="00BE0B38" w:rsidRDefault="00186F4C" w:rsidP="00BB72FD">
      <w:pPr>
        <w:pStyle w:val="FigureCaption"/>
        <w:rPr>
          <w:noProof/>
        </w:rPr>
      </w:pPr>
      <w:r>
        <w:rPr>
          <w:noProof/>
        </w:rPr>
        <w:drawing>
          <wp:inline distT="0" distB="0" distL="0" distR="0" wp14:anchorId="468FD990" wp14:editId="179A3B10">
            <wp:extent cx="3147060" cy="2392045"/>
            <wp:effectExtent l="0" t="0" r="0" b="8255"/>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7060" cy="2392045"/>
                    </a:xfrm>
                    <a:prstGeom prst="rect">
                      <a:avLst/>
                    </a:prstGeom>
                    <a:noFill/>
                    <a:ln>
                      <a:noFill/>
                    </a:ln>
                  </pic:spPr>
                </pic:pic>
              </a:graphicData>
            </a:graphic>
          </wp:inline>
        </w:drawing>
      </w:r>
    </w:p>
    <w:p w14:paraId="1FA71EAB" w14:textId="77777777" w:rsidR="00BE0B38" w:rsidRPr="00486E60" w:rsidRDefault="00BE0B38" w:rsidP="00443AB2">
      <w:pPr>
        <w:pStyle w:val="FigCaption"/>
      </w:pPr>
      <w:r w:rsidRPr="00486E60">
        <w:t>Magnetization as a function of applied field. Note that “Fig.” is abbreviated. There is a period after the figure number, followed by two spaces. It is good practice to explain the significance of the figure in the caption.</w:t>
      </w:r>
    </w:p>
    <w:p w14:paraId="69504A9A" w14:textId="77777777" w:rsidR="00BE0B38" w:rsidRDefault="00BE0B38" w:rsidP="00BE0B38">
      <w:pPr>
        <w:pStyle w:val="PARA"/>
      </w:pPr>
    </w:p>
    <w:p w14:paraId="484AF6E6" w14:textId="77777777" w:rsidR="0091745E" w:rsidRDefault="0091745E" w:rsidP="00BE0B38">
      <w:pPr>
        <w:pStyle w:val="PARA"/>
      </w:pPr>
      <w:r>
        <w:t xml:space="preserve">(e.g., “principle of measurement”). Do not confuse “imply” and “infer.” </w:t>
      </w:r>
    </w:p>
    <w:p w14:paraId="7EEEA02E" w14:textId="77777777" w:rsidR="0091745E" w:rsidRDefault="0091745E" w:rsidP="007E0556">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2384019E" w14:textId="77777777" w:rsidR="0091745E" w:rsidRDefault="0091745E" w:rsidP="007E0556">
      <w:pPr>
        <w:pStyle w:val="PARAIndent"/>
      </w:pPr>
      <w:r>
        <w:t xml:space="preserve">A general IEEE styleguide is available at </w:t>
      </w:r>
      <w:r w:rsidRPr="007E0556">
        <w:rPr>
          <w:sz w:val="19"/>
          <w:szCs w:val="19"/>
          <w:shd w:val="clear" w:color="auto" w:fill="FFFFFF"/>
        </w:rPr>
        <w:t>www.ieee.org/</w:t>
      </w:r>
      <w:r w:rsidRPr="00B70AB8">
        <w:t>authortools.</w:t>
      </w:r>
    </w:p>
    <w:p w14:paraId="1A3EDC73" w14:textId="77777777" w:rsidR="00BE0B38" w:rsidRPr="0091745E" w:rsidRDefault="00BE0B38" w:rsidP="006777B9">
      <w:pPr>
        <w:pStyle w:val="H1ListSpace"/>
      </w:pPr>
      <w:r>
        <w:t xml:space="preserve">GUIDELINES FOR GRAPHICS PREPARATION </w:t>
      </w:r>
      <w:r>
        <w:br/>
        <w:t>AND SUBMISSION</w:t>
      </w:r>
    </w:p>
    <w:p w14:paraId="789BD747" w14:textId="77777777" w:rsidR="00BE0B38" w:rsidRPr="00565A4C" w:rsidRDefault="00034A7F" w:rsidP="005902A9">
      <w:pPr>
        <w:pStyle w:val="H2Cont"/>
        <w:numPr>
          <w:ilvl w:val="0"/>
          <w:numId w:val="39"/>
        </w:numPr>
        <w:spacing w:before="0"/>
      </w:pPr>
      <w:r w:rsidRPr="00565A4C">
        <w:t>TYPES OF GRAPHICS</w:t>
      </w:r>
    </w:p>
    <w:p w14:paraId="0D9EC525" w14:textId="77777777"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14:paraId="1EFDC3C8" w14:textId="77777777" w:rsidR="007E44F5" w:rsidRPr="007E44F5" w:rsidRDefault="00BE0B38" w:rsidP="00887535">
      <w:pPr>
        <w:pStyle w:val="H3"/>
      </w:pPr>
      <w:r w:rsidRPr="00BE0B38">
        <w:t>Color/Grayscale figures</w:t>
      </w:r>
    </w:p>
    <w:p w14:paraId="084C90FF"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7C634918" w14:textId="77777777" w:rsidR="007E44F5" w:rsidRPr="007E44F5" w:rsidRDefault="00BE0B38" w:rsidP="00BE0B38">
      <w:pPr>
        <w:pStyle w:val="H3"/>
      </w:pPr>
      <w:r w:rsidRPr="00BE0B38">
        <w:t>Line Art figures</w:t>
      </w:r>
    </w:p>
    <w:p w14:paraId="07F82258" w14:textId="77777777" w:rsidR="008F2FB3" w:rsidRPr="008F2FB3" w:rsidRDefault="008F2FB3" w:rsidP="008F2FB3">
      <w:pPr>
        <w:pStyle w:val="PARA"/>
      </w:pPr>
      <w:r w:rsidRPr="008F2FB3">
        <w:lastRenderedPageBreak/>
        <w:t>Figures that are composed of only black lines and shapes. These figures should have no shades or half-tones of gray, only black and white.</w:t>
      </w:r>
    </w:p>
    <w:p w14:paraId="554A50ED" w14:textId="77777777" w:rsidR="008F2FB3" w:rsidRPr="008F2FB3" w:rsidRDefault="008F2FB3" w:rsidP="008F2FB3">
      <w:pPr>
        <w:pStyle w:val="H3"/>
      </w:pPr>
      <w:r w:rsidRPr="008F2FB3">
        <w:t>Author photos</w:t>
      </w:r>
    </w:p>
    <w:p w14:paraId="1F0F6E77" w14:textId="77777777" w:rsidR="008F2FB3" w:rsidRPr="008F2FB3" w:rsidRDefault="008F2FB3" w:rsidP="008F2FB3">
      <w:pPr>
        <w:pStyle w:val="PARA"/>
      </w:pPr>
      <w:r w:rsidRPr="008F2FB3">
        <w:t xml:space="preserve">Head and shoulders shots of authors that appear at the end of our papers. </w:t>
      </w:r>
    </w:p>
    <w:p w14:paraId="2E0D80F5" w14:textId="77777777" w:rsidR="00F70DB5" w:rsidRPr="008F2FB3" w:rsidRDefault="00F70DB5" w:rsidP="00F70DB5">
      <w:pPr>
        <w:pStyle w:val="H3"/>
      </w:pPr>
      <w:r w:rsidRPr="008F2FB3">
        <w:t>Tables</w:t>
      </w:r>
    </w:p>
    <w:p w14:paraId="5718F38B" w14:textId="77777777" w:rsidR="00F70DB5" w:rsidRPr="008F2FB3" w:rsidRDefault="00F70DB5" w:rsidP="00F70DB5">
      <w:pPr>
        <w:pStyle w:val="PARA"/>
      </w:pPr>
      <w:r w:rsidRPr="008F2FB3">
        <w:t>Data charts which are typically black and white, but sometimes include color.</w:t>
      </w:r>
    </w:p>
    <w:p w14:paraId="734412B4" w14:textId="77777777" w:rsidR="00D45F11" w:rsidRDefault="00F70DB5" w:rsidP="00D45F11">
      <w:pPr>
        <w:pStyle w:val="TableTitle"/>
      </w:pPr>
      <w:r>
        <w:br w:type="column"/>
      </w:r>
      <w:r w:rsidR="00D45F11">
        <w:t>TABLE I</w:t>
      </w:r>
    </w:p>
    <w:p w14:paraId="158E8339"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2784A8E0" w14:textId="77777777" w:rsidTr="0001799E">
        <w:trPr>
          <w:trHeight w:val="440"/>
        </w:trPr>
        <w:tc>
          <w:tcPr>
            <w:tcW w:w="720" w:type="dxa"/>
            <w:tcBorders>
              <w:top w:val="double" w:sz="6" w:space="0" w:color="auto"/>
              <w:left w:val="nil"/>
              <w:bottom w:val="single" w:sz="6" w:space="0" w:color="auto"/>
              <w:right w:val="nil"/>
            </w:tcBorders>
            <w:vAlign w:val="center"/>
          </w:tcPr>
          <w:p w14:paraId="174CD0B1"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8EEC581"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B1BD055" w14:textId="77777777" w:rsidR="00D45F11" w:rsidRDefault="00D45F11" w:rsidP="0001799E">
            <w:pPr>
              <w:jc w:val="center"/>
              <w:rPr>
                <w:sz w:val="16"/>
                <w:szCs w:val="16"/>
              </w:rPr>
            </w:pPr>
            <w:r>
              <w:rPr>
                <w:sz w:val="16"/>
                <w:szCs w:val="16"/>
              </w:rPr>
              <w:t>Conversion from Gaussian and</w:t>
            </w:r>
          </w:p>
          <w:p w14:paraId="7514516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54210D97" w14:textId="77777777" w:rsidTr="0001799E">
        <w:tc>
          <w:tcPr>
            <w:tcW w:w="720" w:type="dxa"/>
            <w:tcBorders>
              <w:top w:val="nil"/>
              <w:left w:val="nil"/>
              <w:bottom w:val="nil"/>
              <w:right w:val="nil"/>
            </w:tcBorders>
          </w:tcPr>
          <w:p w14:paraId="274F70F8"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2DAD9A89"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780E3556"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9B662D2" w14:textId="77777777" w:rsidTr="0001799E">
        <w:tc>
          <w:tcPr>
            <w:tcW w:w="720" w:type="dxa"/>
            <w:tcBorders>
              <w:top w:val="nil"/>
              <w:left w:val="nil"/>
              <w:bottom w:val="nil"/>
              <w:right w:val="nil"/>
            </w:tcBorders>
          </w:tcPr>
          <w:p w14:paraId="131342AF"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64F1EB78" w14:textId="77777777" w:rsidR="00D45F11" w:rsidRDefault="00D45F11" w:rsidP="0001799E">
            <w:pPr>
              <w:rPr>
                <w:sz w:val="16"/>
                <w:szCs w:val="16"/>
              </w:rPr>
            </w:pPr>
            <w:r>
              <w:rPr>
                <w:sz w:val="16"/>
                <w:szCs w:val="16"/>
              </w:rPr>
              <w:t xml:space="preserve">magnetic flux density, </w:t>
            </w:r>
          </w:p>
          <w:p w14:paraId="2FE347C4"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D44F6A1"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3031FEF0" w14:textId="77777777" w:rsidTr="0001799E">
        <w:tc>
          <w:tcPr>
            <w:tcW w:w="720" w:type="dxa"/>
            <w:tcBorders>
              <w:top w:val="nil"/>
              <w:left w:val="nil"/>
              <w:bottom w:val="nil"/>
              <w:right w:val="nil"/>
            </w:tcBorders>
          </w:tcPr>
          <w:p w14:paraId="04F9CE16"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7E63D384"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6B671A1" w14:textId="77777777" w:rsidR="00D45F11" w:rsidRDefault="00D45F11" w:rsidP="0001799E">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5B69283F" w14:textId="77777777" w:rsidTr="0001799E">
        <w:tc>
          <w:tcPr>
            <w:tcW w:w="720" w:type="dxa"/>
            <w:tcBorders>
              <w:top w:val="nil"/>
              <w:left w:val="nil"/>
              <w:bottom w:val="nil"/>
              <w:right w:val="nil"/>
            </w:tcBorders>
          </w:tcPr>
          <w:p w14:paraId="090E01AD"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7962FE12"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65B9E987" w14:textId="77777777" w:rsidR="00D45F11" w:rsidRDefault="00D45F11" w:rsidP="0001799E">
            <w:pPr>
              <w:rPr>
                <w:sz w:val="16"/>
                <w:szCs w:val="16"/>
              </w:rPr>
            </w:pPr>
            <w:r>
              <w:rPr>
                <w:sz w:val="16"/>
                <w:szCs w:val="16"/>
              </w:rPr>
              <w:t xml:space="preserve">1 erg/G = 1 emu </w:t>
            </w:r>
          </w:p>
          <w:p w14:paraId="2840DCF3"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5D86179A" w14:textId="77777777" w:rsidTr="0001799E">
        <w:tc>
          <w:tcPr>
            <w:tcW w:w="720" w:type="dxa"/>
            <w:tcBorders>
              <w:top w:val="nil"/>
              <w:left w:val="nil"/>
              <w:bottom w:val="nil"/>
              <w:right w:val="nil"/>
            </w:tcBorders>
          </w:tcPr>
          <w:p w14:paraId="6C39EE26"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5720BEA"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033FB6E6"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E585372"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5A39B365" w14:textId="77777777" w:rsidTr="0001799E">
        <w:tc>
          <w:tcPr>
            <w:tcW w:w="720" w:type="dxa"/>
            <w:tcBorders>
              <w:top w:val="nil"/>
              <w:left w:val="nil"/>
              <w:bottom w:val="nil"/>
              <w:right w:val="nil"/>
            </w:tcBorders>
          </w:tcPr>
          <w:p w14:paraId="7C4461F5"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666EED3C"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4890131A"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48DFA8DF" w14:textId="77777777" w:rsidTr="0001799E">
        <w:tc>
          <w:tcPr>
            <w:tcW w:w="720" w:type="dxa"/>
            <w:tcBorders>
              <w:top w:val="nil"/>
              <w:left w:val="nil"/>
              <w:bottom w:val="nil"/>
              <w:right w:val="nil"/>
            </w:tcBorders>
          </w:tcPr>
          <w:p w14:paraId="72A4198E"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1C75640F"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5E8C5682" w14:textId="77777777" w:rsidR="00D45F11" w:rsidRDefault="00D45F11" w:rsidP="0001799E">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4D91A1DA" w14:textId="77777777" w:rsidTr="0001799E">
        <w:tc>
          <w:tcPr>
            <w:tcW w:w="720" w:type="dxa"/>
            <w:tcBorders>
              <w:top w:val="nil"/>
              <w:left w:val="nil"/>
              <w:bottom w:val="nil"/>
              <w:right w:val="nil"/>
            </w:tcBorders>
          </w:tcPr>
          <w:p w14:paraId="475E3F37"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05ABF069" w14:textId="77777777" w:rsidR="00D45F11" w:rsidRDefault="00D45F11" w:rsidP="0001799E">
            <w:pPr>
              <w:rPr>
                <w:sz w:val="16"/>
                <w:szCs w:val="16"/>
              </w:rPr>
            </w:pPr>
            <w:r>
              <w:rPr>
                <w:sz w:val="16"/>
                <w:szCs w:val="16"/>
              </w:rPr>
              <w:t xml:space="preserve">magnetic dipole </w:t>
            </w:r>
          </w:p>
          <w:p w14:paraId="30328DF0"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1E7C06F5" w14:textId="77777777" w:rsidR="00D45F11" w:rsidRDefault="00D45F11" w:rsidP="0001799E">
            <w:pPr>
              <w:rPr>
                <w:sz w:val="16"/>
                <w:szCs w:val="16"/>
              </w:rPr>
            </w:pPr>
            <w:r>
              <w:rPr>
                <w:sz w:val="16"/>
                <w:szCs w:val="16"/>
              </w:rPr>
              <w:t xml:space="preserve">1 erg/G = 1 emu </w:t>
            </w:r>
          </w:p>
          <w:p w14:paraId="1723A585"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45F11" w14:paraId="3E327722" w14:textId="77777777" w:rsidTr="0001799E">
        <w:tc>
          <w:tcPr>
            <w:tcW w:w="720" w:type="dxa"/>
            <w:tcBorders>
              <w:top w:val="nil"/>
              <w:left w:val="nil"/>
              <w:bottom w:val="nil"/>
              <w:right w:val="nil"/>
            </w:tcBorders>
          </w:tcPr>
          <w:p w14:paraId="66FB0D6C"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483ED14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CEFAA53"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165EC9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26FD5EB4" w14:textId="77777777" w:rsidTr="0001799E">
        <w:tc>
          <w:tcPr>
            <w:tcW w:w="720" w:type="dxa"/>
            <w:tcBorders>
              <w:top w:val="nil"/>
              <w:left w:val="nil"/>
              <w:bottom w:val="nil"/>
              <w:right w:val="nil"/>
            </w:tcBorders>
          </w:tcPr>
          <w:p w14:paraId="31112D1E"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AFCAE10"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4AAE97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69C30380" w14:textId="77777777" w:rsidTr="0001799E">
        <w:tc>
          <w:tcPr>
            <w:tcW w:w="720" w:type="dxa"/>
            <w:tcBorders>
              <w:top w:val="nil"/>
              <w:left w:val="nil"/>
              <w:bottom w:val="nil"/>
              <w:right w:val="nil"/>
            </w:tcBorders>
          </w:tcPr>
          <w:p w14:paraId="6126E23A"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2BC1A5CF"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3F02CEC4"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B3C005B" w14:textId="77777777" w:rsidTr="0001799E">
        <w:tc>
          <w:tcPr>
            <w:tcW w:w="720" w:type="dxa"/>
            <w:tcBorders>
              <w:top w:val="nil"/>
              <w:left w:val="nil"/>
              <w:bottom w:val="nil"/>
              <w:right w:val="nil"/>
            </w:tcBorders>
          </w:tcPr>
          <w:p w14:paraId="796A3E95"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7BEFC858"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38E5DFAA"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5C254CC"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45F11" w14:paraId="238F80A8" w14:textId="77777777" w:rsidTr="0001799E">
        <w:tc>
          <w:tcPr>
            <w:tcW w:w="720" w:type="dxa"/>
            <w:tcBorders>
              <w:top w:val="nil"/>
              <w:left w:val="nil"/>
              <w:bottom w:val="nil"/>
              <w:right w:val="nil"/>
            </w:tcBorders>
          </w:tcPr>
          <w:p w14:paraId="77E692A0"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6393EFCC"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3D633FB3"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64A04D1B" w14:textId="77777777" w:rsidTr="0001799E">
        <w:tc>
          <w:tcPr>
            <w:tcW w:w="720" w:type="dxa"/>
            <w:tcBorders>
              <w:top w:val="nil"/>
              <w:left w:val="nil"/>
              <w:bottom w:val="nil"/>
              <w:right w:val="nil"/>
            </w:tcBorders>
          </w:tcPr>
          <w:p w14:paraId="53478393"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98F705F"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ED6E1C7"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07DF0D53" w14:textId="77777777" w:rsidTr="0001799E">
        <w:trPr>
          <w:trHeight w:val="279"/>
        </w:trPr>
        <w:tc>
          <w:tcPr>
            <w:tcW w:w="720" w:type="dxa"/>
            <w:tcBorders>
              <w:top w:val="nil"/>
              <w:left w:val="nil"/>
              <w:bottom w:val="double" w:sz="6" w:space="0" w:color="auto"/>
              <w:right w:val="nil"/>
            </w:tcBorders>
          </w:tcPr>
          <w:p w14:paraId="74BAFF63"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44E47F76"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CFAAD8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30EEC5E" w14:textId="77777777" w:rsidR="00D45F11" w:rsidRDefault="00D45F11" w:rsidP="00D45F11">
      <w:pPr>
        <w:pStyle w:val="FootnoteText"/>
      </w:pPr>
      <w:r>
        <w:t xml:space="preserve">Vertical lines are optional in tables. Statements that serve as captions for the entire table do not need footnote letters. </w:t>
      </w:r>
    </w:p>
    <w:p w14:paraId="3E8E8301" w14:textId="77777777" w:rsidR="00D45F11" w:rsidRDefault="00D45F11" w:rsidP="00D45F11">
      <w:pPr>
        <w:pStyle w:val="FootnoteText"/>
      </w:pPr>
      <w:r w:rsidRPr="00D45F11">
        <w:rPr>
          <w:vertAlign w:val="superscript"/>
        </w:rPr>
        <w:t>a</w:t>
      </w:r>
      <w:r>
        <w:t>Gaussian units are the same as cg emu for magnetostatics; Mx = maxwell, G = gauss, Oe = oersted; Wb = weber, V = volt, s = second, T = tesla, m = meter, A = ampere, J = joule, kg = kilogram, H = henry.</w:t>
      </w:r>
    </w:p>
    <w:p w14:paraId="7C448152" w14:textId="77777777" w:rsidR="00BE0B38" w:rsidRPr="00565A4C" w:rsidRDefault="005C261D" w:rsidP="00E26C9C">
      <w:pPr>
        <w:pStyle w:val="H2Cont"/>
        <w:spacing w:before="530"/>
      </w:pPr>
      <w:r w:rsidRPr="00565A4C">
        <w:t>MULTIPART FIGURES</w:t>
      </w:r>
    </w:p>
    <w:p w14:paraId="6B221D53" w14:textId="77777777" w:rsidR="00F70DB5" w:rsidRPr="00F70DB5" w:rsidRDefault="00F70DB5" w:rsidP="00F70DB5">
      <w:pPr>
        <w:pStyle w:val="PARA"/>
      </w:pPr>
      <w:r w:rsidRPr="00F70DB5">
        <w:t>Figures compiled of more than one sub-figure presented side-by-side, or stacked. If a multipart figure is made up of multiple figure types (one part is lineart, and another is grayscale or color) the figure should meet the stricter guidelines.</w:t>
      </w:r>
    </w:p>
    <w:p w14:paraId="16CBE0C8" w14:textId="77777777" w:rsidR="00D45F11" w:rsidRPr="00D45F11" w:rsidRDefault="005C261D" w:rsidP="00200B38">
      <w:pPr>
        <w:pStyle w:val="H2Cont"/>
        <w:spacing w:before="270"/>
      </w:pPr>
      <w:r w:rsidRPr="00D45F11">
        <w:t>FILE FORMATS FOR GRAPHICS</w:t>
      </w:r>
    </w:p>
    <w:p w14:paraId="267B143A" w14:textId="77777777"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5AC3B80E" w14:textId="77777777" w:rsidR="00BC4302" w:rsidRPr="00040C78" w:rsidRDefault="00BC4302" w:rsidP="00565A4C">
      <w:pPr>
        <w:pStyle w:val="H2AfterH1"/>
        <w:numPr>
          <w:ilvl w:val="0"/>
          <w:numId w:val="38"/>
        </w:numPr>
        <w:sectPr w:rsidR="00BC4302" w:rsidRPr="00040C78" w:rsidSect="00CB2DB1">
          <w:footerReference w:type="default" r:id="rId13"/>
          <w:type w:val="continuous"/>
          <w:pgSz w:w="11520" w:h="15660" w:code="1"/>
          <w:pgMar w:top="1300" w:right="740" w:bottom="1040" w:left="740" w:header="360" w:footer="640" w:gutter="0"/>
          <w:cols w:num="2" w:space="400"/>
          <w:docGrid w:linePitch="360"/>
        </w:sectPr>
      </w:pPr>
    </w:p>
    <w:p w14:paraId="2178D9C3" w14:textId="77777777" w:rsidR="00457310" w:rsidRPr="005902A9" w:rsidRDefault="00457310" w:rsidP="005902A9">
      <w:pPr>
        <w:pStyle w:val="H2Cont"/>
        <w:spacing w:before="0"/>
      </w:pPr>
      <w:r w:rsidRPr="005902A9">
        <w:br w:type="page"/>
      </w:r>
      <w:r w:rsidR="005C261D" w:rsidRPr="005902A9">
        <w:lastRenderedPageBreak/>
        <w:t>SIZING OF GRAPHICS</w:t>
      </w:r>
    </w:p>
    <w:p w14:paraId="3446DE2A"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1DC5C04F"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466F6260"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3A1DE83F" w14:textId="77777777" w:rsidR="00457310" w:rsidRPr="005902A9" w:rsidRDefault="005C261D" w:rsidP="005902A9">
      <w:pPr>
        <w:pStyle w:val="H2Cont"/>
      </w:pPr>
      <w:r w:rsidRPr="005902A9">
        <w:t>RESOLUTION</w:t>
      </w:r>
    </w:p>
    <w:p w14:paraId="28639DE4"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10AD07FA" w14:textId="77777777" w:rsidR="00457310" w:rsidRPr="005902A9" w:rsidRDefault="00034A7F" w:rsidP="005902A9">
      <w:pPr>
        <w:pStyle w:val="H2Cont"/>
      </w:pPr>
      <w:r w:rsidRPr="005902A9">
        <w:t>VECTOR ART</w:t>
      </w:r>
    </w:p>
    <w:p w14:paraId="5917B49F"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7D791771" w14:textId="77777777" w:rsidR="00457310" w:rsidRPr="005902A9" w:rsidRDefault="00034A7F" w:rsidP="005902A9">
      <w:pPr>
        <w:pStyle w:val="H2Cont"/>
      </w:pPr>
      <w:r w:rsidRPr="005902A9">
        <w:t>COLOR SPACE</w:t>
      </w:r>
    </w:p>
    <w:p w14:paraId="29854888"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93C5442" w14:textId="77777777" w:rsidR="00457310" w:rsidRPr="00457310" w:rsidRDefault="00457310" w:rsidP="00457310">
      <w:pPr>
        <w:pStyle w:val="PARAIndent"/>
      </w:pPr>
      <w:r w:rsidRPr="00457310">
        <w:t>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.TIF/.TIFF/.PNG are the recommended file formats.</w:t>
      </w:r>
    </w:p>
    <w:p w14:paraId="1A79536D" w14:textId="77777777" w:rsidR="00457310" w:rsidRPr="005902A9" w:rsidRDefault="005C261D" w:rsidP="005902A9">
      <w:pPr>
        <w:pStyle w:val="H2Cont"/>
      </w:pPr>
      <w:r w:rsidRPr="005902A9">
        <w:t>ACCEPTED FONTS WITHIN FIGURES</w:t>
      </w:r>
    </w:p>
    <w:p w14:paraId="3B82425B"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0F387B06"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4D4401E" w14:textId="77777777" w:rsidR="002F1D45" w:rsidRPr="005902A9" w:rsidRDefault="005C261D" w:rsidP="00E26C9C">
      <w:pPr>
        <w:pStyle w:val="H2Cont"/>
        <w:spacing w:before="240"/>
      </w:pPr>
      <w:r w:rsidRPr="005902A9">
        <w:t>USING LABELS WITHIN FIGURES</w:t>
      </w:r>
    </w:p>
    <w:p w14:paraId="5DAC7572" w14:textId="77777777" w:rsidR="007E44F5" w:rsidRPr="007E44F5" w:rsidRDefault="002F1D45" w:rsidP="00D96EEF">
      <w:pPr>
        <w:pStyle w:val="H3"/>
        <w:numPr>
          <w:ilvl w:val="0"/>
          <w:numId w:val="17"/>
        </w:numPr>
        <w:spacing w:before="120"/>
      </w:pPr>
      <w:r w:rsidRPr="002F1D45">
        <w:t>Figure Axis labels</w:t>
      </w:r>
    </w:p>
    <w:p w14:paraId="3C22793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000F794E" w:rsidRPr="00E857A2">
        <w:rPr>
          <w:noProof/>
          <w:position w:val="-2"/>
        </w:rPr>
        <w:object w:dxaOrig="100" w:dyaOrig="120" w14:anchorId="12D88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8pt;height:4.8pt;mso-width-percent:0;mso-height-percent:0;mso-width-percent:0;mso-height-percent:0" o:ole="" fillcolor="window">
            <v:imagedata r:id="rId14" o:title=""/>
          </v:shape>
          <o:OLEObject Type="Embed" ProgID="Equation.3" ShapeID="_x0000_i1028" DrawAspect="Content" ObjectID="_1795793151" r:id="rId15"/>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1922FC5"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303F4FCA" w14:textId="77777777" w:rsidR="00594D78" w:rsidRPr="00594D78" w:rsidRDefault="00594D78" w:rsidP="00D96EEF">
      <w:pPr>
        <w:pStyle w:val="H3"/>
        <w:spacing w:before="120"/>
      </w:pPr>
      <w:r w:rsidRPr="00594D78">
        <w:t>Subfigure Labels in Multipart Figures and Tables</w:t>
      </w:r>
    </w:p>
    <w:p w14:paraId="07E4CD35"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8 point Times New Roman font in the format of (a) (b) (c). </w:t>
      </w:r>
    </w:p>
    <w:p w14:paraId="6FA10F0B" w14:textId="77777777" w:rsidR="00594D78" w:rsidRPr="005902A9" w:rsidRDefault="005C261D" w:rsidP="00E26C9C">
      <w:pPr>
        <w:pStyle w:val="H2Cont"/>
        <w:spacing w:before="280"/>
      </w:pPr>
      <w:r w:rsidRPr="005902A9">
        <w:t>FILE NAMING</w:t>
      </w:r>
    </w:p>
    <w:p w14:paraId="10CAF9F5"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5E3E147" w14:textId="77777777" w:rsidR="00594D78" w:rsidRPr="00731485" w:rsidRDefault="00594D78" w:rsidP="00594D78">
      <w:pPr>
        <w:pStyle w:val="PARAIndent"/>
        <w:rPr>
          <w:spacing w:val="0"/>
        </w:rPr>
      </w:pPr>
      <w:r w:rsidRPr="00731485">
        <w:rPr>
          <w:spacing w:val="0"/>
        </w:rPr>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22464041" w14:textId="77777777" w:rsidR="00594D78" w:rsidRPr="00594D78" w:rsidRDefault="00594D78" w:rsidP="00594D78">
      <w:pPr>
        <w:pStyle w:val="PARAIndent"/>
      </w:pPr>
      <w:r w:rsidRPr="00594D78">
        <w:t>Author photographs should be named using the first five characters of the pictured author’s last name. For example, four author photographs for a paper may be named: oppen.ps, moshc.tif, chen.eps, and duran.pdf.</w:t>
      </w:r>
    </w:p>
    <w:p w14:paraId="7C1BC0D2" w14:textId="77777777" w:rsidR="00594D78" w:rsidRPr="00594D78" w:rsidRDefault="00594D78" w:rsidP="00594D78">
      <w:pPr>
        <w:pStyle w:val="PARAIndent"/>
      </w:pPr>
      <w:r w:rsidRPr="00594D78">
        <w:t>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14:paraId="4FC135DE" w14:textId="77777777" w:rsidR="00BC4302" w:rsidRDefault="00BC4302" w:rsidP="00040C78">
      <w:pPr>
        <w:pStyle w:val="H2ConSpaceBefore12pt"/>
        <w:spacing w:before="0"/>
        <w:sectPr w:rsidR="00BC4302" w:rsidSect="00CB2DB1">
          <w:footerReference w:type="default" r:id="rId16"/>
          <w:type w:val="continuous"/>
          <w:pgSz w:w="11520" w:h="15660" w:code="1"/>
          <w:pgMar w:top="1300" w:right="740" w:bottom="1040" w:left="740" w:header="360" w:footer="640" w:gutter="0"/>
          <w:cols w:num="2" w:space="400"/>
          <w:docGrid w:linePitch="360"/>
        </w:sectPr>
      </w:pPr>
    </w:p>
    <w:p w14:paraId="423C6FF9" w14:textId="77777777" w:rsidR="00767D54" w:rsidRPr="005902A9" w:rsidRDefault="00767D54" w:rsidP="005902A9">
      <w:pPr>
        <w:pStyle w:val="H2Cont"/>
        <w:spacing w:before="0"/>
      </w:pPr>
      <w:r w:rsidRPr="005902A9">
        <w:br w:type="page"/>
      </w:r>
      <w:r w:rsidR="005C261D" w:rsidRPr="005902A9">
        <w:lastRenderedPageBreak/>
        <w:t>REFERENCING A FIGURE OR TABLE WITHIN YOUR PAPER</w:t>
      </w:r>
    </w:p>
    <w:p w14:paraId="23A073A2" w14:textId="62AC0DF0" w:rsidR="00594D78" w:rsidRPr="00242D8A" w:rsidRDefault="00AD0FD6" w:rsidP="00767D54">
      <w:pPr>
        <w:pStyle w:val="PARA"/>
        <w:rPr>
          <w:rStyle w:val="BodyText2"/>
          <w:rFonts w:ascii="Times New Roman" w:hAnsi="Times New Roman" w:cs="TimesLTStd-Roman"/>
          <w:color w:val="auto"/>
          <w:sz w:val="20"/>
        </w:rPr>
      </w:pPr>
      <w:r w:rsidRPr="00AD0FD6">
        <w:t xml:space="preserve">When referencing your figures and tables within your paper, use the abbreviation “Fig.” even at the beginning of a sentence. Do not abbreviate “Table.” Tables should be numbered with </w:t>
      </w:r>
      <w:r w:rsidR="00990F3D" w:rsidRPr="00990F3D">
        <w:t>Roman Numerals</w:t>
      </w:r>
      <w:r w:rsidRPr="00AD0FD6">
        <w:t>.</w:t>
      </w:r>
    </w:p>
    <w:p w14:paraId="6137A724" w14:textId="77777777" w:rsidR="001C597C" w:rsidRPr="00594D78" w:rsidRDefault="005C261D" w:rsidP="005902A9">
      <w:pPr>
        <w:pStyle w:val="H2Cont"/>
      </w:pPr>
      <w:r w:rsidRPr="005902A9">
        <w:t>SUBMITTING</w:t>
      </w:r>
      <w:r w:rsidRPr="001C597C">
        <w:t xml:space="preserve"> YOUR GRAPHICS</w:t>
      </w:r>
    </w:p>
    <w:p w14:paraId="2F5430BE" w14:textId="7E49BF4D" w:rsidR="001C597C" w:rsidRPr="00242D8A" w:rsidRDefault="00FB1155" w:rsidP="001C597C">
      <w:pPr>
        <w:pStyle w:val="PARA"/>
        <w:rPr>
          <w:rStyle w:val="BodyText2"/>
          <w:rFonts w:ascii="Times New Roman" w:hAnsi="Times New Roman" w:cs="TimesLTStd-Roman"/>
          <w:color w:val="auto"/>
          <w:sz w:val="20"/>
        </w:rPr>
      </w:pPr>
      <w:r>
        <w:t>Figures</w:t>
      </w:r>
      <w:r w:rsidR="001C597C">
        <w:t xml:space="preserve">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4BDEC58F" w14:textId="77777777" w:rsidR="001C597C" w:rsidRPr="00594D78" w:rsidRDefault="005C261D" w:rsidP="005902A9">
      <w:pPr>
        <w:pStyle w:val="H2Cont"/>
      </w:pPr>
      <w:r w:rsidRPr="001C597C">
        <w:t xml:space="preserve">COLOR </w:t>
      </w:r>
      <w:r w:rsidRPr="005902A9">
        <w:t>PROCESSING</w:t>
      </w:r>
      <w:r w:rsidRPr="001C597C">
        <w:t xml:space="preserve"> / PRINTING IN IEEE JOURNALS</w:t>
      </w:r>
    </w:p>
    <w:p w14:paraId="3C4DE54D" w14:textId="77777777" w:rsidR="001C597C" w:rsidRPr="00C957D8" w:rsidRDefault="001C597C" w:rsidP="001C597C">
      <w:pPr>
        <w:pStyle w:val="PARA"/>
        <w:rPr>
          <w:rStyle w:val="BodyText2"/>
          <w:rFonts w:ascii="Times New Roman" w:hAnsi="Times New Roman" w:cs="TimesLTStd-Roman"/>
          <w:color w:val="auto"/>
          <w:spacing w:val="-4"/>
          <w:sz w:val="20"/>
        </w:rPr>
      </w:pPr>
      <w:r w:rsidRPr="00C957D8">
        <w:rPr>
          <w:spacing w:val="-4"/>
        </w:rPr>
        <w:t xml:space="preserve">All IEEE Transactions, Journals, and Letters allow an author to publish color figures on IEEE </w:t>
      </w:r>
      <w:r w:rsidRPr="00C957D8">
        <w:rPr>
          <w:rStyle w:val="ITAL"/>
          <w:spacing w:val="-4"/>
        </w:rPr>
        <w:t>Xplore</w:t>
      </w:r>
      <w:r w:rsidRPr="00C957D8">
        <w:rPr>
          <w:spacing w:val="-4"/>
        </w:rPr>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3629976" w14:textId="77777777" w:rsidR="00486E60" w:rsidRPr="00E91452" w:rsidRDefault="001C597C" w:rsidP="00165F70">
      <w:pPr>
        <w:pStyle w:val="H1ListSpace"/>
      </w:pPr>
      <w:r w:rsidRPr="00165F70">
        <w:t>CONCLUSION</w:t>
      </w:r>
    </w:p>
    <w:p w14:paraId="48A5F937" w14:textId="77777777" w:rsidR="00BA7B2F" w:rsidRPr="00A8467A" w:rsidRDefault="001C597C" w:rsidP="001C597C">
      <w:pPr>
        <w:pStyle w:val="PARA"/>
        <w:rPr>
          <w:spacing w:val="0"/>
        </w:rPr>
      </w:pPr>
      <w:r w:rsidRPr="00A8467A">
        <w:rPr>
          <w:spacing w:val="0"/>
        </w:rPr>
        <w:t>A conclusion section is not required. Although a conclusion may review the main points of the paper, do not replicate the abstract as the conclusion. A conclusion might elaborate on the importance of the work or suggest applications and extensions.</w:t>
      </w:r>
    </w:p>
    <w:p w14:paraId="22569969" w14:textId="460C8E8F" w:rsidR="001C597C" w:rsidRPr="001C597C" w:rsidRDefault="001C597C" w:rsidP="001C597C">
      <w:pPr>
        <w:pStyle w:val="H1"/>
      </w:pPr>
      <w:r w:rsidRPr="001C597C">
        <w:t>APPENDIX</w:t>
      </w:r>
      <w:r w:rsidR="00BA31AE">
        <w:t xml:space="preserve"> A</w:t>
      </w:r>
    </w:p>
    <w:p w14:paraId="45D6B73D" w14:textId="77777777" w:rsidR="001C597C" w:rsidRPr="001C597C" w:rsidRDefault="005C261D" w:rsidP="00F62DC5">
      <w:pPr>
        <w:pStyle w:val="H1"/>
        <w:spacing w:before="0"/>
      </w:pPr>
      <w:r w:rsidRPr="00F62DC5">
        <w:t>FOOTNOTES</w:t>
      </w:r>
    </w:p>
    <w:p w14:paraId="594078EC" w14:textId="17A119B0" w:rsidR="001C597C" w:rsidRPr="00C276C8" w:rsidRDefault="001C597C" w:rsidP="001C597C">
      <w:pPr>
        <w:pStyle w:val="PARA"/>
        <w:rPr>
          <w:spacing w:val="0"/>
        </w:rPr>
      </w:pPr>
      <w:r w:rsidRPr="00C276C8">
        <w:rPr>
          <w:spacing w:val="0"/>
        </w:rPr>
        <w:t xml:space="preserve">Number footnotes separately in superscripts </w:t>
      </w:r>
      <w:r w:rsidR="00F62DC5" w:rsidRPr="00C276C8">
        <w:rPr>
          <w:spacing w:val="0"/>
        </w:rPr>
        <w:t>numbers.</w:t>
      </w:r>
      <w:r w:rsidR="00F62DC5" w:rsidRPr="00C276C8">
        <w:rPr>
          <w:rStyle w:val="FootnoteReference"/>
          <w:spacing w:val="0"/>
          <w:vertAlign w:val="baseline"/>
        </w:rPr>
        <w:t xml:space="preserve"> </w:t>
      </w:r>
      <w:r w:rsidRPr="00C276C8">
        <w:rPr>
          <w:rStyle w:val="FootnoteReference"/>
          <w:spacing w:val="0"/>
        </w:rPr>
        <w:footnoteReference w:id="1"/>
      </w:r>
      <w:r w:rsidRPr="00C276C8">
        <w:rPr>
          <w:spacing w:val="0"/>
        </w:rPr>
        <w:t xml:space="preserve"> Place the actua</w:t>
      </w:r>
      <w:r w:rsidR="005C261D" w:rsidRPr="00C276C8">
        <w:rPr>
          <w:spacing w:val="0"/>
        </w:rPr>
        <w:t xml:space="preserve">l footnote at the bottom of the </w:t>
      </w:r>
      <w:r w:rsidRPr="00C276C8">
        <w:rPr>
          <w:spacing w:val="0"/>
        </w:rPr>
        <w:t xml:space="preserve">column in which it is cited; do not put footnotes in the reference list (endnotes). Use letters for table footnotes (see Table I). </w:t>
      </w:r>
    </w:p>
    <w:p w14:paraId="33B3C84D" w14:textId="6563F980" w:rsidR="00D56AAE" w:rsidRPr="001C597C" w:rsidRDefault="00D56AAE" w:rsidP="00D56AAE">
      <w:pPr>
        <w:pStyle w:val="H1"/>
      </w:pPr>
      <w:r w:rsidRPr="00D56AAE">
        <w:t>APPENDIX</w:t>
      </w:r>
      <w:r>
        <w:t xml:space="preserve"> B</w:t>
      </w:r>
    </w:p>
    <w:p w14:paraId="131802E6" w14:textId="3DD37532" w:rsidR="00D56AAE" w:rsidRPr="001C597C" w:rsidRDefault="00D56AAE" w:rsidP="00D56AAE">
      <w:pPr>
        <w:pStyle w:val="H1"/>
        <w:spacing w:before="0"/>
      </w:pPr>
      <w:r w:rsidRPr="00D56AAE">
        <w:t>SUBMITTING YOUR PAPER FOR REVIEW</w:t>
      </w:r>
    </w:p>
    <w:p w14:paraId="5B8223FB" w14:textId="72740864" w:rsidR="00D11438" w:rsidRPr="00ED0A07" w:rsidRDefault="00D332C1" w:rsidP="0036342D">
      <w:pPr>
        <w:pStyle w:val="H2AfterH1"/>
        <w:numPr>
          <w:ilvl w:val="0"/>
          <w:numId w:val="8"/>
        </w:numPr>
        <w:spacing w:before="0"/>
      </w:pPr>
      <w:r w:rsidRPr="00D332C1">
        <w:t>FINAL STAGE</w:t>
      </w:r>
    </w:p>
    <w:p w14:paraId="46816D7C" w14:textId="52EBA1F5" w:rsidR="00D11438" w:rsidRDefault="00753AD5" w:rsidP="00753AD5">
      <w:pPr>
        <w:pStyle w:val="PARA"/>
      </w:pPr>
      <w:r>
        <w:t xml:space="preserve">When your article is accepted, you can submit the final files, including figures, tables, and photos, per the journal’s guidelines through the submission system used to submit the articlle. You may use </w:t>
      </w:r>
      <w:r w:rsidRPr="00753AD5">
        <w:rPr>
          <w:i/>
        </w:rPr>
        <w:t>Zip</w:t>
      </w:r>
      <w:r>
        <w:t xml:space="preserve"> for large files, or compress files using </w:t>
      </w:r>
      <w:r w:rsidRPr="00753AD5">
        <w:rPr>
          <w:i/>
        </w:rPr>
        <w:t>Compress</w:t>
      </w:r>
      <w:r>
        <w:t xml:space="preserve">, </w:t>
      </w:r>
      <w:r w:rsidRPr="00753AD5">
        <w:rPr>
          <w:i/>
        </w:rPr>
        <w:t>Pkzip</w:t>
      </w:r>
      <w:r>
        <w:t xml:space="preserve">, </w:t>
      </w:r>
      <w:r w:rsidRPr="00753AD5">
        <w:rPr>
          <w:i/>
        </w:rPr>
        <w:t>Stuffit</w:t>
      </w:r>
      <w:r>
        <w:t xml:space="preserve">, or </w:t>
      </w:r>
      <w:r w:rsidRPr="00753AD5">
        <w:rPr>
          <w:i/>
        </w:rPr>
        <w:t>Gzip</w:t>
      </w:r>
      <w:r>
        <w:t>.</w:t>
      </w:r>
    </w:p>
    <w:p w14:paraId="0CCAF1B9" w14:textId="7902AE8E" w:rsidR="00BE1BCC" w:rsidRDefault="00BE1BCC" w:rsidP="00BE1BCC">
      <w:pPr>
        <w:pStyle w:val="PARAIndent"/>
      </w:pPr>
      <w:r>
        <w:rPr>
          <w:lang w:eastAsia="en-IN"/>
        </w:rPr>
        <w:t>In addition, designate one author as the “corresponding author.” This is the author to whom proofs of the paper will be sent. Proofs are sent to the corresponding author only.</w:t>
      </w:r>
    </w:p>
    <w:p w14:paraId="6E51F7A0" w14:textId="30BA9FBB" w:rsidR="00D11438" w:rsidRPr="00594D78" w:rsidRDefault="00185AFE" w:rsidP="00A8467A">
      <w:pPr>
        <w:pStyle w:val="H2Cont"/>
        <w:numPr>
          <w:ilvl w:val="0"/>
          <w:numId w:val="41"/>
        </w:numPr>
        <w:spacing w:before="370"/>
      </w:pPr>
      <w:r w:rsidRPr="004B7C73">
        <w:t>REVIEW</w:t>
      </w:r>
      <w:r w:rsidRPr="00185AFE">
        <w:t xml:space="preserve"> STAGE USING IEEE AUTHOR PORTAL</w:t>
      </w:r>
    </w:p>
    <w:p w14:paraId="59959D33" w14:textId="64196836" w:rsidR="00D11438" w:rsidRDefault="003469D0" w:rsidP="003469D0">
      <w:pPr>
        <w:pStyle w:val="PARA"/>
      </w:pPr>
      <w:r>
        <w:t xml:space="preserve">Article contributions to IEEE Access should be submitted electronically on the IEEE Author Portal. For more information, please visit </w:t>
      </w:r>
      <w:r w:rsidRPr="003469D0">
        <w:rPr>
          <w:u w:val="single"/>
        </w:rPr>
        <w:t>https://ieeeaccess.ieee.org/</w:t>
      </w:r>
      <w:r>
        <w:t>.</w:t>
      </w:r>
    </w:p>
    <w:p w14:paraId="60FF8FBC" w14:textId="6E3ACFF0" w:rsidR="00D11438" w:rsidRPr="00601262" w:rsidRDefault="004B7C73" w:rsidP="004B7C73">
      <w:pPr>
        <w:pStyle w:val="PARAIndent"/>
        <w:rPr>
          <w:spacing w:val="0"/>
        </w:rPr>
      </w:pPr>
      <w:r w:rsidRPr="00601262">
        <w:rPr>
          <w:spacing w:val="0"/>
        </w:rPr>
        <w:t>Along with other information, you will be asked to select the subject from a pull-down list.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article, please contact ieeeaccess@ieee.org.</w:t>
      </w:r>
    </w:p>
    <w:p w14:paraId="19FCF883" w14:textId="3199D640" w:rsidR="00D11438" w:rsidRPr="001C50D7" w:rsidRDefault="004B7C73" w:rsidP="004B7C73">
      <w:pPr>
        <w:pStyle w:val="PARAIndent"/>
      </w:pPr>
      <w:r>
        <w:t>The manuscript should be prepared in a double column, single-spaced format using a required IEEE Access template. A Word or LaTeX file and a PDF file are both required upon submission in the IEEE Author Portal.</w:t>
      </w:r>
    </w:p>
    <w:p w14:paraId="18D6886B" w14:textId="52C52A2C" w:rsidR="00D11438" w:rsidRPr="004B7C73" w:rsidRDefault="00762309" w:rsidP="00A8467A">
      <w:pPr>
        <w:pStyle w:val="H2Cont"/>
        <w:spacing w:before="370"/>
      </w:pPr>
      <w:r w:rsidRPr="00762309">
        <w:t>FINAL STAGE USING IEEE AUTHOR PORTAL</w:t>
      </w:r>
    </w:p>
    <w:p w14:paraId="793C27A4" w14:textId="093B3C9F" w:rsidR="00D11438" w:rsidRPr="001C50D7" w:rsidRDefault="00416D80" w:rsidP="00416D80">
      <w:pPr>
        <w:pStyle w:val="PARA"/>
      </w:pPr>
      <w:r>
        <w:t>Upon acceptance, you will receive an email with specific instructions</w:t>
      </w:r>
    </w:p>
    <w:p w14:paraId="13C9B651" w14:textId="556D32F4" w:rsidR="00D11438" w:rsidRPr="002B0C37" w:rsidRDefault="00416D80" w:rsidP="00416D80">
      <w:pPr>
        <w:pStyle w:val="PARAIndent"/>
        <w:rPr>
          <w:spacing w:val="2"/>
        </w:rPr>
      </w:pPr>
      <w:r w:rsidRPr="002B0C37">
        <w:rPr>
          <w:spacing w:val="2"/>
        </w:rPr>
        <w:t xml:space="preserve">Designate the author who submitted the manuscript </w:t>
      </w:r>
      <w:r w:rsidR="002B0C37">
        <w:rPr>
          <w:spacing w:val="2"/>
        </w:rPr>
        <w:br/>
      </w:r>
      <w:r w:rsidRPr="002B0C37">
        <w:rPr>
          <w:spacing w:val="2"/>
        </w:rPr>
        <w:t>on IEEE Author Portal as the “corresponding author.” This is the only author to whom proofs of the paper will be sent.</w:t>
      </w:r>
    </w:p>
    <w:p w14:paraId="3C63FF18" w14:textId="77777777" w:rsidR="0001799E" w:rsidRPr="00D11438" w:rsidRDefault="00EC5C8C" w:rsidP="00A8467A">
      <w:pPr>
        <w:pStyle w:val="H2Cont"/>
        <w:spacing w:before="370"/>
      </w:pPr>
      <w:r w:rsidRPr="00D11438">
        <w:t>COPYRIGHT FORM</w:t>
      </w:r>
    </w:p>
    <w:p w14:paraId="633E0200" w14:textId="77777777" w:rsidR="0001799E" w:rsidRDefault="0001799E" w:rsidP="0001799E">
      <w:pPr>
        <w:pStyle w:val="PARA"/>
      </w:pPr>
      <w:r w:rsidRPr="00342BE1">
        <w:rPr>
          <w:shd w:val="clear" w:color="auto" w:fill="FFFFFF"/>
        </w:rPr>
        <w:t>Authors must submit an electronic IEEE Copyright Form (eCF)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ccess the eCF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416D80">
        <w:rPr>
          <w:u w:val="single"/>
          <w:shd w:val="clear" w:color="auto" w:fill="FFFFFF"/>
        </w:rPr>
        <w:t>http://www.ieee.org/publications</w:t>
      </w:r>
      <w:r w:rsidRPr="00336145">
        <w:rPr>
          <w:u w:val="single"/>
          <w:shd w:val="clear" w:color="auto" w:fill="FFFFFF"/>
        </w:rPr>
        <w:t>_</w:t>
      </w:r>
      <w:r w:rsidRPr="00416D80">
        <w:rPr>
          <w:u w:val="single"/>
          <w:shd w:val="clear" w:color="auto" w:fill="FFFFFF"/>
        </w:rPr>
        <w:br/>
        <w:t>standards/publications/rights/index.html</w:t>
      </w:r>
      <w:r>
        <w:rPr>
          <w:shd w:val="clear" w:color="auto" w:fill="FFFFFF"/>
        </w:rPr>
        <w:t xml:space="preserve">. </w:t>
      </w:r>
    </w:p>
    <w:p w14:paraId="78680223" w14:textId="1266C99C" w:rsidR="00174D84" w:rsidRPr="001C597C" w:rsidRDefault="00174D84" w:rsidP="00A8467A">
      <w:pPr>
        <w:pStyle w:val="H1"/>
        <w:spacing w:before="370"/>
      </w:pPr>
      <w:r w:rsidRPr="00D56AAE">
        <w:t>APPENDIX</w:t>
      </w:r>
      <w:r>
        <w:t xml:space="preserve"> C</w:t>
      </w:r>
    </w:p>
    <w:p w14:paraId="492702F5" w14:textId="7F9AF7D5" w:rsidR="00174D84" w:rsidRPr="001C597C" w:rsidRDefault="00174D84" w:rsidP="00174D84">
      <w:pPr>
        <w:pStyle w:val="H1"/>
        <w:spacing w:before="0"/>
      </w:pPr>
      <w:r w:rsidRPr="00174D84">
        <w:t>IEEE PUBLISHING POLICY</w:t>
      </w:r>
    </w:p>
    <w:p w14:paraId="42DC2BD2" w14:textId="77777777" w:rsidR="007250AC" w:rsidRDefault="00E87D96" w:rsidP="00A45310">
      <w:pPr>
        <w:pStyle w:val="PARA"/>
      </w:pPr>
      <w:r>
        <w:t>The general IEEE policy requires that authors should only submit original work that has neither appeared elsewhere</w:t>
      </w:r>
      <w:r w:rsidR="0001799E" w:rsidRPr="00BC4302">
        <w:t xml:space="preserve"> </w:t>
      </w:r>
      <w:r w:rsidR="00E33CF9">
        <w:t>for publication, nor is under review for another refereed publication. The submitting author must disclose all prior publication(s) and current submissions when submitting a manuscript. Do not publish “preliminary” data or results. To avoid any delays in publication, please be sure to follow these instructions. Final submissions should include source</w:t>
      </w:r>
    </w:p>
    <w:p w14:paraId="7AE82BE3" w14:textId="2BA70B2C" w:rsidR="00A45310" w:rsidRPr="00BC4302" w:rsidRDefault="00A45310" w:rsidP="00A45310">
      <w:pPr>
        <w:pStyle w:val="PARA"/>
        <w:sectPr w:rsidR="00A45310" w:rsidRPr="00BC4302" w:rsidSect="00CB2DB1">
          <w:footerReference w:type="default" r:id="rId17"/>
          <w:type w:val="continuous"/>
          <w:pgSz w:w="11520" w:h="15660" w:code="1"/>
          <w:pgMar w:top="1300" w:right="740" w:bottom="1040" w:left="740" w:header="360" w:footer="640" w:gutter="0"/>
          <w:pgNumType w:start="4"/>
          <w:cols w:num="2" w:space="400"/>
          <w:docGrid w:linePitch="360"/>
        </w:sectPr>
      </w:pPr>
    </w:p>
    <w:p w14:paraId="0A6517B1" w14:textId="4BE9437F" w:rsidR="00BC4302" w:rsidRDefault="00E33CF9" w:rsidP="00E33CF9">
      <w:pPr>
        <w:pStyle w:val="PARA"/>
      </w:pPr>
      <w:r>
        <w:lastRenderedPageBreak/>
        <w:t>files of your accepted manuscript, high quality graphic files, and a formatted pdf file. If you have any questions regarding the final submission process, please contact the administrative contact for the journal. author is responsible for obtaining agreement of all coauthors and any consent required from employers or sponsors before submitting an article.</w:t>
      </w:r>
    </w:p>
    <w:p w14:paraId="4ECF4AA9" w14:textId="558CB93C" w:rsidR="00E33CF9" w:rsidRDefault="00E33CF9" w:rsidP="00974712">
      <w:pPr>
        <w:pStyle w:val="PARAIndent"/>
      </w:pPr>
      <w:r>
        <w:t>The IEEE Access Editorial Office does not publish conference records or proceedings, but can publish articles related to conferences that have undergone rigorous peer review. Minimally, two reviews are required for every article submitted for peer review.</w:t>
      </w:r>
    </w:p>
    <w:p w14:paraId="4EB799D4" w14:textId="55CB6D04" w:rsidR="009261C4" w:rsidRPr="001C597C" w:rsidRDefault="009261C4" w:rsidP="001A4A79">
      <w:pPr>
        <w:pStyle w:val="H1"/>
        <w:spacing w:before="340"/>
      </w:pPr>
      <w:r w:rsidRPr="00D56AAE">
        <w:t>APPENDIX</w:t>
      </w:r>
      <w:r>
        <w:t xml:space="preserve"> D</w:t>
      </w:r>
    </w:p>
    <w:p w14:paraId="749546F5" w14:textId="08940F69" w:rsidR="009261C4" w:rsidRPr="001C597C" w:rsidRDefault="009261C4" w:rsidP="009261C4">
      <w:pPr>
        <w:pStyle w:val="H1"/>
        <w:spacing w:before="0"/>
      </w:pPr>
      <w:r w:rsidRPr="009261C4">
        <w:t>PUBLICATION PRINCIPLES</w:t>
      </w:r>
    </w:p>
    <w:p w14:paraId="798A6AE5" w14:textId="68B5A282" w:rsidR="0001799E" w:rsidRDefault="00C13F1C" w:rsidP="0001799E">
      <w:pPr>
        <w:pStyle w:val="PARA"/>
      </w:pPr>
      <w:r w:rsidRPr="00C13F1C">
        <w:t>Authors should consider the following points:</w:t>
      </w:r>
    </w:p>
    <w:p w14:paraId="3347B233" w14:textId="282E5952" w:rsidR="0001799E" w:rsidRDefault="00B1340A" w:rsidP="0095097F">
      <w:pPr>
        <w:pStyle w:val="Text"/>
        <w:numPr>
          <w:ilvl w:val="0"/>
          <w:numId w:val="2"/>
        </w:numPr>
        <w:ind w:left="560"/>
      </w:pPr>
      <w:r>
        <w:t>Technical papers submitted for publication must advance the state of knowledge and must cite relevant prior work.</w:t>
      </w:r>
    </w:p>
    <w:p w14:paraId="608C2B49" w14:textId="11C04572" w:rsidR="0001799E" w:rsidRDefault="00B1340A" w:rsidP="0095097F">
      <w:pPr>
        <w:pStyle w:val="Text"/>
        <w:numPr>
          <w:ilvl w:val="0"/>
          <w:numId w:val="2"/>
        </w:numPr>
        <w:ind w:left="560"/>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306202E9" w:rsidR="0001799E" w:rsidRDefault="00B1340A" w:rsidP="0095097F">
      <w:pPr>
        <w:pStyle w:val="Text"/>
        <w:numPr>
          <w:ilvl w:val="0"/>
          <w:numId w:val="2"/>
        </w:numPr>
        <w:ind w:left="560"/>
      </w:pPr>
      <w:r>
        <w:t>Authors must convince both peer reviewers and the editors of the scientific and technical merit of a paper; the standards of proof are higher when extraordinary or unexpected results are reported.</w:t>
      </w:r>
    </w:p>
    <w:p w14:paraId="5E89C66A" w14:textId="6A886646" w:rsidR="0001799E" w:rsidRPr="001C495F" w:rsidRDefault="00B1340A" w:rsidP="0095097F">
      <w:pPr>
        <w:pStyle w:val="Text"/>
        <w:numPr>
          <w:ilvl w:val="0"/>
          <w:numId w:val="2"/>
        </w:numPr>
        <w:ind w:left="560"/>
      </w:pPr>
      <w:r w:rsidRPr="001C495F">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95097F">
      <w:pPr>
        <w:pStyle w:val="Text"/>
        <w:numPr>
          <w:ilvl w:val="0"/>
          <w:numId w:val="2"/>
        </w:numPr>
        <w:ind w:left="560"/>
      </w:pPr>
      <w:r>
        <w:t>Papers that describe ongoing work or announce the latest technical achievement, which are suitable for presentation at a professional conference, may not be appropriate for publication.</w:t>
      </w:r>
    </w:p>
    <w:p w14:paraId="30751A3C" w14:textId="256EA889" w:rsidR="007E4ED6" w:rsidRPr="0086796B" w:rsidRDefault="007E4ED6" w:rsidP="001A4A79">
      <w:pPr>
        <w:pStyle w:val="H1"/>
        <w:spacing w:before="340"/>
      </w:pPr>
      <w:r w:rsidRPr="00D56AAE">
        <w:t>APPENDIX</w:t>
      </w:r>
      <w:r>
        <w:t xml:space="preserve"> E</w:t>
      </w:r>
    </w:p>
    <w:p w14:paraId="177C4CA3" w14:textId="79482112" w:rsidR="007E4ED6" w:rsidRPr="001C597C" w:rsidRDefault="007E4ED6" w:rsidP="007E4ED6">
      <w:pPr>
        <w:pStyle w:val="H1"/>
        <w:spacing w:before="0"/>
      </w:pPr>
      <w:r w:rsidRPr="007E4ED6">
        <w:t>REFERENCE EXAMPLES</w:t>
      </w:r>
    </w:p>
    <w:p w14:paraId="023A8D62" w14:textId="77777777" w:rsidR="0001799E" w:rsidRPr="000F33CB" w:rsidRDefault="0001799E" w:rsidP="001C495F">
      <w:pPr>
        <w:pStyle w:val="REFBUL"/>
      </w:pPr>
      <w:r w:rsidRPr="000F33CB">
        <w:t>Basic format for books:</w:t>
      </w:r>
    </w:p>
    <w:p w14:paraId="1B4E9F74" w14:textId="77777777" w:rsidR="0001799E" w:rsidRDefault="0001799E" w:rsidP="001C495F">
      <w:pPr>
        <w:pStyle w:val="REFTxt"/>
        <w:rPr>
          <w:rFonts w:cs="TimesNewRomanPS-ItalicMT"/>
          <w:i/>
          <w:iCs/>
        </w:rPr>
      </w:pPr>
      <w:r w:rsidRPr="0001799E">
        <w:t xml:space="preserve">J. K. Author, “Title of chapter in the book,” in </w:t>
      </w:r>
      <w:r w:rsidRPr="0001799E">
        <w:rPr>
          <w:rFonts w:cs="TimesNewRomanPS-ItalicMT"/>
          <w:i/>
          <w:iCs/>
        </w:rPr>
        <w:t>Title of His Published Book, x</w:t>
      </w:r>
      <w:r w:rsidRPr="0001799E">
        <w:t xml:space="preserve">th ed. City of Publisher, (only U.S. State), Country: Abbrev. of Publisher, year, ch. </w:t>
      </w:r>
      <w:r w:rsidRPr="0001799E">
        <w:rPr>
          <w:rFonts w:cs="TimesNewRomanPS-ItalicMT"/>
          <w:i/>
          <w:iCs/>
        </w:rPr>
        <w:t>x</w:t>
      </w:r>
      <w:r w:rsidRPr="0001799E">
        <w:t xml:space="preserve">, sec. </w:t>
      </w:r>
      <w:r w:rsidRPr="0001799E">
        <w:rPr>
          <w:rFonts w:cs="TimesNewRomanPS-ItalicMT"/>
          <w:i/>
          <w:iCs/>
        </w:rPr>
        <w:t>x</w:t>
      </w:r>
      <w:r w:rsidRPr="0001799E">
        <w:t xml:space="preserve">, pp. </w:t>
      </w:r>
      <w:r w:rsidRPr="0001799E">
        <w:rPr>
          <w:rFonts w:cs="TimesNewRomanPS-ItalicMT"/>
          <w:i/>
          <w:iCs/>
        </w:rPr>
        <w:t>xxx–xxx.</w:t>
      </w:r>
    </w:p>
    <w:p w14:paraId="29235102" w14:textId="6D80D125" w:rsidR="006E3B17" w:rsidRPr="006E3B17" w:rsidRDefault="006E3B17" w:rsidP="000844AB">
      <w:pPr>
        <w:pStyle w:val="REFTxt"/>
      </w:pPr>
      <w:r w:rsidRPr="006E3B17">
        <w:t>See [1], [2].</w:t>
      </w:r>
    </w:p>
    <w:p w14:paraId="3247D71F" w14:textId="2C9E3AAC" w:rsidR="0001799E" w:rsidRDefault="006E3B17" w:rsidP="006E3B17">
      <w:pPr>
        <w:pStyle w:val="REFBUL"/>
      </w:pPr>
      <w:r w:rsidRPr="006E3B17">
        <w:t>Basic format for periodicals:</w:t>
      </w:r>
    </w:p>
    <w:p w14:paraId="29636EE8" w14:textId="7EFB9281" w:rsidR="001316F6" w:rsidRDefault="001316F6" w:rsidP="004D0E4A">
      <w:pPr>
        <w:pStyle w:val="REFTxt"/>
        <w:rPr>
          <w:lang w:eastAsia="en-IN"/>
        </w:rPr>
      </w:pPr>
      <w:r>
        <w:rPr>
          <w:lang w:eastAsia="en-IN"/>
        </w:rPr>
        <w:t xml:space="preserve">J. K. Author, “Name of paper,” </w:t>
      </w:r>
      <w:r w:rsidRPr="001316F6">
        <w:rPr>
          <w:rFonts w:eastAsia="NimbusRomNo9L-ReguItal"/>
          <w:i/>
          <w:iCs/>
        </w:rPr>
        <w:t>Abbrev. Title of Periodical</w:t>
      </w:r>
      <w:r>
        <w:rPr>
          <w:lang w:eastAsia="en-IN"/>
        </w:rPr>
        <w:t xml:space="preserve">, vol. </w:t>
      </w:r>
      <w:r w:rsidRPr="00B313EF">
        <w:rPr>
          <w:rFonts w:eastAsia="NimbusRomNo9L-ReguItal"/>
          <w:i/>
        </w:rPr>
        <w:t>x</w:t>
      </w:r>
      <w:r w:rsidRPr="009116B8">
        <w:rPr>
          <w:rFonts w:eastAsia="NimbusRomNo9L-ReguItal"/>
        </w:rPr>
        <w:t>, no</w:t>
      </w:r>
      <w:r>
        <w:rPr>
          <w:lang w:eastAsia="en-IN"/>
        </w:rPr>
        <w:t xml:space="preserve">. </w:t>
      </w:r>
      <w:r w:rsidRPr="00B313EF">
        <w:rPr>
          <w:rFonts w:eastAsia="CMMI10"/>
          <w:i/>
        </w:rPr>
        <w:t>x</w:t>
      </w:r>
      <w:r w:rsidRPr="009116B8">
        <w:rPr>
          <w:rFonts w:eastAsia="CMMI10"/>
        </w:rPr>
        <w:t>,</w:t>
      </w:r>
      <w:r>
        <w:rPr>
          <w:rFonts w:eastAsia="CMMI10"/>
          <w:i/>
          <w:iCs/>
        </w:rPr>
        <w:t xml:space="preserve"> </w:t>
      </w:r>
      <w:r>
        <w:rPr>
          <w:lang w:eastAsia="en-IN"/>
        </w:rPr>
        <w:t>pp</w:t>
      </w:r>
      <w:r w:rsidRPr="009116B8">
        <w:rPr>
          <w:rFonts w:eastAsia="NimbusRomNo9L-ReguItal"/>
        </w:rPr>
        <w:t xml:space="preserve">. </w:t>
      </w:r>
      <w:r w:rsidRPr="00B313EF">
        <w:rPr>
          <w:rFonts w:eastAsia="NimbusRomNo9L-ReguItal"/>
          <w:i/>
        </w:rPr>
        <w:t>xxx</w:t>
      </w:r>
      <w:r w:rsidR="00EC2CC3">
        <w:rPr>
          <w:lang w:eastAsia="en-IN"/>
        </w:rPr>
        <w:t>–</w:t>
      </w:r>
      <w:r w:rsidRPr="00B313EF">
        <w:rPr>
          <w:rFonts w:eastAsia="NimbusRomNo9L-ReguItal"/>
          <w:i/>
        </w:rPr>
        <w:t>xxx</w:t>
      </w:r>
      <w:r w:rsidRPr="009116B8">
        <w:rPr>
          <w:rFonts w:eastAsia="NimbusRomNo9L-ReguItal"/>
        </w:rPr>
        <w:t xml:space="preserve">, </w:t>
      </w:r>
      <w:r>
        <w:rPr>
          <w:lang w:eastAsia="en-IN"/>
        </w:rPr>
        <w:t>Abbrev. Month, year, DOI. 10.1109.</w:t>
      </w:r>
      <w:r w:rsidRPr="00B313EF">
        <w:rPr>
          <w:rFonts w:eastAsia="NimbusRomNo9L-ReguItal"/>
          <w:i/>
        </w:rPr>
        <w:t>XXX</w:t>
      </w:r>
      <w:r>
        <w:rPr>
          <w:lang w:eastAsia="en-IN"/>
        </w:rPr>
        <w:t>.123456.</w:t>
      </w:r>
    </w:p>
    <w:p w14:paraId="01F1401C" w14:textId="4C9BF7C0" w:rsidR="001316F6" w:rsidRDefault="001316F6" w:rsidP="001316F6">
      <w:pPr>
        <w:pStyle w:val="REFTxt"/>
        <w:rPr>
          <w:lang w:eastAsia="en-IN"/>
        </w:rPr>
      </w:pPr>
      <w:r>
        <w:rPr>
          <w:lang w:eastAsia="en-IN"/>
        </w:rPr>
        <w:t>See [3]–[5].</w:t>
      </w:r>
    </w:p>
    <w:p w14:paraId="7B44719F" w14:textId="639ACB4F" w:rsidR="00B313EF" w:rsidRDefault="00B313EF" w:rsidP="00B313EF">
      <w:pPr>
        <w:pStyle w:val="REFBUL"/>
      </w:pPr>
      <w:r w:rsidRPr="00B313EF">
        <w:t>Basic format for reports:</w:t>
      </w:r>
    </w:p>
    <w:p w14:paraId="7CC57EF1" w14:textId="15F8E17A" w:rsidR="00B313EF" w:rsidRDefault="00B313EF" w:rsidP="00B313EF">
      <w:pPr>
        <w:pStyle w:val="REFTxt"/>
        <w:rPr>
          <w:lang w:eastAsia="en-IN"/>
        </w:rPr>
      </w:pPr>
      <w:r>
        <w:rPr>
          <w:lang w:eastAsia="en-IN"/>
        </w:rPr>
        <w:t xml:space="preserve">J. K. Author, “Title of report,” Abbrev. Name of Co., City of Co., Abbrev. State, Country, Rep. </w:t>
      </w:r>
      <w:r w:rsidRPr="00B313EF">
        <w:rPr>
          <w:i/>
          <w:lang w:eastAsia="en-IN"/>
        </w:rPr>
        <w:t>xxx</w:t>
      </w:r>
      <w:r>
        <w:rPr>
          <w:lang w:eastAsia="en-IN"/>
        </w:rPr>
        <w:t>, year.</w:t>
      </w:r>
    </w:p>
    <w:p w14:paraId="0C3F6A3A" w14:textId="3FA3F0A4" w:rsidR="00B313EF" w:rsidRPr="0001799E" w:rsidRDefault="00B313EF" w:rsidP="00B313EF">
      <w:pPr>
        <w:pStyle w:val="REFTxt"/>
      </w:pPr>
      <w:r>
        <w:rPr>
          <w:lang w:eastAsia="en-IN"/>
        </w:rPr>
        <w:t>See [6], [7].</w:t>
      </w:r>
    </w:p>
    <w:p w14:paraId="257D73A5" w14:textId="4FE76F2F" w:rsidR="00B313EF" w:rsidRDefault="00B313EF" w:rsidP="00B313EF">
      <w:pPr>
        <w:pStyle w:val="REFBUL"/>
      </w:pPr>
      <w:r w:rsidRPr="00B313EF">
        <w:t>Basic format for handbooks:</w:t>
      </w:r>
    </w:p>
    <w:p w14:paraId="3D1B5291" w14:textId="24727C4F" w:rsidR="00B313EF" w:rsidRPr="001C495F" w:rsidRDefault="00B313EF" w:rsidP="00B313EF">
      <w:pPr>
        <w:pStyle w:val="REFTxt"/>
        <w:rPr>
          <w:lang w:eastAsia="en-IN"/>
        </w:rPr>
      </w:pPr>
      <w:r w:rsidRPr="001C495F">
        <w:rPr>
          <w:i/>
          <w:lang w:eastAsia="en-IN"/>
        </w:rPr>
        <w:t>Name of Manual/Handbook</w:t>
      </w:r>
      <w:r w:rsidRPr="001C495F">
        <w:rPr>
          <w:lang w:eastAsia="en-IN"/>
        </w:rPr>
        <w:t xml:space="preserve">, </w:t>
      </w:r>
      <w:r w:rsidRPr="001C495F">
        <w:rPr>
          <w:i/>
          <w:lang w:eastAsia="en-IN"/>
        </w:rPr>
        <w:t>x</w:t>
      </w:r>
      <w:r w:rsidRPr="001C495F">
        <w:rPr>
          <w:lang w:eastAsia="en-IN"/>
        </w:rPr>
        <w:t xml:space="preserve"> ed., Abbrev. Name of Co., City of Co., Abbrev. State, Country, year, pp. </w:t>
      </w:r>
      <w:r w:rsidRPr="001C495F">
        <w:rPr>
          <w:i/>
          <w:lang w:eastAsia="en-IN"/>
        </w:rPr>
        <w:t>xxx</w:t>
      </w:r>
      <w:r w:rsidRPr="001C495F">
        <w:rPr>
          <w:lang w:eastAsia="en-IN"/>
        </w:rPr>
        <w:t>–</w:t>
      </w:r>
      <w:r w:rsidRPr="001C495F">
        <w:rPr>
          <w:i/>
          <w:lang w:eastAsia="en-IN"/>
        </w:rPr>
        <w:t>xxx</w:t>
      </w:r>
      <w:r w:rsidRPr="001C495F">
        <w:rPr>
          <w:lang w:eastAsia="en-IN"/>
        </w:rPr>
        <w:t>.</w:t>
      </w:r>
    </w:p>
    <w:p w14:paraId="612154D7" w14:textId="5C3B676E" w:rsidR="00B313EF" w:rsidRPr="0001799E" w:rsidRDefault="00B313EF" w:rsidP="00B313EF">
      <w:pPr>
        <w:pStyle w:val="REFTxt"/>
      </w:pPr>
      <w:r>
        <w:rPr>
          <w:lang w:eastAsia="en-IN"/>
        </w:rPr>
        <w:t>See [8], [9].</w:t>
      </w:r>
    </w:p>
    <w:p w14:paraId="6751ED22" w14:textId="55254573" w:rsidR="00E90A8F" w:rsidRDefault="00E90A8F" w:rsidP="00E90A8F">
      <w:pPr>
        <w:pStyle w:val="REFBUL"/>
      </w:pPr>
      <w:r w:rsidRPr="00E90A8F">
        <w:t>Basic format for books (when available online):</w:t>
      </w:r>
    </w:p>
    <w:p w14:paraId="18EC208B" w14:textId="000633D4" w:rsidR="00E90A8F" w:rsidRDefault="00E90A8F" w:rsidP="00E90A8F">
      <w:pPr>
        <w:pStyle w:val="REFTxt"/>
        <w:rPr>
          <w:lang w:eastAsia="en-IN"/>
        </w:rPr>
      </w:pPr>
      <w:r>
        <w:rPr>
          <w:lang w:eastAsia="en-IN"/>
        </w:rPr>
        <w:t xml:space="preserve">J. K. Author, “Title of chapter in the book,” in </w:t>
      </w:r>
      <w:r w:rsidRPr="00E90A8F">
        <w:rPr>
          <w:i/>
          <w:lang w:eastAsia="en-IN"/>
        </w:rPr>
        <w:t>Title of Published Book</w:t>
      </w:r>
      <w:r>
        <w:rPr>
          <w:lang w:eastAsia="en-IN"/>
        </w:rPr>
        <w:t xml:space="preserve">, </w:t>
      </w:r>
      <w:r w:rsidRPr="00E90A8F">
        <w:rPr>
          <w:i/>
          <w:lang w:eastAsia="en-IN"/>
        </w:rPr>
        <w:t>x</w:t>
      </w:r>
      <w:r>
        <w:rPr>
          <w:lang w:eastAsia="en-IN"/>
        </w:rPr>
        <w:t xml:space="preserve">th ed. City of Publisher, State,  Country: Abbrev. of Publisher, year, ch. </w:t>
      </w:r>
      <w:r w:rsidRPr="00E90A8F">
        <w:rPr>
          <w:i/>
          <w:lang w:eastAsia="en-IN"/>
        </w:rPr>
        <w:t>x</w:t>
      </w:r>
      <w:r>
        <w:rPr>
          <w:lang w:eastAsia="en-IN"/>
        </w:rPr>
        <w:t xml:space="preserve">, sec. </w:t>
      </w:r>
      <w:r w:rsidRPr="00E90A8F">
        <w:rPr>
          <w:i/>
          <w:lang w:eastAsia="en-IN"/>
        </w:rPr>
        <w:t>x</w:t>
      </w:r>
      <w:r>
        <w:rPr>
          <w:lang w:eastAsia="en-IN"/>
        </w:rPr>
        <w:t xml:space="preserve">, pp. </w:t>
      </w:r>
      <w:r w:rsidRPr="00E90A8F">
        <w:rPr>
          <w:i/>
          <w:lang w:eastAsia="en-IN"/>
        </w:rPr>
        <w:t>xxx</w:t>
      </w:r>
      <w:r>
        <w:rPr>
          <w:lang w:eastAsia="en-IN"/>
        </w:rPr>
        <w:t>–</w:t>
      </w:r>
      <w:r w:rsidRPr="00E90A8F">
        <w:rPr>
          <w:i/>
          <w:lang w:eastAsia="en-IN"/>
        </w:rPr>
        <w:t>xxx</w:t>
      </w:r>
      <w:r>
        <w:rPr>
          <w:lang w:eastAsia="en-IN"/>
        </w:rPr>
        <w:t xml:space="preserve">. [Online]. Available: </w:t>
      </w:r>
      <w:r w:rsidRPr="00E90A8F">
        <w:rPr>
          <w:u w:val="single"/>
          <w:lang w:eastAsia="en-IN"/>
        </w:rPr>
        <w:t>http://www.web.com</w:t>
      </w:r>
    </w:p>
    <w:p w14:paraId="0B972888" w14:textId="1F5C13AD" w:rsidR="00E90A8F" w:rsidRPr="0001799E" w:rsidRDefault="002D54D7" w:rsidP="00E90A8F">
      <w:pPr>
        <w:pStyle w:val="REFTxt"/>
      </w:pPr>
      <w:r>
        <w:rPr>
          <w:lang w:eastAsia="en-IN"/>
        </w:rPr>
        <w:t>See [10]–</w:t>
      </w:r>
      <w:r w:rsidR="00E90A8F">
        <w:rPr>
          <w:lang w:eastAsia="en-IN"/>
        </w:rPr>
        <w:t>[13].</w:t>
      </w:r>
    </w:p>
    <w:p w14:paraId="77F32156" w14:textId="45ADBE86" w:rsidR="00A4099B" w:rsidRDefault="00A4099B" w:rsidP="00A4099B">
      <w:pPr>
        <w:pStyle w:val="REFBUL"/>
      </w:pPr>
      <w:r w:rsidRPr="00A4099B">
        <w:t>Basic format for journals (when available online):</w:t>
      </w:r>
    </w:p>
    <w:p w14:paraId="4552CD90" w14:textId="77F5676C" w:rsidR="00A4099B" w:rsidRDefault="002D54D7" w:rsidP="002D54D7">
      <w:pPr>
        <w:pStyle w:val="REFTxt"/>
        <w:rPr>
          <w:lang w:eastAsia="en-IN"/>
        </w:rPr>
      </w:pPr>
      <w:r>
        <w:rPr>
          <w:lang w:eastAsia="en-IN"/>
        </w:rPr>
        <w:t xml:space="preserve">J. K. Author, “Name of paper,” </w:t>
      </w:r>
      <w:r w:rsidRPr="002D54D7">
        <w:rPr>
          <w:i/>
          <w:lang w:eastAsia="en-IN"/>
        </w:rPr>
        <w:t>Abbrev. Title of</w:t>
      </w:r>
      <w:r>
        <w:rPr>
          <w:i/>
          <w:lang w:eastAsia="en-IN"/>
        </w:rPr>
        <w:t xml:space="preserve"> </w:t>
      </w:r>
      <w:r w:rsidRPr="002D54D7">
        <w:rPr>
          <w:i/>
          <w:lang w:eastAsia="en-IN"/>
        </w:rPr>
        <w:t>Periodical</w:t>
      </w:r>
      <w:r>
        <w:rPr>
          <w:lang w:eastAsia="en-IN"/>
        </w:rPr>
        <w:t xml:space="preserve">, vol. </w:t>
      </w:r>
      <w:r w:rsidRPr="002D54D7">
        <w:rPr>
          <w:i/>
          <w:lang w:eastAsia="en-IN"/>
        </w:rPr>
        <w:t>x</w:t>
      </w:r>
      <w:r>
        <w:rPr>
          <w:lang w:eastAsia="en-IN"/>
        </w:rPr>
        <w:t xml:space="preserve">, no. </w:t>
      </w:r>
      <w:r w:rsidRPr="002D54D7">
        <w:rPr>
          <w:i/>
          <w:lang w:eastAsia="en-IN"/>
        </w:rPr>
        <w:t>x</w:t>
      </w:r>
      <w:r>
        <w:rPr>
          <w:lang w:eastAsia="en-IN"/>
        </w:rPr>
        <w:t xml:space="preserve">, pp. </w:t>
      </w:r>
      <w:r w:rsidRPr="002D54D7">
        <w:rPr>
          <w:i/>
          <w:lang w:eastAsia="en-IN"/>
        </w:rPr>
        <w:t>xxx</w:t>
      </w:r>
      <w:r>
        <w:rPr>
          <w:lang w:eastAsia="en-IN"/>
        </w:rPr>
        <w:t>–</w:t>
      </w:r>
      <w:r w:rsidRPr="002D54D7">
        <w:rPr>
          <w:i/>
          <w:lang w:eastAsia="en-IN"/>
        </w:rPr>
        <w:t>xxx</w:t>
      </w:r>
      <w:r>
        <w:rPr>
          <w:lang w:eastAsia="en-IN"/>
        </w:rPr>
        <w:t>, Abbrev. Month, year. Accessed on: Month, Day, year, DOI: 10.1109.</w:t>
      </w:r>
      <w:r w:rsidRPr="002D54D7">
        <w:rPr>
          <w:i/>
          <w:lang w:eastAsia="en-IN"/>
        </w:rPr>
        <w:t>XXX</w:t>
      </w:r>
      <w:r>
        <w:rPr>
          <w:lang w:eastAsia="en-IN"/>
        </w:rPr>
        <w:t>.123456, [Online].</w:t>
      </w:r>
    </w:p>
    <w:p w14:paraId="14A4E7C1" w14:textId="74A6B59E" w:rsidR="00A4099B" w:rsidRPr="0001799E" w:rsidRDefault="00A4099B" w:rsidP="00A4099B">
      <w:pPr>
        <w:pStyle w:val="REFTxt"/>
      </w:pPr>
      <w:r>
        <w:rPr>
          <w:lang w:eastAsia="en-IN"/>
        </w:rPr>
        <w:t>See [1</w:t>
      </w:r>
      <w:r w:rsidR="002D54D7">
        <w:rPr>
          <w:lang w:eastAsia="en-IN"/>
        </w:rPr>
        <w:t>4]–</w:t>
      </w:r>
      <w:r>
        <w:rPr>
          <w:lang w:eastAsia="en-IN"/>
        </w:rPr>
        <w:t>[1</w:t>
      </w:r>
      <w:r w:rsidR="002D54D7">
        <w:rPr>
          <w:lang w:eastAsia="en-IN"/>
        </w:rPr>
        <w:t>6</w:t>
      </w:r>
      <w:r>
        <w:rPr>
          <w:lang w:eastAsia="en-IN"/>
        </w:rPr>
        <w:t>].</w:t>
      </w:r>
    </w:p>
    <w:p w14:paraId="15E1284A" w14:textId="3C0D098B" w:rsidR="002D54D7" w:rsidRDefault="002D54D7" w:rsidP="002D54D7">
      <w:pPr>
        <w:pStyle w:val="REFBUL"/>
      </w:pPr>
      <w:r>
        <w:t>Basic format for papers presented at conferences (when</w:t>
      </w:r>
      <w:r w:rsidR="008C4341">
        <w:t xml:space="preserve"> </w:t>
      </w:r>
      <w:r>
        <w:t>available online):</w:t>
      </w:r>
    </w:p>
    <w:p w14:paraId="26629B99" w14:textId="22F140E1" w:rsidR="002D54D7" w:rsidRPr="00DC1FAF" w:rsidRDefault="002D54D7" w:rsidP="002D54D7">
      <w:pPr>
        <w:pStyle w:val="REFTxt"/>
        <w:rPr>
          <w:spacing w:val="-2"/>
          <w:lang w:eastAsia="en-IN"/>
        </w:rPr>
      </w:pPr>
      <w:r w:rsidRPr="00DC1FAF">
        <w:rPr>
          <w:spacing w:val="-2"/>
          <w:lang w:eastAsia="en-IN"/>
        </w:rPr>
        <w:t>J.K. Author. (year, month). Title. presented at abbrev. conference title. [Type of Medium]. Available: site/path/file</w:t>
      </w:r>
    </w:p>
    <w:p w14:paraId="3B368328" w14:textId="2FF80FFB" w:rsidR="002D54D7" w:rsidRPr="0001799E" w:rsidRDefault="002D54D7" w:rsidP="002D54D7">
      <w:pPr>
        <w:pStyle w:val="REFTxt"/>
      </w:pPr>
      <w:r>
        <w:rPr>
          <w:lang w:eastAsia="en-IN"/>
        </w:rPr>
        <w:t>See [17].</w:t>
      </w:r>
    </w:p>
    <w:p w14:paraId="123C3130" w14:textId="4BB3277E" w:rsidR="008C4341" w:rsidRDefault="008C4341" w:rsidP="008C4341">
      <w:pPr>
        <w:pStyle w:val="REFBUL"/>
      </w:pPr>
      <w:r>
        <w:t>Basic format for reports and handbooks (when available</w:t>
      </w:r>
      <w:r w:rsidR="004360DF">
        <w:t xml:space="preserve"> </w:t>
      </w:r>
      <w:r>
        <w:t>online):</w:t>
      </w:r>
    </w:p>
    <w:p w14:paraId="2A37B656" w14:textId="0DE24B06" w:rsidR="008C4341" w:rsidRDefault="003412F9" w:rsidP="003412F9">
      <w:pPr>
        <w:pStyle w:val="REFTxt"/>
        <w:rPr>
          <w:lang w:eastAsia="en-IN"/>
        </w:rPr>
      </w:pPr>
      <w:r>
        <w:rPr>
          <w:lang w:eastAsia="en-IN"/>
        </w:rPr>
        <w:t>J. K. Author. “Title of report,” Company. City, State, Country. Rep. no., (optional: vol./issue), Date. [Online] Available: site/path/file</w:t>
      </w:r>
    </w:p>
    <w:p w14:paraId="365AC80D" w14:textId="6CE13AAE" w:rsidR="008C4341" w:rsidRPr="0001799E" w:rsidRDefault="003412F9" w:rsidP="008C4341">
      <w:pPr>
        <w:pStyle w:val="REFTxt"/>
      </w:pPr>
      <w:r w:rsidRPr="003412F9">
        <w:rPr>
          <w:lang w:eastAsia="en-IN"/>
        </w:rPr>
        <w:t>See [18], [19].</w:t>
      </w:r>
    </w:p>
    <w:p w14:paraId="01B7BDE0" w14:textId="0D3D027C" w:rsidR="004C1DD3" w:rsidRDefault="004C1DD3" w:rsidP="004C1DD3">
      <w:pPr>
        <w:pStyle w:val="REFBUL"/>
      </w:pPr>
      <w:r>
        <w:t>Basic format for computer programs and electronic</w:t>
      </w:r>
      <w:r w:rsidR="00E77E5A">
        <w:t xml:space="preserve"> </w:t>
      </w:r>
      <w:r>
        <w:t>documents (when available online):</w:t>
      </w:r>
    </w:p>
    <w:p w14:paraId="00FBE3F7" w14:textId="2BD6EE29" w:rsidR="004C1DD3" w:rsidRDefault="00E77E5A" w:rsidP="00E77E5A">
      <w:pPr>
        <w:pStyle w:val="REFTxt"/>
        <w:rPr>
          <w:lang w:eastAsia="en-IN"/>
        </w:rPr>
      </w:pPr>
      <w:r>
        <w:rPr>
          <w:lang w:eastAsia="en-IN"/>
        </w:rPr>
        <w:t xml:space="preserve">Legislative body. Number of Congress, Session. (year, month day). </w:t>
      </w:r>
      <w:r w:rsidRPr="00F74621">
        <w:rPr>
          <w:i/>
          <w:lang w:eastAsia="en-IN"/>
        </w:rPr>
        <w:t>Number of bill or resolution</w:t>
      </w:r>
      <w:r>
        <w:rPr>
          <w:lang w:eastAsia="en-IN"/>
        </w:rPr>
        <w:t xml:space="preserve">, </w:t>
      </w:r>
      <w:r w:rsidRPr="00F74621">
        <w:rPr>
          <w:i/>
          <w:lang w:eastAsia="en-IN"/>
        </w:rPr>
        <w:t>Title</w:t>
      </w:r>
      <w:r>
        <w:rPr>
          <w:lang w:eastAsia="en-IN"/>
        </w:rPr>
        <w:t>. [Type of medium]. Available: site/path/file</w:t>
      </w:r>
    </w:p>
    <w:p w14:paraId="5A6526F0" w14:textId="129CA9A3" w:rsidR="004C1DD3" w:rsidRDefault="00F74621" w:rsidP="004C1DD3">
      <w:pPr>
        <w:pStyle w:val="REFTxt"/>
        <w:rPr>
          <w:lang w:eastAsia="en-IN"/>
        </w:rPr>
      </w:pPr>
      <w:r w:rsidRPr="00F74621">
        <w:rPr>
          <w:lang w:eastAsia="en-IN"/>
        </w:rPr>
        <w:t>See [20].</w:t>
      </w:r>
    </w:p>
    <w:p w14:paraId="5DCCFB6C" w14:textId="1738E3A7" w:rsidR="00C4392E" w:rsidRDefault="00C4392E" w:rsidP="00C4392E">
      <w:pPr>
        <w:pStyle w:val="REFBUL"/>
      </w:pPr>
      <w:r>
        <w:t xml:space="preserve">Basic format for patents (when available online): </w:t>
      </w:r>
    </w:p>
    <w:p w14:paraId="51DE6086" w14:textId="1B6E00FD" w:rsidR="00C4392E" w:rsidRDefault="00C4392E" w:rsidP="00C4392E">
      <w:pPr>
        <w:pStyle w:val="REFTxt"/>
      </w:pPr>
      <w:r>
        <w:t>Name of the invention, by inventor’s name. (year, month day). Patent Number [Type of medium]. Available: site/path/file</w:t>
      </w:r>
    </w:p>
    <w:p w14:paraId="5B29D2F0" w14:textId="77777777" w:rsidR="00C4392E" w:rsidRDefault="00C4392E" w:rsidP="00C4392E">
      <w:pPr>
        <w:pStyle w:val="REFTxt"/>
      </w:pPr>
      <w:r>
        <w:t>See [21].</w:t>
      </w:r>
    </w:p>
    <w:p w14:paraId="6E8E2E5B" w14:textId="3FFFA401" w:rsidR="00C4392E" w:rsidRDefault="00C4392E" w:rsidP="00C4392E">
      <w:pPr>
        <w:pStyle w:val="REFBUL"/>
      </w:pPr>
      <w:r>
        <w:t>Basic format</w:t>
      </w:r>
      <w:r w:rsidR="00472E27">
        <w:t xml:space="preserve"> </w:t>
      </w:r>
      <w:r>
        <w:t>for conference proceedings (published):</w:t>
      </w:r>
    </w:p>
    <w:p w14:paraId="6A207E94" w14:textId="2EB69A0B" w:rsidR="00C4392E" w:rsidRPr="0001799E" w:rsidRDefault="00C4392E" w:rsidP="00C4392E">
      <w:pPr>
        <w:pStyle w:val="REFTxt"/>
      </w:pPr>
      <w:r>
        <w:t xml:space="preserve">J. K. Author, “Title of paper,” in </w:t>
      </w:r>
      <w:r w:rsidRPr="00C4392E">
        <w:rPr>
          <w:i/>
        </w:rPr>
        <w:t>Abbreviated Name of Conf</w:t>
      </w:r>
      <w:r>
        <w:t xml:space="preserve">., City of Conf., Abbrev. State (if given), Country, year, pp. </w:t>
      </w:r>
      <w:r w:rsidRPr="00C4392E">
        <w:rPr>
          <w:i/>
        </w:rPr>
        <w:t>xxxxxx</w:t>
      </w:r>
      <w:r>
        <w:t>.</w:t>
      </w:r>
    </w:p>
    <w:p w14:paraId="1E0339E5" w14:textId="71BCC0C5" w:rsidR="00EA2030" w:rsidRDefault="00EA2030" w:rsidP="00EA2030">
      <w:pPr>
        <w:pStyle w:val="REFTxt"/>
      </w:pPr>
      <w:r>
        <w:t>See [22].</w:t>
      </w:r>
    </w:p>
    <w:p w14:paraId="2CE38FA1" w14:textId="77777777" w:rsidR="00EA2030" w:rsidRDefault="00EA2030" w:rsidP="00EA2030">
      <w:pPr>
        <w:pStyle w:val="REFBUL"/>
        <w:rPr>
          <w:rFonts w:eastAsia="NimbusRomNo9L-ReguItal"/>
          <w:lang w:eastAsia="en-IN"/>
        </w:rPr>
      </w:pPr>
      <w:r>
        <w:rPr>
          <w:rFonts w:eastAsia="NimbusRomNo9L-ReguItal"/>
          <w:lang w:eastAsia="en-IN"/>
        </w:rPr>
        <w:t>Example for papers presented at conferences (unpublished):</w:t>
      </w:r>
    </w:p>
    <w:p w14:paraId="25B84D37" w14:textId="3109E6BC" w:rsidR="00B313EF" w:rsidRDefault="00EA2030" w:rsidP="00EA2030">
      <w:pPr>
        <w:pStyle w:val="REFTxt"/>
        <w:rPr>
          <w:rFonts w:eastAsia="NimbusRomNo9L-ReguItal"/>
          <w:lang w:eastAsia="en-IN"/>
        </w:rPr>
      </w:pPr>
      <w:r>
        <w:rPr>
          <w:rFonts w:eastAsia="NimbusRomNo9L-ReguItal"/>
          <w:lang w:eastAsia="en-IN"/>
        </w:rPr>
        <w:t>See [23].</w:t>
      </w:r>
    </w:p>
    <w:p w14:paraId="0C0372F8" w14:textId="77777777" w:rsidR="005C7DF8" w:rsidRDefault="005C7DF8" w:rsidP="00C71521">
      <w:pPr>
        <w:pStyle w:val="REFBUL"/>
        <w:rPr>
          <w:rFonts w:eastAsia="NimbusRomNo9L-ReguItal"/>
          <w:lang w:eastAsia="en-IN"/>
        </w:rPr>
        <w:sectPr w:rsidR="005C7DF8" w:rsidSect="00CB2DB1">
          <w:footerReference w:type="default" r:id="rId18"/>
          <w:type w:val="continuous"/>
          <w:pgSz w:w="11520" w:h="15660" w:code="1"/>
          <w:pgMar w:top="1300" w:right="740" w:bottom="1040" w:left="740" w:header="360" w:footer="640" w:gutter="0"/>
          <w:cols w:num="2" w:space="400"/>
          <w:docGrid w:linePitch="360"/>
        </w:sectPr>
      </w:pPr>
    </w:p>
    <w:p w14:paraId="4101D4A8" w14:textId="1A74C056" w:rsidR="00C71521" w:rsidRDefault="00C71521" w:rsidP="00C71521">
      <w:pPr>
        <w:pStyle w:val="REFBUL"/>
        <w:rPr>
          <w:rFonts w:ascii="CMR10" w:eastAsia="CMR10" w:cs="CMR10"/>
          <w:lang w:eastAsia="en-IN"/>
        </w:rPr>
      </w:pPr>
      <w:r>
        <w:rPr>
          <w:rFonts w:eastAsia="NimbusRomNo9L-ReguItal"/>
          <w:lang w:eastAsia="en-IN"/>
        </w:rPr>
        <w:t>Basic format for patents</w:t>
      </w:r>
      <w:r>
        <w:rPr>
          <w:rFonts w:ascii="CMR10" w:eastAsia="CMR10" w:cs="CMR10"/>
          <w:lang w:eastAsia="en-IN"/>
        </w:rPr>
        <w:t>:</w:t>
      </w:r>
    </w:p>
    <w:p w14:paraId="2E542D7C" w14:textId="6E540419" w:rsidR="00C71521" w:rsidRDefault="00C71521" w:rsidP="00C71521">
      <w:pPr>
        <w:pStyle w:val="REFTxt"/>
        <w:rPr>
          <w:rFonts w:eastAsia="CMSY7"/>
          <w:lang w:eastAsia="en-IN"/>
        </w:rPr>
      </w:pPr>
      <w:r w:rsidRPr="00C71521">
        <w:rPr>
          <w:rFonts w:eastAsia="CMSY7"/>
        </w:rPr>
        <w:lastRenderedPageBreak/>
        <w:t xml:space="preserve">J. K. Author, “Title of patent,” U.S. Patent </w:t>
      </w:r>
      <w:r w:rsidRPr="00C71521">
        <w:rPr>
          <w:rFonts w:eastAsia="NimbusRomNo9L-ReguItal"/>
          <w:i/>
        </w:rPr>
        <w:t>x xxx xxx</w:t>
      </w:r>
      <w:r w:rsidRPr="00C71521">
        <w:rPr>
          <w:rFonts w:eastAsia="CMSY7"/>
        </w:rPr>
        <w:t>,</w:t>
      </w:r>
      <w:r w:rsidR="00DC1FAF">
        <w:rPr>
          <w:rFonts w:eastAsia="CMSY7"/>
        </w:rPr>
        <w:t xml:space="preserve"> </w:t>
      </w:r>
      <w:r>
        <w:rPr>
          <w:rFonts w:eastAsia="CMSY7"/>
          <w:lang w:eastAsia="en-IN"/>
        </w:rPr>
        <w:t>Abbrev. Month, day, year.</w:t>
      </w:r>
    </w:p>
    <w:p w14:paraId="6E61BC7F" w14:textId="77777777" w:rsidR="00C71521" w:rsidRDefault="00C71521" w:rsidP="00C71521">
      <w:pPr>
        <w:pStyle w:val="REFTxt"/>
        <w:rPr>
          <w:rFonts w:eastAsia="CMSY7"/>
          <w:lang w:eastAsia="en-IN"/>
        </w:rPr>
      </w:pPr>
      <w:r>
        <w:rPr>
          <w:rFonts w:eastAsia="CMSY7"/>
          <w:lang w:eastAsia="en-IN"/>
        </w:rPr>
        <w:t>See [24].</w:t>
      </w:r>
    </w:p>
    <w:p w14:paraId="4DC75C14" w14:textId="46E5756E" w:rsidR="00C71521" w:rsidRPr="00E90168" w:rsidRDefault="00C71521" w:rsidP="00C71521">
      <w:pPr>
        <w:pStyle w:val="REFBUL"/>
        <w:rPr>
          <w:spacing w:val="-4"/>
        </w:rPr>
      </w:pPr>
      <w:r w:rsidRPr="00E90168">
        <w:rPr>
          <w:rFonts w:eastAsia="NimbusRomNo9L-ReguItal"/>
          <w:spacing w:val="-4"/>
          <w:lang w:eastAsia="en-IN"/>
        </w:rPr>
        <w:t xml:space="preserve">Basic </w:t>
      </w:r>
      <w:r w:rsidRPr="00E90168">
        <w:rPr>
          <w:rFonts w:eastAsia="NimbusRomNo9L-ReguItal"/>
          <w:spacing w:val="-4"/>
        </w:rPr>
        <w:t>format</w:t>
      </w:r>
      <w:r w:rsidRPr="00E90168">
        <w:rPr>
          <w:rFonts w:eastAsia="NimbusRomNo9L-ReguItal"/>
          <w:spacing w:val="-4"/>
          <w:lang w:eastAsia="en-IN"/>
        </w:rPr>
        <w:t xml:space="preserve"> for theses (M.S.) and dissertations (Ph.D.):</w:t>
      </w:r>
    </w:p>
    <w:p w14:paraId="3B1686F0" w14:textId="241ACEEC" w:rsidR="0063306E" w:rsidRPr="0063306E" w:rsidRDefault="0063306E" w:rsidP="00E74E1D">
      <w:pPr>
        <w:pStyle w:val="REFTxt"/>
        <w:ind w:left="960" w:hanging="240"/>
      </w:pPr>
      <w:r w:rsidRPr="0063306E">
        <w:t>1)</w:t>
      </w:r>
      <w:r w:rsidRPr="0063306E">
        <w:tab/>
        <w:t>J. K. Author, “Title of thesis,” M.S. thesis, Abbrev. Dept., Abbrev. Univ., City of Univ., Abbrev. State, year.</w:t>
      </w:r>
    </w:p>
    <w:p w14:paraId="2A76F433" w14:textId="5AAE8184" w:rsidR="00B313EF" w:rsidRPr="0063306E" w:rsidRDefault="0063306E" w:rsidP="00E74E1D">
      <w:pPr>
        <w:pStyle w:val="REFTxt"/>
        <w:ind w:left="960" w:hanging="240"/>
      </w:pPr>
      <w:r w:rsidRPr="0063306E">
        <w:t>2)</w:t>
      </w:r>
      <w:r w:rsidRPr="0063306E">
        <w:tab/>
        <w:t>J. K. Author, “Title of dissertation,” Ph.D. dissertation, Abbrev. Dept., Abbrev. Univ., City of Univ., Abbrev. State, year.</w:t>
      </w:r>
    </w:p>
    <w:p w14:paraId="30830B5D" w14:textId="2F26D3EE" w:rsidR="00B313EF" w:rsidRDefault="0063306E" w:rsidP="001316F6">
      <w:pPr>
        <w:pStyle w:val="REFTxt"/>
        <w:rPr>
          <w:lang w:eastAsia="en-IN"/>
        </w:rPr>
      </w:pPr>
      <w:r w:rsidRPr="0063306E">
        <w:rPr>
          <w:rFonts w:eastAsia="CMSY7"/>
          <w:lang w:eastAsia="en-IN"/>
        </w:rPr>
        <w:t>See [25], [26].</w:t>
      </w:r>
    </w:p>
    <w:p w14:paraId="3187D636" w14:textId="2A37C267" w:rsidR="002A4118" w:rsidRPr="00D504EF" w:rsidRDefault="002A4118" w:rsidP="002A4118">
      <w:pPr>
        <w:pStyle w:val="REFBUL"/>
        <w:rPr>
          <w:spacing w:val="-4"/>
        </w:rPr>
      </w:pPr>
      <w:r w:rsidRPr="00D504EF">
        <w:rPr>
          <w:rFonts w:eastAsia="NimbusRomNo9L-ReguItal"/>
          <w:spacing w:val="-4"/>
          <w:lang w:eastAsia="en-IN"/>
        </w:rPr>
        <w:t>Basic format for the most common types of unpublished references:</w:t>
      </w:r>
    </w:p>
    <w:p w14:paraId="5B811F7E" w14:textId="4E3E66E3" w:rsidR="002A4118" w:rsidRDefault="002A4118" w:rsidP="00E74E1D">
      <w:pPr>
        <w:pStyle w:val="REFTxt"/>
        <w:ind w:left="960" w:hanging="240"/>
      </w:pPr>
      <w:r>
        <w:t>1)</w:t>
      </w:r>
      <w:r>
        <w:tab/>
        <w:t>J. K. Author, private communication, Abbrev. Month, year.</w:t>
      </w:r>
    </w:p>
    <w:p w14:paraId="03A1FD58" w14:textId="0CD4C1B0" w:rsidR="002A4118" w:rsidRDefault="002A4118" w:rsidP="00E74E1D">
      <w:pPr>
        <w:pStyle w:val="REFTxt"/>
        <w:ind w:left="960" w:hanging="240"/>
      </w:pPr>
      <w:r>
        <w:t>2)</w:t>
      </w:r>
      <w:r>
        <w:tab/>
        <w:t>J. K. Author, “Title of paper,” unpublished.</w:t>
      </w:r>
    </w:p>
    <w:p w14:paraId="43319DA0" w14:textId="6C526587" w:rsidR="002A4118" w:rsidRPr="0063306E" w:rsidRDefault="002A4118" w:rsidP="00E74E1D">
      <w:pPr>
        <w:pStyle w:val="REFTxt"/>
        <w:ind w:left="960" w:hanging="240"/>
      </w:pPr>
      <w:r>
        <w:t>3)</w:t>
      </w:r>
      <w:r>
        <w:tab/>
        <w:t>J. K. Author, “Title of paper,” to be published.</w:t>
      </w:r>
    </w:p>
    <w:p w14:paraId="7D4AF2E0" w14:textId="31DC4BB8" w:rsidR="00E43819" w:rsidRDefault="00B220B5" w:rsidP="00E43819">
      <w:pPr>
        <w:pStyle w:val="REFTxt"/>
        <w:rPr>
          <w:lang w:eastAsia="en-IN"/>
        </w:rPr>
      </w:pPr>
      <w:r>
        <w:rPr>
          <w:rFonts w:eastAsia="CMSY7"/>
          <w:lang w:eastAsia="en-IN"/>
        </w:rPr>
        <w:t>See [27]–</w:t>
      </w:r>
      <w:r w:rsidR="00E43819" w:rsidRPr="00E43819">
        <w:rPr>
          <w:rFonts w:eastAsia="CMSY7"/>
          <w:lang w:eastAsia="en-IN"/>
        </w:rPr>
        <w:t>[29].</w:t>
      </w:r>
    </w:p>
    <w:p w14:paraId="64C6B0E3" w14:textId="55559CCB" w:rsidR="004511F5" w:rsidRPr="00EA2030" w:rsidRDefault="004511F5" w:rsidP="004511F5">
      <w:pPr>
        <w:pStyle w:val="REFBUL"/>
      </w:pPr>
      <w:r w:rsidRPr="004511F5">
        <w:rPr>
          <w:rFonts w:eastAsia="NimbusRomNo9L-ReguItal"/>
          <w:lang w:eastAsia="en-IN"/>
        </w:rPr>
        <w:t>Basic formats for standards:</w:t>
      </w:r>
    </w:p>
    <w:p w14:paraId="458D24A6" w14:textId="63348ED2" w:rsidR="00076966" w:rsidRDefault="00076966" w:rsidP="00E74E1D">
      <w:pPr>
        <w:pStyle w:val="REFTxt"/>
        <w:ind w:left="960" w:hanging="240"/>
      </w:pPr>
      <w:r>
        <w:t>1)</w:t>
      </w:r>
      <w:r>
        <w:tab/>
      </w:r>
      <w:r w:rsidRPr="00B220B5">
        <w:rPr>
          <w:i/>
        </w:rPr>
        <w:t>Title of Standard</w:t>
      </w:r>
      <w:r>
        <w:t>, Standard number, date.</w:t>
      </w:r>
    </w:p>
    <w:p w14:paraId="357CEFB9" w14:textId="57231799" w:rsidR="004511F5" w:rsidRDefault="00076966" w:rsidP="00E74E1D">
      <w:pPr>
        <w:pStyle w:val="REFTxt"/>
        <w:ind w:left="960" w:hanging="240"/>
      </w:pPr>
      <w:r>
        <w:t>2)</w:t>
      </w:r>
      <w:r>
        <w:tab/>
      </w:r>
      <w:r w:rsidRPr="00B220B5">
        <w:rPr>
          <w:i/>
        </w:rPr>
        <w:t>Title of Standard</w:t>
      </w:r>
      <w:r>
        <w:t>, Standard number, Corporate author, location, date.</w:t>
      </w:r>
    </w:p>
    <w:p w14:paraId="6B518CF6" w14:textId="3FAE9636" w:rsidR="00B220B5" w:rsidRDefault="00B220B5" w:rsidP="00B220B5">
      <w:pPr>
        <w:pStyle w:val="REFTxt"/>
        <w:rPr>
          <w:lang w:eastAsia="en-IN"/>
        </w:rPr>
      </w:pPr>
      <w:r w:rsidRPr="00B220B5">
        <w:rPr>
          <w:rFonts w:eastAsia="CMSY7"/>
          <w:lang w:eastAsia="en-IN"/>
        </w:rPr>
        <w:t>See [30], [31].</w:t>
      </w:r>
    </w:p>
    <w:p w14:paraId="59A6083E" w14:textId="00CE7212" w:rsidR="00090D81" w:rsidRPr="00EA2030" w:rsidRDefault="00090D81" w:rsidP="00090D81">
      <w:pPr>
        <w:pStyle w:val="REFBUL"/>
      </w:pPr>
      <w:r w:rsidRPr="00090D81">
        <w:rPr>
          <w:rFonts w:eastAsia="NimbusRomNo9L-ReguItal"/>
          <w:lang w:eastAsia="en-IN"/>
        </w:rPr>
        <w:t>Article number in reference examples:</w:t>
      </w:r>
    </w:p>
    <w:p w14:paraId="6E5618CD" w14:textId="45AB62F3" w:rsidR="00FA1CDC" w:rsidRDefault="00FA1CDC" w:rsidP="00FA1CDC">
      <w:pPr>
        <w:pStyle w:val="REFTxt"/>
        <w:rPr>
          <w:lang w:eastAsia="en-IN"/>
        </w:rPr>
      </w:pPr>
      <w:r w:rsidRPr="00FA1CDC">
        <w:rPr>
          <w:rFonts w:eastAsia="CMSY7"/>
          <w:lang w:eastAsia="en-IN"/>
        </w:rPr>
        <w:t>See [32], [33].</w:t>
      </w:r>
    </w:p>
    <w:p w14:paraId="49BFD498" w14:textId="27ABCF18" w:rsidR="002D7313" w:rsidRPr="00EA2030" w:rsidRDefault="002D7313" w:rsidP="002D7313">
      <w:pPr>
        <w:pStyle w:val="REFBUL"/>
      </w:pPr>
      <w:r w:rsidRPr="002D7313">
        <w:rPr>
          <w:rFonts w:eastAsia="NimbusRomNo9L-ReguItal"/>
          <w:lang w:eastAsia="en-IN"/>
        </w:rPr>
        <w:t>Example when using et al.:</w:t>
      </w:r>
    </w:p>
    <w:p w14:paraId="5F4BA7E7" w14:textId="734D7ADD" w:rsidR="002D7313" w:rsidRDefault="00B80094" w:rsidP="002D7313">
      <w:pPr>
        <w:pStyle w:val="REFTxt"/>
        <w:rPr>
          <w:lang w:eastAsia="en-IN"/>
        </w:rPr>
      </w:pPr>
      <w:r w:rsidRPr="00B80094">
        <w:rPr>
          <w:rFonts w:eastAsia="CMSY7"/>
          <w:lang w:eastAsia="en-IN"/>
        </w:rPr>
        <w:t>See [34].</w:t>
      </w:r>
    </w:p>
    <w:p w14:paraId="59AAA22F" w14:textId="47075BC2" w:rsidR="00EC7F67" w:rsidRPr="001C597C" w:rsidRDefault="00EC7F67" w:rsidP="001E4083">
      <w:pPr>
        <w:pStyle w:val="H1"/>
        <w:spacing w:before="300"/>
      </w:pPr>
      <w:r w:rsidRPr="00EC7F67">
        <w:t>ACKNOWLEDGMENT</w:t>
      </w:r>
    </w:p>
    <w:p w14:paraId="2E57C986" w14:textId="40F1945E" w:rsidR="00B313EF" w:rsidRDefault="00B71D96" w:rsidP="00067C21">
      <w:pPr>
        <w:pStyle w:val="PARA"/>
        <w:rPr>
          <w:lang w:eastAsia="en-IN"/>
        </w:rPr>
      </w:pPr>
      <w:r>
        <w:t>The preferred spelling of the word “acknowledgment” in American English is without an “e” after the “g.” Use the singular heading even if you have many acknowledgments. Avoid expressions such as “One of us (S.B.A.) would like to thank . . . .” Instead, write “F. A. Author thanks . . . .” In most cases, sponsor and financial support acknowledgments are placed in the unnumbered footnote on the first page, not here.</w:t>
      </w:r>
    </w:p>
    <w:p w14:paraId="7CD699F9" w14:textId="11B3F755" w:rsidR="00067C21" w:rsidRPr="001C597C" w:rsidRDefault="00067C21" w:rsidP="001E4083">
      <w:pPr>
        <w:pStyle w:val="H1"/>
        <w:spacing w:before="300"/>
      </w:pPr>
      <w:r w:rsidRPr="00067C21">
        <w:t>REFERENCES</w:t>
      </w:r>
    </w:p>
    <w:p w14:paraId="332CC709" w14:textId="77777777" w:rsidR="002A24AD" w:rsidRDefault="002A24AD" w:rsidP="002A24AD">
      <w:pPr>
        <w:pStyle w:val="References"/>
      </w:pPr>
      <w:r>
        <w:t xml:space="preserve">G. O. Young, “Synthetic structure of industrial plastics,” in </w:t>
      </w:r>
      <w:r w:rsidRPr="00F65DD1">
        <w:rPr>
          <w:rFonts w:eastAsia="NimbusRomNo9L-ReguItal"/>
          <w:i/>
        </w:rPr>
        <w:t xml:space="preserve">Plastics, </w:t>
      </w:r>
      <w:r>
        <w:t>2</w:t>
      </w:r>
      <w:r w:rsidRPr="003036BA">
        <w:rPr>
          <w:vertAlign w:val="superscript"/>
        </w:rPr>
        <w:t>nd</w:t>
      </w:r>
      <w:r w:rsidRPr="003036BA">
        <w:t xml:space="preserve"> </w:t>
      </w:r>
      <w:r>
        <w:t>ed., vol. 3, J. Peters, Ed. New York, NY, USA: McGraw-Hill, 1964, pp.15–64.</w:t>
      </w:r>
    </w:p>
    <w:p w14:paraId="57DC7C02" w14:textId="77777777" w:rsidR="002A24AD" w:rsidRDefault="002A24AD" w:rsidP="002A24AD">
      <w:pPr>
        <w:pStyle w:val="References"/>
      </w:pPr>
      <w:r>
        <w:t xml:space="preserve">W.-K. Chen, </w:t>
      </w:r>
      <w:r w:rsidRPr="00F65DD1">
        <w:rPr>
          <w:rFonts w:eastAsia="NimbusRomNo9L-ReguItal"/>
          <w:i/>
        </w:rPr>
        <w:t xml:space="preserve">Linear Networks and Systems. </w:t>
      </w:r>
      <w:r>
        <w:t>Belmont, CA, USA: Wadsworth, 1993, pp. 123–135.</w:t>
      </w:r>
    </w:p>
    <w:p w14:paraId="408E4D77" w14:textId="77777777" w:rsidR="002A24AD" w:rsidRDefault="002A24AD" w:rsidP="002A24AD">
      <w:pPr>
        <w:pStyle w:val="References"/>
      </w:pPr>
      <w:r>
        <w:t xml:space="preserve">J. U. Duncombe, “Infrared navigation—Part I: An assessment of feasibility,” </w:t>
      </w:r>
      <w:r w:rsidRPr="00F65DD1">
        <w:rPr>
          <w:rFonts w:eastAsia="NimbusRomNo9L-ReguItal"/>
          <w:i/>
        </w:rPr>
        <w:t>IEEE Trans. Electron Devices</w:t>
      </w:r>
      <w:r>
        <w:t>, vol. ED-11, no. 1, pp. 34–39, Jan. 1959, 10.1109/TED.2016.2628402.</w:t>
      </w:r>
    </w:p>
    <w:p w14:paraId="2E3EA7EC" w14:textId="77777777" w:rsidR="002A24AD" w:rsidRDefault="002A24AD" w:rsidP="002A24AD">
      <w:pPr>
        <w:pStyle w:val="References"/>
      </w:pPr>
      <w:r>
        <w:t xml:space="preserve">E. P. Wigner, “Theory of traveling-wave optical laser,” </w:t>
      </w:r>
      <w:r w:rsidRPr="00F65DD1">
        <w:rPr>
          <w:rFonts w:eastAsia="NimbusRomNo9L-ReguItal"/>
          <w:i/>
        </w:rPr>
        <w:t>Phys. Rev</w:t>
      </w:r>
      <w:r>
        <w:t>., vol. 134, pp. A635–A646, Dec. 1965.</w:t>
      </w:r>
    </w:p>
    <w:p w14:paraId="34BCCC78" w14:textId="77777777" w:rsidR="002A24AD" w:rsidRDefault="002A24AD" w:rsidP="002A24AD">
      <w:pPr>
        <w:pStyle w:val="References"/>
      </w:pPr>
      <w:r>
        <w:t xml:space="preserve">E. H. Miller, “A note on reflector arrays,” </w:t>
      </w:r>
      <w:r w:rsidRPr="00F65DD1">
        <w:rPr>
          <w:rFonts w:eastAsia="NimbusRomNo9L-ReguItal"/>
          <w:i/>
        </w:rPr>
        <w:t>IEEE Trans. Antennas Propagat</w:t>
      </w:r>
      <w:r>
        <w:t>., to be published.</w:t>
      </w:r>
    </w:p>
    <w:p w14:paraId="49FCF93A" w14:textId="77777777" w:rsidR="002A24AD" w:rsidRDefault="002A24AD" w:rsidP="002A24AD">
      <w:pPr>
        <w:pStyle w:val="References"/>
      </w:pPr>
      <w:r>
        <w:t>E. E. Reber, R. L. Michell, and C. J. Carter, “Oxygen absorption in the earth’s atmosphere,” Aerospace Corp., Los Angeles, CA, USA, Tech. Rep. TR-0200 (4230-46)-3, Nov. 1988.</w:t>
      </w:r>
    </w:p>
    <w:p w14:paraId="08F1F38D" w14:textId="77777777" w:rsidR="002A24AD" w:rsidRDefault="002A24AD" w:rsidP="002A24AD">
      <w:pPr>
        <w:pStyle w:val="References"/>
      </w:pPr>
      <w:r>
        <w:t>J. H. Davis and J. R. Cogdell, “Calibration program for the 16-foot antenna,” Elect. Eng. Res. Lab., Univ. Texas, Austin, TX, USA, Tech. Memo. NGL-006-69-3, Nov. 15, 1987.</w:t>
      </w:r>
    </w:p>
    <w:p w14:paraId="451914A8" w14:textId="77777777" w:rsidR="002A24AD" w:rsidRDefault="002A24AD" w:rsidP="002A24AD">
      <w:pPr>
        <w:pStyle w:val="References"/>
      </w:pPr>
      <w:r w:rsidRPr="00F65DD1">
        <w:rPr>
          <w:rFonts w:eastAsia="NimbusRomNo9L-ReguItal"/>
          <w:i/>
        </w:rPr>
        <w:t>Transmission Systems for Communications</w:t>
      </w:r>
      <w:r>
        <w:t>, 3</w:t>
      </w:r>
      <w:r w:rsidRPr="003036BA">
        <w:rPr>
          <w:vertAlign w:val="superscript"/>
        </w:rPr>
        <w:t xml:space="preserve">rd </w:t>
      </w:r>
      <w:r>
        <w:t>ed., Western Electric Co., Winston-Salem, NC, USA, 1985, pp. 44–60.</w:t>
      </w:r>
    </w:p>
    <w:p w14:paraId="6E3A3FDA" w14:textId="77777777" w:rsidR="002A24AD" w:rsidRDefault="002A24AD" w:rsidP="002A24AD">
      <w:pPr>
        <w:pStyle w:val="References"/>
      </w:pPr>
      <w:r w:rsidRPr="00F65DD1">
        <w:rPr>
          <w:rFonts w:eastAsia="NimbusRomNo9L-ReguItal"/>
          <w:i/>
        </w:rPr>
        <w:t>Motorola Semiconductor Data Manual</w:t>
      </w:r>
      <w:r>
        <w:t>, Motorola Semiconductor Products Inc., Phoenix, AZ, USA, 1989.</w:t>
      </w:r>
    </w:p>
    <w:p w14:paraId="4BB091B2" w14:textId="77777777" w:rsidR="002A24AD" w:rsidRDefault="002A24AD" w:rsidP="002A24AD">
      <w:pPr>
        <w:pStyle w:val="References"/>
      </w:pPr>
      <w:r>
        <w:t>G. O. Young, “Synthetic structure of industrial plastics,” in Plastics, vol. 3, Polymers of Hexadromicon, J. Peters, Ed., 2</w:t>
      </w:r>
      <w:r w:rsidRPr="003036BA">
        <w:rPr>
          <w:vertAlign w:val="superscript"/>
        </w:rPr>
        <w:t xml:space="preserve">nd </w:t>
      </w:r>
      <w:r>
        <w:t xml:space="preserve">ed. New York, NY, USA: McGraw-Hill, 1964, pp. 15-64. [Online]. Available: </w:t>
      </w:r>
      <w:r w:rsidRPr="00B262E4">
        <w:rPr>
          <w:u w:val="single"/>
        </w:rPr>
        <w:t>http://www.bookref.com</w:t>
      </w:r>
      <w:r>
        <w:t>.</w:t>
      </w:r>
    </w:p>
    <w:p w14:paraId="4FD22B1C" w14:textId="77777777" w:rsidR="002A24AD" w:rsidRDefault="002A24AD" w:rsidP="002A24AD">
      <w:pPr>
        <w:pStyle w:val="References"/>
      </w:pPr>
      <w:r w:rsidRPr="00F65DD1">
        <w:rPr>
          <w:rFonts w:eastAsia="NimbusRomNo9L-ReguItal"/>
          <w:i/>
        </w:rPr>
        <w:t>The Founders’ Constitution</w:t>
      </w:r>
      <w:r>
        <w:t xml:space="preserve">, Philip B. Kurland and Ralph Lerner, eds., Chicago, IL, USA: Univ. Chicago Press, 1987. [Online]. Available: </w:t>
      </w:r>
      <w:r w:rsidRPr="00B262E4">
        <w:rPr>
          <w:u w:val="single"/>
        </w:rPr>
        <w:t>http://press-pubs.uchicago.edu/founders/</w:t>
      </w:r>
    </w:p>
    <w:p w14:paraId="4CCCBC05" w14:textId="3194A27B" w:rsidR="002A24AD" w:rsidRDefault="002A24AD" w:rsidP="002A24AD">
      <w:pPr>
        <w:pStyle w:val="References"/>
      </w:pPr>
      <w:r>
        <w:t xml:space="preserve">The Terahertz Wave eBook. ZOmega Terahertz Corp., 2014. [Online]. Available: </w:t>
      </w:r>
      <w:r w:rsidRPr="00B262E4">
        <w:rPr>
          <w:u w:val="single"/>
        </w:rPr>
        <w:t>http://dl.z-thz.com/eBook/zomega_ebook_pdf_1206_sr.pdf</w:t>
      </w:r>
      <w:r>
        <w:t>. Accessed on: May 19, 2014.</w:t>
      </w:r>
    </w:p>
    <w:p w14:paraId="6555E667" w14:textId="77777777" w:rsidR="002A24AD" w:rsidRDefault="002A24AD" w:rsidP="002A24AD">
      <w:pPr>
        <w:pStyle w:val="References"/>
      </w:pPr>
      <w:r>
        <w:t xml:space="preserve">Philip B. Kurland and Ralph Lerner, eds., </w:t>
      </w:r>
      <w:r w:rsidRPr="00F65DD1">
        <w:rPr>
          <w:rFonts w:eastAsia="NimbusRomNo9L-ReguItal"/>
          <w:i/>
        </w:rPr>
        <w:t xml:space="preserve">The Founders’ Constitution. </w:t>
      </w:r>
      <w:r>
        <w:t xml:space="preserve">Chicago, IL, USA: Univ. of Chicago Press, 1987, Accessed on: Feb. 28, 2010, [Online] Available: </w:t>
      </w:r>
      <w:r w:rsidRPr="00B262E4">
        <w:rPr>
          <w:u w:val="single"/>
        </w:rPr>
        <w:t>http://press-pubs.uchicago.edu/founders/</w:t>
      </w:r>
    </w:p>
    <w:p w14:paraId="2B74EE69" w14:textId="77777777" w:rsidR="002A24AD" w:rsidRDefault="002A24AD" w:rsidP="002A24AD">
      <w:pPr>
        <w:pStyle w:val="References"/>
      </w:pPr>
      <w:r>
        <w:t xml:space="preserve">J. S. Turner, “New directions in communications,” </w:t>
      </w:r>
      <w:r w:rsidRPr="00F65DD1">
        <w:rPr>
          <w:rFonts w:eastAsia="NimbusRomNo9L-ReguItal"/>
          <w:i/>
        </w:rPr>
        <w:t>IEEE J. Sel. Areas Commun</w:t>
      </w:r>
      <w:r>
        <w:t>., vol. 13, no. 1, pp. 11-23, Jan. 1995.</w:t>
      </w:r>
    </w:p>
    <w:p w14:paraId="3FEB08B0" w14:textId="77777777" w:rsidR="002A24AD" w:rsidRDefault="002A24AD" w:rsidP="002A24AD">
      <w:pPr>
        <w:pStyle w:val="References"/>
      </w:pPr>
      <w:r>
        <w:t xml:space="preserve">W. P. Risk, G. S. Kino, and H. J. Shaw, “Fiber-optic frequency shifter using a surface acoustic wave incident at an oblique angle,” </w:t>
      </w:r>
      <w:r w:rsidRPr="00F65DD1">
        <w:rPr>
          <w:rFonts w:eastAsia="NimbusRomNo9L-ReguItal"/>
          <w:i/>
        </w:rPr>
        <w:t>Opt. Lett.</w:t>
      </w:r>
      <w:r>
        <w:t>, vol. 11, no. 2, pp. 115–117, Feb. 1986.</w:t>
      </w:r>
    </w:p>
    <w:p w14:paraId="36B919E9" w14:textId="77777777" w:rsidR="002A24AD" w:rsidRDefault="002A24AD" w:rsidP="002A24AD">
      <w:pPr>
        <w:pStyle w:val="References"/>
      </w:pPr>
      <w:r>
        <w:t xml:space="preserve">P. Kopyt </w:t>
      </w:r>
      <w:r w:rsidRPr="00F65DD1">
        <w:rPr>
          <w:rFonts w:eastAsia="NimbusRomNo9L-ReguItal"/>
          <w:i/>
        </w:rPr>
        <w:t>et al., “</w:t>
      </w:r>
      <w:r>
        <w:t xml:space="preserve">Electric properties of graphene-based conductive layers from DC up to terahertz range,” </w:t>
      </w:r>
      <w:r w:rsidRPr="00F65DD1">
        <w:rPr>
          <w:rFonts w:eastAsia="NimbusRomNo9L-ReguItal"/>
          <w:i/>
        </w:rPr>
        <w:t xml:space="preserve">IEEE THz Sci. Technol., </w:t>
      </w:r>
      <w:r>
        <w:t>to be published. DOI: 10.1109/TTHZ.2016.2544142.</w:t>
      </w:r>
    </w:p>
    <w:p w14:paraId="7623CE8B" w14:textId="77777777" w:rsidR="002A24AD" w:rsidRDefault="002A24AD" w:rsidP="002A24AD">
      <w:pPr>
        <w:pStyle w:val="References"/>
      </w:pPr>
      <w:r>
        <w:t xml:space="preserve">PROCESS Corporation, Boston, MA, USA. Intranets: Internet technologies deployed behind the firewall for corporate productivity. Presented at INET96 Annual Meeting. [Online]. Available: </w:t>
      </w:r>
      <w:r w:rsidRPr="00B262E4">
        <w:rPr>
          <w:u w:val="single"/>
        </w:rPr>
        <w:t>http://home.process.com/Intranets/wp2.htp</w:t>
      </w:r>
    </w:p>
    <w:p w14:paraId="56B78E99" w14:textId="696A57E7" w:rsidR="002A24AD" w:rsidRPr="009D3510" w:rsidRDefault="002A24AD" w:rsidP="002A24AD">
      <w:pPr>
        <w:pStyle w:val="References"/>
        <w:rPr>
          <w:spacing w:val="2"/>
        </w:rPr>
      </w:pPr>
      <w:r w:rsidRPr="009D3510">
        <w:rPr>
          <w:spacing w:val="2"/>
        </w:rPr>
        <w:t xml:space="preserve">R. J. Hijmans and J. van Etten, “Raster: Geographic analysis and modeling with raster data,” R Package Version 2.0-12, Jan. 12, 2012. [Online]. Available: </w:t>
      </w:r>
      <w:r w:rsidRPr="009D3510">
        <w:rPr>
          <w:spacing w:val="2"/>
          <w:u w:val="single"/>
        </w:rPr>
        <w:t>http://CRAN.R-project.org/package=</w:t>
      </w:r>
      <w:r w:rsidR="009D3510">
        <w:rPr>
          <w:spacing w:val="2"/>
          <w:u w:val="single"/>
        </w:rPr>
        <w:br/>
      </w:r>
      <w:r w:rsidRPr="009D3510">
        <w:rPr>
          <w:spacing w:val="2"/>
          <w:u w:val="single"/>
        </w:rPr>
        <w:t>raster</w:t>
      </w:r>
    </w:p>
    <w:p w14:paraId="5AE67732" w14:textId="30B4994B" w:rsidR="002A24AD" w:rsidRDefault="002A24AD" w:rsidP="002A24AD">
      <w:pPr>
        <w:pStyle w:val="References"/>
      </w:pPr>
      <w:r>
        <w:t xml:space="preserve">Teralyzer. Lytera UG, Kirchhain, Germany [Online]. Available: </w:t>
      </w:r>
      <w:r w:rsidRPr="00B262E4">
        <w:rPr>
          <w:u w:val="single"/>
        </w:rPr>
        <w:t>http://www.lytera.de/Terahertz_THz_Spectroscopy.php?id=home</w:t>
      </w:r>
      <w:r>
        <w:t>, Accessed on: Jun. 5, 2014</w:t>
      </w:r>
    </w:p>
    <w:p w14:paraId="56779D6B" w14:textId="77777777" w:rsidR="002A24AD" w:rsidRDefault="002A24AD" w:rsidP="002A24AD">
      <w:pPr>
        <w:pStyle w:val="References"/>
      </w:pPr>
      <w:r>
        <w:t>U.S. House. 102</w:t>
      </w:r>
      <w:r w:rsidRPr="003036BA">
        <w:rPr>
          <w:vertAlign w:val="superscript"/>
        </w:rPr>
        <w:t xml:space="preserve">nd </w:t>
      </w:r>
      <w:r>
        <w:t>Congress, 1</w:t>
      </w:r>
      <w:r w:rsidRPr="003036BA">
        <w:rPr>
          <w:vertAlign w:val="superscript"/>
        </w:rPr>
        <w:t xml:space="preserve">st </w:t>
      </w:r>
      <w:r>
        <w:t xml:space="preserve">Session. (1991, Jan. 11). </w:t>
      </w:r>
      <w:r w:rsidRPr="00F65DD1">
        <w:rPr>
          <w:rFonts w:eastAsia="NimbusRomNo9L-ReguItal"/>
          <w:i/>
        </w:rPr>
        <w:t>H. Con. Res. 1, Sense of the Congress on Approval of Military Action</w:t>
      </w:r>
      <w:r>
        <w:t>. [Online]. Available: LEXIS Library: GENFED File: BILLS</w:t>
      </w:r>
    </w:p>
    <w:p w14:paraId="45DEED0F" w14:textId="77777777" w:rsidR="002A24AD" w:rsidRDefault="002A24AD" w:rsidP="002A24AD">
      <w:pPr>
        <w:pStyle w:val="References"/>
      </w:pPr>
      <w:r>
        <w:t>Musical toothbrush with mirror, by L.M.R. Brooks. (1992, May 19). Patent D 326 189 [Online]. Available: NEXIS Library: LEXPAT File: DES</w:t>
      </w:r>
    </w:p>
    <w:p w14:paraId="14393477" w14:textId="77777777" w:rsidR="002A24AD" w:rsidRDefault="002A24AD" w:rsidP="002A24AD">
      <w:pPr>
        <w:pStyle w:val="References"/>
      </w:pPr>
      <w:r>
        <w:t xml:space="preserve">D. B. Payne and J. R. Stern, “Wavelength-switched pas- sively coupled single-mode optical network,” in </w:t>
      </w:r>
      <w:r w:rsidRPr="00F65DD1">
        <w:rPr>
          <w:rFonts w:eastAsia="NimbusRomNo9L-ReguItal"/>
          <w:i/>
        </w:rPr>
        <w:t xml:space="preserve">Proc. IOOC-ECOC, </w:t>
      </w:r>
      <w:r>
        <w:t>Boston, MA, USA, 1985, pp. 585–590.</w:t>
      </w:r>
    </w:p>
    <w:p w14:paraId="719E6ECD" w14:textId="77777777" w:rsidR="002A24AD" w:rsidRDefault="002A24AD" w:rsidP="002A24AD">
      <w:pPr>
        <w:pStyle w:val="References"/>
      </w:pPr>
      <w:r>
        <w:t xml:space="preserve">D. Ebehard and E. Voges, “Digital single sideband detection for interferometric sensors,” presented at the </w:t>
      </w:r>
      <w:r w:rsidRPr="00F65DD1">
        <w:rPr>
          <w:rFonts w:eastAsia="NimbusRomNo9L-ReguItal"/>
          <w:i/>
        </w:rPr>
        <w:t>2</w:t>
      </w:r>
      <w:r w:rsidRPr="003036BA">
        <w:rPr>
          <w:rFonts w:eastAsia="NimbusRomNo9L-ReguItal"/>
          <w:i/>
          <w:vertAlign w:val="superscript"/>
        </w:rPr>
        <w:t>nd</w:t>
      </w:r>
      <w:r w:rsidRPr="003036BA">
        <w:rPr>
          <w:rFonts w:eastAsia="NimbusRomNo9L-ReguItal"/>
        </w:rPr>
        <w:t xml:space="preserve"> </w:t>
      </w:r>
      <w:r w:rsidRPr="00F65DD1">
        <w:rPr>
          <w:rFonts w:eastAsia="NimbusRomNo9L-ReguItal"/>
          <w:i/>
        </w:rPr>
        <w:t xml:space="preserve">Int. Conf. Optical Fiber Sensors, </w:t>
      </w:r>
      <w:r>
        <w:t>Stuttgart, Germany, Jan. 2-5, 1984.</w:t>
      </w:r>
    </w:p>
    <w:p w14:paraId="660DA9CD" w14:textId="77777777" w:rsidR="002A24AD" w:rsidRDefault="002A24AD" w:rsidP="002A24AD">
      <w:pPr>
        <w:pStyle w:val="References"/>
      </w:pPr>
      <w:r>
        <w:t>G. Brandli and M. Dick, “Alternating current fed power supply,” U.S. Patent 4 084 217, Nov. 4, 1978.</w:t>
      </w:r>
    </w:p>
    <w:p w14:paraId="35381CED" w14:textId="77777777" w:rsidR="002A24AD" w:rsidRDefault="002A24AD" w:rsidP="002A24AD">
      <w:pPr>
        <w:pStyle w:val="References"/>
      </w:pPr>
      <w:r>
        <w:t>J. O. Williams, “Narrow-band analyzer,” Ph.D. dissertation, Dept. Elect. Eng., Harvard Univ., Cambridge, MA, USA, 1993.</w:t>
      </w:r>
    </w:p>
    <w:p w14:paraId="44BA88D0" w14:textId="77777777" w:rsidR="002A24AD" w:rsidRDefault="002A24AD" w:rsidP="002A24AD">
      <w:pPr>
        <w:pStyle w:val="References"/>
      </w:pPr>
      <w:r>
        <w:t>N. Kawasaki, “Parametric study of thermal and chemical nonequilibrium nozzle flow,” M.S. thesis, Dept. Electron. Eng., Osaka Univ., Osaka, Japan, 1993.</w:t>
      </w:r>
    </w:p>
    <w:p w14:paraId="431F6FCD" w14:textId="77777777" w:rsidR="002A24AD" w:rsidRDefault="002A24AD" w:rsidP="002A24AD">
      <w:pPr>
        <w:pStyle w:val="References"/>
      </w:pPr>
      <w:r>
        <w:t>A. Harrison, private communication, May 1995</w:t>
      </w:r>
    </w:p>
    <w:p w14:paraId="2810D5F4" w14:textId="77777777" w:rsidR="002A24AD" w:rsidRDefault="002A24AD" w:rsidP="002A24AD">
      <w:pPr>
        <w:pStyle w:val="References"/>
      </w:pPr>
      <w:r>
        <w:t>B. Smith, “An approach to graphs of linear forms,” unpublished.</w:t>
      </w:r>
    </w:p>
    <w:p w14:paraId="28ECBA3F" w14:textId="77777777" w:rsidR="002A24AD" w:rsidRDefault="002A24AD" w:rsidP="002A24AD">
      <w:pPr>
        <w:pStyle w:val="References"/>
      </w:pPr>
      <w:r>
        <w:t>A. Brahms, “Representation error for real numbers in binary computer arithmetic,” IEEE Computer Group Repository, Paper R-67-85.</w:t>
      </w:r>
    </w:p>
    <w:p w14:paraId="1CB1DD1A" w14:textId="77777777" w:rsidR="002A24AD" w:rsidRDefault="002A24AD" w:rsidP="002A24AD">
      <w:pPr>
        <w:pStyle w:val="References"/>
      </w:pPr>
      <w:r>
        <w:t>IEEE Criteria for Class IE Electric Systems, IEEE Standard 308, 1969.</w:t>
      </w:r>
    </w:p>
    <w:p w14:paraId="6E7BFC98" w14:textId="77777777" w:rsidR="002A24AD" w:rsidRDefault="002A24AD" w:rsidP="002A24AD">
      <w:pPr>
        <w:pStyle w:val="References"/>
      </w:pPr>
      <w:r>
        <w:t>Letter Symbols for Quantities, ANSI Standard Y10.5-1968.</w:t>
      </w:r>
    </w:p>
    <w:p w14:paraId="25963E5E" w14:textId="77777777" w:rsidR="002A24AD" w:rsidRDefault="002A24AD" w:rsidP="002A24AD">
      <w:pPr>
        <w:pStyle w:val="References"/>
      </w:pPr>
      <w:r>
        <w:t xml:space="preserve">R. Fardel, M. Nagel, F. Nuesch, T. Lippert, and A. Wokaun, “Fabrication of organic light emitting diode pixels by laser-assisted forward transfer,” </w:t>
      </w:r>
      <w:r w:rsidRPr="00F65DD1">
        <w:rPr>
          <w:rFonts w:eastAsia="NimbusRomNo9L-ReguItal"/>
          <w:i/>
        </w:rPr>
        <w:t>Appl. Phys. Lett.</w:t>
      </w:r>
      <w:r>
        <w:t>, vol. 91, no. 6, Aug. 2007, Art. no. 061103.</w:t>
      </w:r>
    </w:p>
    <w:p w14:paraId="0FE36C40" w14:textId="77777777" w:rsidR="002A24AD" w:rsidRDefault="002A24AD" w:rsidP="002A24AD">
      <w:pPr>
        <w:pStyle w:val="References"/>
      </w:pPr>
      <w:r>
        <w:t xml:space="preserve">J. Zhang and N. Tansu, “Optical gain and laser characteristics of InGaN quantum wells on ternary InGaN substrates,” </w:t>
      </w:r>
      <w:r w:rsidRPr="00F65DD1">
        <w:rPr>
          <w:rFonts w:eastAsia="NimbusRomNo9L-ReguItal"/>
          <w:i/>
        </w:rPr>
        <w:t>IEEE Photon. J.</w:t>
      </w:r>
      <w:r>
        <w:t>, vol. 5, no. 2, Apr. 2013, Art. no. 2600111</w:t>
      </w:r>
    </w:p>
    <w:p w14:paraId="2DABC111" w14:textId="30BA8865" w:rsidR="0001799E" w:rsidRPr="0001799E" w:rsidRDefault="002A24AD" w:rsidP="0001799E">
      <w:pPr>
        <w:pStyle w:val="References"/>
      </w:pPr>
      <w:r>
        <w:t xml:space="preserve">S. Azodolmolky </w:t>
      </w:r>
      <w:r w:rsidRPr="00F65DD1">
        <w:rPr>
          <w:rFonts w:eastAsia="NimbusRomNo9L-ReguItal"/>
          <w:i/>
        </w:rPr>
        <w:t>et al.</w:t>
      </w:r>
      <w:r>
        <w:t xml:space="preserve">, Experimental demonstration of an impairment aware network planning and operation tool for transparent/translucent optical networks,” </w:t>
      </w:r>
      <w:r w:rsidRPr="00F65DD1">
        <w:rPr>
          <w:rFonts w:eastAsia="NimbusRomNo9L-ReguItal"/>
          <w:i/>
        </w:rPr>
        <w:t>J. Lightw. Technol.</w:t>
      </w:r>
      <w:r>
        <w:t>, vol. 29, no. 4, pp. 439–448, Sep. 2011.</w:t>
      </w:r>
    </w:p>
    <w:p w14:paraId="304557C7" w14:textId="77777777" w:rsidR="005C7DF8" w:rsidRDefault="005C7DF8" w:rsidP="000C09C8">
      <w:pPr>
        <w:pStyle w:val="AUBios"/>
        <w:rPr>
          <w:rStyle w:val="AUBiosbd"/>
        </w:rPr>
        <w:sectPr w:rsidR="005C7DF8" w:rsidSect="00CB2DB1">
          <w:footerReference w:type="default" r:id="rId19"/>
          <w:type w:val="continuous"/>
          <w:pgSz w:w="11520" w:h="15660" w:code="1"/>
          <w:pgMar w:top="1300" w:right="740" w:bottom="1040" w:left="740" w:header="360" w:footer="640" w:gutter="0"/>
          <w:cols w:num="2" w:space="400"/>
          <w:docGrid w:linePitch="360"/>
        </w:sectPr>
      </w:pPr>
    </w:p>
    <w:p w14:paraId="55513F53" w14:textId="30FDDD27" w:rsidR="000C09C8" w:rsidRDefault="00BF71A1" w:rsidP="005C7DF8">
      <w:pPr>
        <w:pStyle w:val="AUBios"/>
        <w:spacing w:before="0"/>
      </w:pPr>
      <w:r w:rsidRPr="00BF71A1">
        <w:rPr>
          <w:noProof/>
        </w:rPr>
        <w:lastRenderedPageBreak/>
        <w:drawing>
          <wp:anchor distT="0" distB="0" distL="114300" distR="114300" simplePos="0" relativeHeight="251660288" behindDoc="0" locked="0" layoutInCell="1" allowOverlap="1" wp14:anchorId="20FA04A9" wp14:editId="5D626162">
            <wp:simplePos x="0" y="0"/>
            <wp:positionH relativeFrom="column">
              <wp:posOffset>3317875</wp:posOffset>
            </wp:positionH>
            <wp:positionV relativeFrom="paragraph">
              <wp:posOffset>25730</wp:posOffset>
            </wp:positionV>
            <wp:extent cx="914400" cy="1146175"/>
            <wp:effectExtent l="0" t="0" r="0" b="0"/>
            <wp:wrapSquare wrapText="bothSides"/>
            <wp:docPr id="8" name="Picture 8" descr="\\192.168.0.8\Design2\Indesign Projects\005 Series\03 OA Word templates\Work\Access-Template\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2.168.0.8\Design2\Indesign Projects\005 Series\03 OA Word templates\Work\Access-Template\Fig-3.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1146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A1">
        <w:rPr>
          <w:noProof/>
        </w:rPr>
        <w:drawing>
          <wp:anchor distT="0" distB="0" distL="114300" distR="114300" simplePos="0" relativeHeight="251658240" behindDoc="0" locked="0" layoutInCell="1" allowOverlap="1" wp14:anchorId="7E41A874" wp14:editId="4A0CC5DA">
            <wp:simplePos x="0" y="0"/>
            <wp:positionH relativeFrom="column">
              <wp:posOffset>0</wp:posOffset>
            </wp:positionH>
            <wp:positionV relativeFrom="paragraph">
              <wp:posOffset>8890</wp:posOffset>
            </wp:positionV>
            <wp:extent cx="914400" cy="1171575"/>
            <wp:effectExtent l="0" t="0" r="0" b="9525"/>
            <wp:wrapSquare wrapText="bothSides"/>
            <wp:docPr id="2" name="Picture 2" descr="\\192.168.0.8\Design2\Indesign Projects\005 Series\03 OA Word templates\Work\Access-Template\Images\Fig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0.8\Design2\Indesign Projects\005 Series\03 OA Word templates\Work\Access-Template\Images\Fig1.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0C09C8" w:rsidRPr="006A0B53">
        <w:rPr>
          <w:rStyle w:val="AUBiosbd"/>
        </w:rPr>
        <w:t>FIRST A. AUTHOR</w:t>
      </w:r>
      <w:r w:rsidR="000C09C8" w:rsidRPr="007573E5">
        <w:rPr>
          <w:rFonts w:cs="FormataOTFMd"/>
        </w:rPr>
        <w:t xml:space="preserve"> </w:t>
      </w:r>
      <w:r w:rsidR="000C09C8" w:rsidRPr="006A0B53">
        <w:t>(M’76–SM’81–F’87) and all authors may include biographies. Biographies are often not included in conference-related papers. This author became a Member (M) of IEEE in 1976, a Senior Member (SM) in 1981, and a Fellow (F) in 1987.</w:t>
      </w:r>
      <w:r w:rsidR="000C09C8">
        <w:t xml:space="preserve"> </w:t>
      </w:r>
      <w:r w:rsidR="000C09C8"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28F7401A" w14:textId="77777777" w:rsidR="000C09C8" w:rsidRDefault="000C09C8" w:rsidP="000C09C8">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34AFBF78" w14:textId="51A13585" w:rsidR="000C09C8" w:rsidRDefault="000C09C8" w:rsidP="000C09C8">
      <w:pPr>
        <w:pStyle w:val="AUBiosNoSpace"/>
        <w:rPr>
          <w:rStyle w:val="AUBiosbd"/>
        </w:rPr>
      </w:pPr>
      <w:r>
        <w:t>The third paragraph begins with the author’s title and last name (e.g., Dr. Smith, Prof. Jones, Mr. Kajor, Ms. Hunter). List any memberships in professional societies other than the IEEE. Finally, list any awards and work for IEEE committees and publications. If a photograph is provided, it should be of good quality, and professional-looking. Following are two examples of an author’s biography.</w:t>
      </w:r>
      <w:r w:rsidR="00BF71A1" w:rsidRPr="00BF71A1">
        <w:rPr>
          <w:rFonts w:cs="Times New Roman"/>
          <w:snapToGrid w:val="0"/>
          <w:color w:val="000000"/>
          <w:w w:val="0"/>
          <w:sz w:val="0"/>
          <w:szCs w:val="0"/>
          <w:u w:color="000000"/>
          <w:bdr w:val="none" w:sz="0" w:space="0" w:color="000000"/>
          <w:shd w:val="clear" w:color="000000" w:fill="000000"/>
          <w:lang w:val="x-none" w:eastAsia="x-none" w:bidi="x-none"/>
        </w:rPr>
        <w:t xml:space="preserve"> </w:t>
      </w:r>
    </w:p>
    <w:p w14:paraId="0F285132" w14:textId="0DB4495F" w:rsidR="000C09C8" w:rsidRPr="0003253A" w:rsidRDefault="00BF71A1" w:rsidP="000C09C8">
      <w:pPr>
        <w:pStyle w:val="AUBios"/>
      </w:pPr>
      <w:r w:rsidRPr="00BF71A1">
        <w:rPr>
          <w:rFonts w:ascii="Helvetica" w:hAnsi="Helvetica"/>
          <w:b/>
          <w:bCs/>
          <w:noProof/>
        </w:rPr>
        <w:drawing>
          <wp:anchor distT="0" distB="0" distL="114300" distR="114300" simplePos="0" relativeHeight="251659264" behindDoc="0" locked="0" layoutInCell="1" allowOverlap="1" wp14:anchorId="5C6AC09B" wp14:editId="2E0EBF01">
            <wp:simplePos x="0" y="0"/>
            <wp:positionH relativeFrom="column">
              <wp:posOffset>7146</wp:posOffset>
            </wp:positionH>
            <wp:positionV relativeFrom="paragraph">
              <wp:posOffset>850265</wp:posOffset>
            </wp:positionV>
            <wp:extent cx="914400" cy="1143000"/>
            <wp:effectExtent l="0" t="0" r="0" b="0"/>
            <wp:wrapSquare wrapText="bothSides"/>
            <wp:docPr id="6" name="Picture 6" descr="\\192.168.0.8\Design2\Indesign Projects\005 Series\03 OA Word templates\Work\Access-Template\Fig-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2.168.0.8\Design2\Indesign Projects\005 Series\03 OA Word templates\Work\Access-Template\Fig-1.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9C8" w:rsidRPr="0003253A">
        <w:rPr>
          <w:rFonts w:ascii="Helvetica" w:hAnsi="Helvetica"/>
          <w:b/>
          <w:bCs/>
        </w:rPr>
        <w:t>SECOND B. AUTHOR</w:t>
      </w:r>
      <w:r w:rsidR="000C09C8" w:rsidRPr="0003253A">
        <w:t xml:space="preserve"> 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18BFAA1B" w14:textId="3C94C301" w:rsidR="000C09C8" w:rsidRPr="0003253A" w:rsidRDefault="000C09C8" w:rsidP="000C09C8">
      <w:pPr>
        <w:pStyle w:val="AUBiosNoSpace"/>
      </w:pPr>
      <w:r w:rsidRPr="0003253A">
        <w:t xml:space="preserve">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rPr>
        <w:t>Earth</w:t>
      </w:r>
      <w:r w:rsidRPr="0003253A">
        <w:t xml:space="preserve">, </w:t>
      </w:r>
      <w:r w:rsidRPr="0003253A">
        <w:rPr>
          <w:rFonts w:ascii="Times-Italic" w:hAnsi="Times-Italic" w:cs="Times-Italic"/>
          <w:i/>
          <w:iCs/>
        </w:rPr>
        <w:t>Moon</w:t>
      </w:r>
      <w:r w:rsidRPr="0003253A">
        <w:t xml:space="preserve">, </w:t>
      </w:r>
      <w:r w:rsidRPr="0003253A">
        <w:rPr>
          <w:rFonts w:ascii="Times-Italic" w:hAnsi="Times-Italic" w:cs="Times-Italic"/>
          <w:i/>
          <w:iCs/>
        </w:rPr>
        <w:t>Planets</w:t>
      </w:r>
      <w:r w:rsidRPr="0003253A">
        <w:t xml:space="preserve">, and holds two patents. </w:t>
      </w:r>
    </w:p>
    <w:p w14:paraId="2AA4E2A7" w14:textId="755504A3" w:rsidR="00F02D75" w:rsidRDefault="000C09C8" w:rsidP="000C09C8">
      <w:pPr>
        <w:pStyle w:val="AUBiosNoSpace"/>
      </w:pPr>
      <w:r w:rsidRPr="0003253A">
        <w:t>Dr. Author was a recipient of the International Association of Geomagnetism and Aeronomy Young Scientist Award for Excellence in 2008, and the IEEE Electromagnetic Compatibility Society Best Symposium Paper Award in 2011.</w:t>
      </w:r>
    </w:p>
    <w:p w14:paraId="299A66F2" w14:textId="09C92CF6" w:rsidR="000C09C8" w:rsidRPr="0003253A" w:rsidRDefault="00F02D75" w:rsidP="00BF71A1">
      <w:pPr>
        <w:pStyle w:val="AUBios"/>
        <w:spacing w:before="0"/>
      </w:pPr>
      <w:r>
        <w:br w:type="column"/>
      </w:r>
      <w:r w:rsidR="000C09C8" w:rsidRPr="0003253A">
        <w:rPr>
          <w:rFonts w:ascii="Helvetica" w:hAnsi="Helvetica"/>
          <w:b/>
          <w:bCs/>
        </w:rPr>
        <w:t>THIRD C. AUTHOR, JR.</w:t>
      </w:r>
      <w:r w:rsidR="000C09C8" w:rsidRPr="0003253A">
        <w:rPr>
          <w:b/>
          <w:bCs/>
        </w:rPr>
        <w:t xml:space="preserve"> </w:t>
      </w:r>
      <w:r w:rsidR="000C09C8" w:rsidRPr="0003253A">
        <w:rPr>
          <w:bCs/>
        </w:rPr>
        <w:t>(M’87)</w:t>
      </w:r>
      <w:r w:rsidR="000C09C8" w:rsidRPr="0003253A">
        <w:t xml:space="preserve"> 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 TX, USA.</w:t>
      </w:r>
    </w:p>
    <w:p w14:paraId="236C1A72" w14:textId="23C3FE42" w:rsidR="000C09C8" w:rsidRPr="0003253A" w:rsidRDefault="000C09C8" w:rsidP="000C09C8">
      <w:pPr>
        <w:pStyle w:val="AUBiosNoSpace"/>
      </w:pPr>
      <w:r w:rsidRPr="0003253A">
        <w:t xml:space="preserve">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 </w:t>
      </w:r>
    </w:p>
    <w:p w14:paraId="6EFCEA6E" w14:textId="1A10F3F0" w:rsidR="0003253A" w:rsidRPr="0003253A" w:rsidRDefault="000C09C8" w:rsidP="000C09C8">
      <w:pPr>
        <w:pStyle w:val="AUBiosNoSpace"/>
      </w:pPr>
      <w:r w:rsidRPr="0003253A">
        <w:t>Mr. Author’s awards and honors include the Frew Fellowship (Australian Academy of Science), the I. I. Rabi Prize (APS), the European Frequency and Time Forum Award, the Carl Zeiss Research Award, the William F. Meggers Award and the Adolph Lomb Medal (OSA).</w:t>
      </w:r>
    </w:p>
    <w:p w14:paraId="77BA710C" w14:textId="77777777" w:rsidR="0003253A" w:rsidRPr="006A0B53" w:rsidRDefault="0003253A" w:rsidP="0003253A">
      <w:pPr>
        <w:pStyle w:val="AUBiosNoSpace"/>
        <w:ind w:firstLine="0"/>
      </w:pPr>
    </w:p>
    <w:sectPr w:rsidR="0003253A" w:rsidRPr="006A0B53" w:rsidSect="00CB2DB1">
      <w:footerReference w:type="default" r:id="rId23"/>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6446E" w14:textId="77777777" w:rsidR="00FA1CD8" w:rsidRDefault="00FA1CD8">
      <w:r>
        <w:separator/>
      </w:r>
    </w:p>
  </w:endnote>
  <w:endnote w:type="continuationSeparator" w:id="0">
    <w:p w14:paraId="401CBC5A" w14:textId="77777777" w:rsidR="00FA1CD8" w:rsidRDefault="00FA1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altName w:val="Times New Roma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8000002F" w:usb1="40000048"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NimbusRomNo9L-ReguItal">
    <w:altName w:val="MS Gothic"/>
    <w:panose1 w:val="00000000000000000000"/>
    <w:charset w:val="80"/>
    <w:family w:val="auto"/>
    <w:notTrueType/>
    <w:pitch w:val="default"/>
    <w:sig w:usb0="00000001" w:usb1="08070000" w:usb2="00000010" w:usb3="00000000" w:csb0="00020000" w:csb1="00000000"/>
  </w:font>
  <w:font w:name="CMMI10">
    <w:altName w:val="Arial Unicode MS"/>
    <w:panose1 w:val="00000000000000000000"/>
    <w:charset w:val="81"/>
    <w:family w:val="auto"/>
    <w:notTrueType/>
    <w:pitch w:val="default"/>
    <w:sig w:usb0="00000001" w:usb1="09060000" w:usb2="00000010" w:usb3="00000000" w:csb0="00080000" w:csb1="00000000"/>
  </w:font>
  <w:font w:name="CMR10">
    <w:altName w:val="MS Gothic"/>
    <w:panose1 w:val="00000000000000000000"/>
    <w:charset w:val="80"/>
    <w:family w:val="auto"/>
    <w:notTrueType/>
    <w:pitch w:val="default"/>
    <w:sig w:usb0="00000001" w:usb1="08070000" w:usb2="00000010" w:usb3="00000000" w:csb0="00020000" w:csb1="00000000"/>
  </w:font>
  <w:font w:name="CMSY7">
    <w:altName w:val="MS Gothic"/>
    <w:panose1 w:val="00000000000000000000"/>
    <w:charset w:val="80"/>
    <w:family w:val="auto"/>
    <w:notTrueType/>
    <w:pitch w:val="default"/>
    <w:sig w:usb0="00000001" w:usb1="08070000" w:usb2="00000010" w:usb3="00000000" w:csb0="00020000" w:csb1="00000000"/>
  </w:font>
  <w:font w:name="Times-Italic">
    <w:altName w:val="Times New Roman"/>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B976A" w14:textId="77777777" w:rsidR="009C79C4" w:rsidRPr="00B979BB" w:rsidRDefault="009C79C4"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DA35C" w14:textId="77777777" w:rsidR="009C79C4" w:rsidRPr="00B979BB" w:rsidRDefault="009C79C4"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2D52E" w14:textId="77777777" w:rsidR="009C79C4" w:rsidRPr="00B979BB" w:rsidRDefault="009C79C4"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F3105" w14:textId="77777777" w:rsidR="009C79C4" w:rsidRPr="00B979BB" w:rsidRDefault="009C79C4"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13273" w14:textId="32EC74B2" w:rsidR="007A706D" w:rsidRPr="00B979BB" w:rsidRDefault="007A706D" w:rsidP="007A706D">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B9B43" w14:textId="4C883922" w:rsidR="005C7DF8" w:rsidRPr="00B979BB" w:rsidRDefault="005C7DF8" w:rsidP="005C7DF8">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08833" w14:textId="5184F99D" w:rsidR="005C7DF8" w:rsidRPr="00B979BB" w:rsidRDefault="005C7DF8" w:rsidP="007A706D">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B6DD2" w14:textId="30D85FD1" w:rsidR="005C7DF8" w:rsidRPr="00B979BB" w:rsidRDefault="005C7DF8" w:rsidP="005C7DF8">
    <w:pPr>
      <w:pStyle w:val="Footer"/>
      <w:tabs>
        <w:tab w:val="clear" w:pos="4320"/>
        <w:tab w:val="clear" w:pos="8640"/>
        <w:tab w:val="center" w:pos="9540"/>
      </w:tabs>
      <w:rPr>
        <w:rFonts w:ascii="Helvetica" w:hAnsi="Helvetica"/>
        <w:sz w:val="12"/>
      </w:rPr>
    </w:pPr>
    <w:r>
      <w:rPr>
        <w:rFonts w:ascii="Helvetica" w:hAnsi="Helvetica" w:cs="FormataOTF-Reg"/>
        <w:sz w:val="12"/>
        <w:szCs w:val="14"/>
      </w:rPr>
      <w:t>8</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446B1" w14:textId="77777777" w:rsidR="00FA1CD8" w:rsidRDefault="00FA1CD8">
      <w:r>
        <w:separator/>
      </w:r>
    </w:p>
  </w:footnote>
  <w:footnote w:type="continuationSeparator" w:id="0">
    <w:p w14:paraId="6D2C8A1B" w14:textId="77777777" w:rsidR="00FA1CD8" w:rsidRDefault="00FA1CD8">
      <w:r>
        <w:continuationSeparator/>
      </w:r>
    </w:p>
  </w:footnote>
  <w:footnote w:id="1">
    <w:p w14:paraId="3296347A" w14:textId="77777777" w:rsidR="009C79C4" w:rsidRDefault="009C79C4"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5B0C1" w14:textId="77777777" w:rsidR="009C79C4" w:rsidRPr="00E721A9" w:rsidRDefault="009C79C4"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23C04" w14:textId="77777777" w:rsidR="009C79C4" w:rsidRPr="00CB191E" w:rsidRDefault="009C79C4"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drawing>
        <wp:inline distT="0" distB="0" distL="0" distR="0" wp14:anchorId="7CBD163E" wp14:editId="7D0B38FD">
          <wp:extent cx="977900" cy="170180"/>
          <wp:effectExtent l="0" t="0" r="0" b="1270"/>
          <wp:docPr id="4" name="Picture 4"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Pr>
        <w:rFonts w:ascii="Formata OTF" w:hAnsi="Formata OTF" w:cs="FormataOTF-Reg"/>
        <w:sz w:val="14"/>
        <w:szCs w:val="14"/>
      </w:rPr>
      <w:tab/>
    </w:r>
    <w:r>
      <w:rPr>
        <w:rFonts w:ascii="Helvetica" w:hAnsi="Helvetica" w:cs="FormataOTF-Reg"/>
        <w:sz w:val="14"/>
        <w:szCs w:val="14"/>
      </w:rPr>
      <w:t>Author Name</w:t>
    </w:r>
    <w:r w:rsidRPr="00B979BB">
      <w:rPr>
        <w:rFonts w:ascii="Helvetica" w:hAnsi="Helvetica" w:cs="FormataOTF-Reg"/>
        <w:sz w:val="14"/>
        <w:szCs w:val="14"/>
      </w:rPr>
      <w:t xml:space="preserve">: </w:t>
    </w:r>
    <w:r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332" w:hanging="720"/>
      </w:pPr>
    </w:lvl>
    <w:lvl w:ilvl="4">
      <w:start w:val="1"/>
      <w:numFmt w:val="decimal"/>
      <w:pStyle w:val="Heading5"/>
      <w:lvlText w:val="(%5)"/>
      <w:legacy w:legacy="1" w:legacySpace="0" w:legacyIndent="720"/>
      <w:lvlJc w:val="left"/>
      <w:pPr>
        <w:ind w:left="2052" w:hanging="720"/>
      </w:pPr>
    </w:lvl>
    <w:lvl w:ilvl="5">
      <w:start w:val="1"/>
      <w:numFmt w:val="lowerLetter"/>
      <w:pStyle w:val="Heading6"/>
      <w:lvlText w:val="(%6)"/>
      <w:legacy w:legacy="1" w:legacySpace="0" w:legacyIndent="720"/>
      <w:lvlJc w:val="left"/>
      <w:pPr>
        <w:ind w:left="2772" w:hanging="720"/>
      </w:pPr>
    </w:lvl>
    <w:lvl w:ilvl="6">
      <w:start w:val="1"/>
      <w:numFmt w:val="lowerRoman"/>
      <w:pStyle w:val="Heading7"/>
      <w:lvlText w:val="(%7)"/>
      <w:legacy w:legacy="1" w:legacySpace="0" w:legacyIndent="720"/>
      <w:lvlJc w:val="left"/>
      <w:pPr>
        <w:ind w:left="3492" w:hanging="720"/>
      </w:pPr>
    </w:lvl>
    <w:lvl w:ilvl="7">
      <w:start w:val="1"/>
      <w:numFmt w:val="lowerLetter"/>
      <w:pStyle w:val="Heading8"/>
      <w:lvlText w:val="(%8)"/>
      <w:legacy w:legacy="1" w:legacySpace="0" w:legacyIndent="720"/>
      <w:lvlJc w:val="left"/>
      <w:pPr>
        <w:ind w:left="4212" w:hanging="720"/>
      </w:pPr>
    </w:lvl>
    <w:lvl w:ilvl="8">
      <w:start w:val="1"/>
      <w:numFmt w:val="lowerRoman"/>
      <w:pStyle w:val="Heading9"/>
      <w:lvlText w:val="(%9)"/>
      <w:legacy w:legacy="1" w:legacySpace="0" w:legacyIndent="720"/>
      <w:lvlJc w:val="left"/>
      <w:pPr>
        <w:ind w:left="493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6453F57"/>
    <w:multiLevelType w:val="multilevel"/>
    <w:tmpl w:val="CD96871E"/>
    <w:numStyleLink w:val="H2Restart"/>
  </w:abstractNum>
  <w:abstractNum w:abstractNumId="4"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6E735E"/>
    <w:multiLevelType w:val="multilevel"/>
    <w:tmpl w:val="CD96871E"/>
    <w:numStyleLink w:val="H2Restart"/>
  </w:abstractNum>
  <w:abstractNum w:abstractNumId="6"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4232A68"/>
    <w:multiLevelType w:val="multilevel"/>
    <w:tmpl w:val="A3CEC990"/>
    <w:numStyleLink w:val="H2afterH1New"/>
  </w:abstractNum>
  <w:abstractNum w:abstractNumId="8" w15:restartNumberingAfterBreak="0">
    <w:nsid w:val="197F4013"/>
    <w:multiLevelType w:val="multilevel"/>
    <w:tmpl w:val="CD96871E"/>
    <w:numStyleLink w:val="H2Restart"/>
  </w:abstractNum>
  <w:abstractNum w:abstractNumId="9"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1F74BC5"/>
    <w:multiLevelType w:val="multilevel"/>
    <w:tmpl w:val="CD96871E"/>
    <w:numStyleLink w:val="H2Restart"/>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A0841DE"/>
    <w:multiLevelType w:val="multilevel"/>
    <w:tmpl w:val="A3CEC990"/>
    <w:numStyleLink w:val="H2afterH1New"/>
  </w:abstractNum>
  <w:abstractNum w:abstractNumId="14" w15:restartNumberingAfterBreak="0">
    <w:nsid w:val="2E5117DB"/>
    <w:multiLevelType w:val="multilevel"/>
    <w:tmpl w:val="CD96871E"/>
    <w:numStyleLink w:val="H2Restart"/>
  </w:abstractNum>
  <w:abstractNum w:abstractNumId="15" w15:restartNumberingAfterBreak="0">
    <w:nsid w:val="2F754583"/>
    <w:multiLevelType w:val="hybridMultilevel"/>
    <w:tmpl w:val="FA38E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34D1D"/>
    <w:multiLevelType w:val="multilevel"/>
    <w:tmpl w:val="CD96871E"/>
    <w:numStyleLink w:val="H2Restart"/>
  </w:abstractNum>
  <w:abstractNum w:abstractNumId="17"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4BF4C83"/>
    <w:multiLevelType w:val="multilevel"/>
    <w:tmpl w:val="CD96871E"/>
    <w:numStyleLink w:val="H2Restart"/>
  </w:abstractNum>
  <w:abstractNum w:abstractNumId="19" w15:restartNumberingAfterBreak="0">
    <w:nsid w:val="357A45C8"/>
    <w:multiLevelType w:val="multilevel"/>
    <w:tmpl w:val="CD96871E"/>
    <w:numStyleLink w:val="H2Restart"/>
  </w:abstractNum>
  <w:abstractNum w:abstractNumId="20"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D90722D"/>
    <w:multiLevelType w:val="multilevel"/>
    <w:tmpl w:val="CD96871E"/>
    <w:numStyleLink w:val="H2Restart"/>
  </w:abstractNum>
  <w:abstractNum w:abstractNumId="25" w15:restartNumberingAfterBreak="0">
    <w:nsid w:val="442B60CD"/>
    <w:multiLevelType w:val="multilevel"/>
    <w:tmpl w:val="CD96871E"/>
    <w:numStyleLink w:val="H2Restart"/>
  </w:abstractNum>
  <w:abstractNum w:abstractNumId="26" w15:restartNumberingAfterBreak="0">
    <w:nsid w:val="4A1139B8"/>
    <w:multiLevelType w:val="multilevel"/>
    <w:tmpl w:val="BFB29B88"/>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8B0ABB"/>
    <w:multiLevelType w:val="multilevel"/>
    <w:tmpl w:val="CD96871E"/>
    <w:numStyleLink w:val="H2Restart"/>
  </w:abstractNum>
  <w:abstractNum w:abstractNumId="28"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D6E47F2"/>
    <w:multiLevelType w:val="multilevel"/>
    <w:tmpl w:val="CD96871E"/>
    <w:numStyleLink w:val="H2Restart"/>
  </w:abstractNum>
  <w:abstractNum w:abstractNumId="30" w15:restartNumberingAfterBreak="0">
    <w:nsid w:val="50410D7D"/>
    <w:multiLevelType w:val="multilevel"/>
    <w:tmpl w:val="CD96871E"/>
    <w:numStyleLink w:val="H2Restart"/>
  </w:abstractNum>
  <w:abstractNum w:abstractNumId="31"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021B99"/>
    <w:multiLevelType w:val="multilevel"/>
    <w:tmpl w:val="CD96871E"/>
    <w:numStyleLink w:val="H2Restart"/>
  </w:abstractNum>
  <w:abstractNum w:abstractNumId="33" w15:restartNumberingAfterBreak="0">
    <w:nsid w:val="5A3C70BE"/>
    <w:multiLevelType w:val="hybridMultilevel"/>
    <w:tmpl w:val="A2FA012E"/>
    <w:lvl w:ilvl="0" w:tplc="3ACE52D2">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44E82"/>
    <w:multiLevelType w:val="multilevel"/>
    <w:tmpl w:val="CD96871E"/>
    <w:numStyleLink w:val="H2Restart"/>
  </w:abstractNum>
  <w:abstractNum w:abstractNumId="35"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4D460AA"/>
    <w:multiLevelType w:val="multilevel"/>
    <w:tmpl w:val="CD96871E"/>
    <w:numStyleLink w:val="H2Restart"/>
  </w:abstractNum>
  <w:abstractNum w:abstractNumId="37" w15:restartNumberingAfterBreak="0">
    <w:nsid w:val="651D64E4"/>
    <w:multiLevelType w:val="multilevel"/>
    <w:tmpl w:val="CD96871E"/>
    <w:numStyleLink w:val="H2Restart"/>
  </w:abstractNum>
  <w:abstractNum w:abstractNumId="38" w15:restartNumberingAfterBreak="0">
    <w:nsid w:val="685D76CD"/>
    <w:multiLevelType w:val="multilevel"/>
    <w:tmpl w:val="CD96871E"/>
    <w:numStyleLink w:val="H2Restart"/>
  </w:abstractNum>
  <w:abstractNum w:abstractNumId="39"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FC6D80"/>
    <w:multiLevelType w:val="multilevel"/>
    <w:tmpl w:val="CD96871E"/>
    <w:numStyleLink w:val="H2Restart"/>
  </w:abstractNum>
  <w:num w:numId="1" w16cid:durableId="146632016">
    <w:abstractNumId w:val="0"/>
  </w:num>
  <w:num w:numId="2" w16cid:durableId="2139685392">
    <w:abstractNumId w:val="11"/>
  </w:num>
  <w:num w:numId="3" w16cid:durableId="1730304559">
    <w:abstractNumId w:val="21"/>
  </w:num>
  <w:num w:numId="4" w16cid:durableId="1904947642">
    <w:abstractNumId w:val="17"/>
  </w:num>
  <w:num w:numId="5" w16cid:durableId="2086564019">
    <w:abstractNumId w:val="35"/>
  </w:num>
  <w:num w:numId="6" w16cid:durableId="1720010044">
    <w:abstractNumId w:val="23"/>
  </w:num>
  <w:num w:numId="7" w16cid:durableId="1589195024">
    <w:abstractNumId w:val="9"/>
  </w:num>
  <w:num w:numId="8" w16cid:durableId="1483892291">
    <w:abstractNumId w:val="13"/>
  </w:num>
  <w:num w:numId="9" w16cid:durableId="572131377">
    <w:abstractNumId w:val="28"/>
  </w:num>
  <w:num w:numId="10" w16cid:durableId="282537363">
    <w:abstractNumId w:val="6"/>
  </w:num>
  <w:num w:numId="11" w16cid:durableId="653067656">
    <w:abstractNumId w:val="34"/>
  </w:num>
  <w:num w:numId="12" w16cid:durableId="255796949">
    <w:abstractNumId w:val="29"/>
  </w:num>
  <w:num w:numId="13" w16cid:durableId="511922190">
    <w:abstractNumId w:val="4"/>
  </w:num>
  <w:num w:numId="14" w16cid:durableId="1166827748">
    <w:abstractNumId w:val="5"/>
    <w:lvlOverride w:ilvl="0">
      <w:lvl w:ilvl="0">
        <w:start w:val="1"/>
        <w:numFmt w:val="upperLetter"/>
        <w:suff w:val="space"/>
        <w:lvlText w:val="%1."/>
        <w:lvlJc w:val="left"/>
        <w:pPr>
          <w:ind w:left="0" w:firstLine="0"/>
        </w:pPr>
        <w:rPr>
          <w:rFonts w:hint="default"/>
        </w:rPr>
      </w:lvl>
    </w:lvlOverride>
  </w:num>
  <w:num w:numId="15" w16cid:durableId="1487938667">
    <w:abstractNumId w:val="12"/>
  </w:num>
  <w:num w:numId="16" w16cid:durableId="1982534741">
    <w:abstractNumId w:val="26"/>
  </w:num>
  <w:num w:numId="17" w16cid:durableId="13933084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5729568">
    <w:abstractNumId w:val="39"/>
  </w:num>
  <w:num w:numId="19" w16cid:durableId="269047845">
    <w:abstractNumId w:val="3"/>
  </w:num>
  <w:num w:numId="20" w16cid:durableId="909580657">
    <w:abstractNumId w:val="2"/>
  </w:num>
  <w:num w:numId="21" w16cid:durableId="373579168">
    <w:abstractNumId w:val="24"/>
  </w:num>
  <w:num w:numId="22" w16cid:durableId="1745251843">
    <w:abstractNumId w:val="8"/>
  </w:num>
  <w:num w:numId="23" w16cid:durableId="2111774571">
    <w:abstractNumId w:val="16"/>
  </w:num>
  <w:num w:numId="24" w16cid:durableId="143159150">
    <w:abstractNumId w:val="37"/>
  </w:num>
  <w:num w:numId="25" w16cid:durableId="1312634794">
    <w:abstractNumId w:val="27"/>
  </w:num>
  <w:num w:numId="26" w16cid:durableId="237444995">
    <w:abstractNumId w:val="32"/>
  </w:num>
  <w:num w:numId="27" w16cid:durableId="376199287">
    <w:abstractNumId w:val="18"/>
  </w:num>
  <w:num w:numId="28" w16cid:durableId="1079518982">
    <w:abstractNumId w:val="25"/>
  </w:num>
  <w:num w:numId="29" w16cid:durableId="1536120966">
    <w:abstractNumId w:val="40"/>
  </w:num>
  <w:num w:numId="30" w16cid:durableId="1012683639">
    <w:abstractNumId w:val="10"/>
  </w:num>
  <w:num w:numId="31" w16cid:durableId="581259744">
    <w:abstractNumId w:val="38"/>
  </w:num>
  <w:num w:numId="32" w16cid:durableId="550194706">
    <w:abstractNumId w:val="19"/>
  </w:num>
  <w:num w:numId="33" w16cid:durableId="986592793">
    <w:abstractNumId w:val="36"/>
  </w:num>
  <w:num w:numId="34" w16cid:durableId="131562090">
    <w:abstractNumId w:val="30"/>
  </w:num>
  <w:num w:numId="35" w16cid:durableId="215555830">
    <w:abstractNumId w:val="22"/>
  </w:num>
  <w:num w:numId="36" w16cid:durableId="752821514">
    <w:abstractNumId w:val="14"/>
  </w:num>
  <w:num w:numId="37" w16cid:durableId="102464003">
    <w:abstractNumId w:val="20"/>
  </w:num>
  <w:num w:numId="38" w16cid:durableId="26297219">
    <w:abstractNumId w:val="15"/>
  </w:num>
  <w:num w:numId="39" w16cid:durableId="631059541">
    <w:abstractNumId w:val="7"/>
  </w:num>
  <w:num w:numId="40" w16cid:durableId="462891185">
    <w:abstractNumId w:val="1"/>
  </w:num>
  <w:num w:numId="41" w16cid:durableId="96431312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77785744">
    <w:abstractNumId w:val="31"/>
  </w:num>
  <w:num w:numId="43" w16cid:durableId="1324821347">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006"/>
    <w:rsid w:val="000010DB"/>
    <w:rsid w:val="00002951"/>
    <w:rsid w:val="00012220"/>
    <w:rsid w:val="00015E73"/>
    <w:rsid w:val="00015E9A"/>
    <w:rsid w:val="0001799E"/>
    <w:rsid w:val="00017C56"/>
    <w:rsid w:val="00021C67"/>
    <w:rsid w:val="0002258F"/>
    <w:rsid w:val="00023D75"/>
    <w:rsid w:val="00024A01"/>
    <w:rsid w:val="00027AA1"/>
    <w:rsid w:val="00030473"/>
    <w:rsid w:val="0003250B"/>
    <w:rsid w:val="0003253A"/>
    <w:rsid w:val="00033D56"/>
    <w:rsid w:val="00034A7F"/>
    <w:rsid w:val="00035315"/>
    <w:rsid w:val="00040C78"/>
    <w:rsid w:val="00041819"/>
    <w:rsid w:val="0004364F"/>
    <w:rsid w:val="00043A88"/>
    <w:rsid w:val="000518DD"/>
    <w:rsid w:val="00052666"/>
    <w:rsid w:val="00052968"/>
    <w:rsid w:val="00052BC9"/>
    <w:rsid w:val="00057E9A"/>
    <w:rsid w:val="00060D60"/>
    <w:rsid w:val="00061511"/>
    <w:rsid w:val="00061B24"/>
    <w:rsid w:val="0006475B"/>
    <w:rsid w:val="00065CD5"/>
    <w:rsid w:val="00067C21"/>
    <w:rsid w:val="00070737"/>
    <w:rsid w:val="000714C3"/>
    <w:rsid w:val="00071D5E"/>
    <w:rsid w:val="00072EA0"/>
    <w:rsid w:val="00076966"/>
    <w:rsid w:val="00081E90"/>
    <w:rsid w:val="00083EC4"/>
    <w:rsid w:val="0008442F"/>
    <w:rsid w:val="000844AB"/>
    <w:rsid w:val="00084BD2"/>
    <w:rsid w:val="00090D81"/>
    <w:rsid w:val="00090E84"/>
    <w:rsid w:val="0009131B"/>
    <w:rsid w:val="00091F92"/>
    <w:rsid w:val="00092C74"/>
    <w:rsid w:val="00093441"/>
    <w:rsid w:val="00094BAA"/>
    <w:rsid w:val="000A1FA2"/>
    <w:rsid w:val="000A3B16"/>
    <w:rsid w:val="000A3B2C"/>
    <w:rsid w:val="000A3C44"/>
    <w:rsid w:val="000A40E6"/>
    <w:rsid w:val="000B2C18"/>
    <w:rsid w:val="000B330B"/>
    <w:rsid w:val="000B7135"/>
    <w:rsid w:val="000C01F4"/>
    <w:rsid w:val="000C09C8"/>
    <w:rsid w:val="000C0E3B"/>
    <w:rsid w:val="000C1AE4"/>
    <w:rsid w:val="000C221B"/>
    <w:rsid w:val="000C426E"/>
    <w:rsid w:val="000D07DA"/>
    <w:rsid w:val="000D3A5A"/>
    <w:rsid w:val="000D4A20"/>
    <w:rsid w:val="000D5589"/>
    <w:rsid w:val="000D6320"/>
    <w:rsid w:val="000E4447"/>
    <w:rsid w:val="000F25D7"/>
    <w:rsid w:val="000F33CB"/>
    <w:rsid w:val="000F3D18"/>
    <w:rsid w:val="000F5003"/>
    <w:rsid w:val="000F794E"/>
    <w:rsid w:val="0010090B"/>
    <w:rsid w:val="00100DF3"/>
    <w:rsid w:val="00101368"/>
    <w:rsid w:val="00104663"/>
    <w:rsid w:val="00104CB0"/>
    <w:rsid w:val="00105925"/>
    <w:rsid w:val="00107070"/>
    <w:rsid w:val="001072E6"/>
    <w:rsid w:val="001120C4"/>
    <w:rsid w:val="0011425D"/>
    <w:rsid w:val="001146BF"/>
    <w:rsid w:val="0011479C"/>
    <w:rsid w:val="00114A56"/>
    <w:rsid w:val="00117D9A"/>
    <w:rsid w:val="00121CF0"/>
    <w:rsid w:val="00121E38"/>
    <w:rsid w:val="0012406C"/>
    <w:rsid w:val="00125273"/>
    <w:rsid w:val="001316F6"/>
    <w:rsid w:val="0013181F"/>
    <w:rsid w:val="001320DA"/>
    <w:rsid w:val="00132CC4"/>
    <w:rsid w:val="00134A06"/>
    <w:rsid w:val="00134BF2"/>
    <w:rsid w:val="0014000F"/>
    <w:rsid w:val="0014141F"/>
    <w:rsid w:val="00141D98"/>
    <w:rsid w:val="001427D1"/>
    <w:rsid w:val="00144E81"/>
    <w:rsid w:val="00151703"/>
    <w:rsid w:val="00153AE1"/>
    <w:rsid w:val="001608D3"/>
    <w:rsid w:val="0016308D"/>
    <w:rsid w:val="00164873"/>
    <w:rsid w:val="00165F70"/>
    <w:rsid w:val="001661D9"/>
    <w:rsid w:val="00166BEA"/>
    <w:rsid w:val="001675A0"/>
    <w:rsid w:val="00167767"/>
    <w:rsid w:val="00170818"/>
    <w:rsid w:val="0017288F"/>
    <w:rsid w:val="00174020"/>
    <w:rsid w:val="00174D84"/>
    <w:rsid w:val="00176753"/>
    <w:rsid w:val="001777E5"/>
    <w:rsid w:val="001816EA"/>
    <w:rsid w:val="00182839"/>
    <w:rsid w:val="00185AFE"/>
    <w:rsid w:val="00186F4C"/>
    <w:rsid w:val="0018775F"/>
    <w:rsid w:val="0019262C"/>
    <w:rsid w:val="001955E9"/>
    <w:rsid w:val="0019723F"/>
    <w:rsid w:val="001A4A79"/>
    <w:rsid w:val="001A6FF8"/>
    <w:rsid w:val="001A773F"/>
    <w:rsid w:val="001A7827"/>
    <w:rsid w:val="001A7C9F"/>
    <w:rsid w:val="001B1B9C"/>
    <w:rsid w:val="001B2F14"/>
    <w:rsid w:val="001B4688"/>
    <w:rsid w:val="001C0BF4"/>
    <w:rsid w:val="001C2E5E"/>
    <w:rsid w:val="001C30F0"/>
    <w:rsid w:val="001C3B16"/>
    <w:rsid w:val="001C495F"/>
    <w:rsid w:val="001C4F69"/>
    <w:rsid w:val="001C597C"/>
    <w:rsid w:val="001D0247"/>
    <w:rsid w:val="001D3924"/>
    <w:rsid w:val="001D3AED"/>
    <w:rsid w:val="001D4C0D"/>
    <w:rsid w:val="001D5027"/>
    <w:rsid w:val="001D5163"/>
    <w:rsid w:val="001D5407"/>
    <w:rsid w:val="001D6F48"/>
    <w:rsid w:val="001D7A59"/>
    <w:rsid w:val="001E3E87"/>
    <w:rsid w:val="001E4083"/>
    <w:rsid w:val="001E4698"/>
    <w:rsid w:val="001E69B5"/>
    <w:rsid w:val="001E6A66"/>
    <w:rsid w:val="001E6CFA"/>
    <w:rsid w:val="001F0601"/>
    <w:rsid w:val="001F4FA0"/>
    <w:rsid w:val="001F73C8"/>
    <w:rsid w:val="00200B38"/>
    <w:rsid w:val="00201A76"/>
    <w:rsid w:val="002025F9"/>
    <w:rsid w:val="00205C43"/>
    <w:rsid w:val="00207411"/>
    <w:rsid w:val="002079B5"/>
    <w:rsid w:val="00210142"/>
    <w:rsid w:val="00210E41"/>
    <w:rsid w:val="00211824"/>
    <w:rsid w:val="002141C8"/>
    <w:rsid w:val="00214DE7"/>
    <w:rsid w:val="00215F8D"/>
    <w:rsid w:val="002170E6"/>
    <w:rsid w:val="00217147"/>
    <w:rsid w:val="00220965"/>
    <w:rsid w:val="00220B4E"/>
    <w:rsid w:val="0022232A"/>
    <w:rsid w:val="00223B9B"/>
    <w:rsid w:val="002260D2"/>
    <w:rsid w:val="002272F1"/>
    <w:rsid w:val="00227DAA"/>
    <w:rsid w:val="00231E14"/>
    <w:rsid w:val="00241628"/>
    <w:rsid w:val="00242C14"/>
    <w:rsid w:val="00243073"/>
    <w:rsid w:val="002467D5"/>
    <w:rsid w:val="00252416"/>
    <w:rsid w:val="00253CFC"/>
    <w:rsid w:val="002560D8"/>
    <w:rsid w:val="00262CF9"/>
    <w:rsid w:val="002633DB"/>
    <w:rsid w:val="00265B26"/>
    <w:rsid w:val="0026796B"/>
    <w:rsid w:val="0027300D"/>
    <w:rsid w:val="00274583"/>
    <w:rsid w:val="00275282"/>
    <w:rsid w:val="00282F2B"/>
    <w:rsid w:val="0028303E"/>
    <w:rsid w:val="00284674"/>
    <w:rsid w:val="00285B40"/>
    <w:rsid w:val="00285C62"/>
    <w:rsid w:val="00285DD4"/>
    <w:rsid w:val="00293D7A"/>
    <w:rsid w:val="00295093"/>
    <w:rsid w:val="002967D4"/>
    <w:rsid w:val="002969CB"/>
    <w:rsid w:val="002A000F"/>
    <w:rsid w:val="002A048A"/>
    <w:rsid w:val="002A14BA"/>
    <w:rsid w:val="002A24AD"/>
    <w:rsid w:val="002A3234"/>
    <w:rsid w:val="002A3CCE"/>
    <w:rsid w:val="002A4118"/>
    <w:rsid w:val="002A486E"/>
    <w:rsid w:val="002A529C"/>
    <w:rsid w:val="002B0C37"/>
    <w:rsid w:val="002B17AE"/>
    <w:rsid w:val="002B197E"/>
    <w:rsid w:val="002B379B"/>
    <w:rsid w:val="002B5DFD"/>
    <w:rsid w:val="002B62BC"/>
    <w:rsid w:val="002B7F19"/>
    <w:rsid w:val="002C28F1"/>
    <w:rsid w:val="002C2CCF"/>
    <w:rsid w:val="002C419A"/>
    <w:rsid w:val="002C707C"/>
    <w:rsid w:val="002D0037"/>
    <w:rsid w:val="002D05AF"/>
    <w:rsid w:val="002D11FD"/>
    <w:rsid w:val="002D26B0"/>
    <w:rsid w:val="002D3E91"/>
    <w:rsid w:val="002D4A44"/>
    <w:rsid w:val="002D54D7"/>
    <w:rsid w:val="002D7313"/>
    <w:rsid w:val="002E02B1"/>
    <w:rsid w:val="002E1048"/>
    <w:rsid w:val="002E24CA"/>
    <w:rsid w:val="002E396B"/>
    <w:rsid w:val="002E3D2C"/>
    <w:rsid w:val="002E4FF6"/>
    <w:rsid w:val="002E7E3C"/>
    <w:rsid w:val="002F1879"/>
    <w:rsid w:val="002F1D45"/>
    <w:rsid w:val="002F3420"/>
    <w:rsid w:val="002F42B2"/>
    <w:rsid w:val="002F63A1"/>
    <w:rsid w:val="003036BA"/>
    <w:rsid w:val="00304392"/>
    <w:rsid w:val="00304E34"/>
    <w:rsid w:val="0030758F"/>
    <w:rsid w:val="00311956"/>
    <w:rsid w:val="00313105"/>
    <w:rsid w:val="003141B6"/>
    <w:rsid w:val="003146F4"/>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9F1"/>
    <w:rsid w:val="00351EDC"/>
    <w:rsid w:val="003520A4"/>
    <w:rsid w:val="00353818"/>
    <w:rsid w:val="003541F4"/>
    <w:rsid w:val="00355460"/>
    <w:rsid w:val="0035702D"/>
    <w:rsid w:val="00360535"/>
    <w:rsid w:val="00361DB3"/>
    <w:rsid w:val="003628EB"/>
    <w:rsid w:val="0036342D"/>
    <w:rsid w:val="00363602"/>
    <w:rsid w:val="003639EB"/>
    <w:rsid w:val="00364197"/>
    <w:rsid w:val="003662CB"/>
    <w:rsid w:val="00373A9F"/>
    <w:rsid w:val="003756EB"/>
    <w:rsid w:val="003763CB"/>
    <w:rsid w:val="00377CD5"/>
    <w:rsid w:val="00380D62"/>
    <w:rsid w:val="00381001"/>
    <w:rsid w:val="0038104A"/>
    <w:rsid w:val="0038145D"/>
    <w:rsid w:val="00382E5B"/>
    <w:rsid w:val="00382F97"/>
    <w:rsid w:val="00383853"/>
    <w:rsid w:val="00384980"/>
    <w:rsid w:val="003874CB"/>
    <w:rsid w:val="00390B86"/>
    <w:rsid w:val="00391E44"/>
    <w:rsid w:val="00393CE8"/>
    <w:rsid w:val="00393D13"/>
    <w:rsid w:val="003940D4"/>
    <w:rsid w:val="003A0AEE"/>
    <w:rsid w:val="003A1ED6"/>
    <w:rsid w:val="003A5252"/>
    <w:rsid w:val="003A63E5"/>
    <w:rsid w:val="003A7420"/>
    <w:rsid w:val="003A75E8"/>
    <w:rsid w:val="003B012E"/>
    <w:rsid w:val="003B2723"/>
    <w:rsid w:val="003B3AC6"/>
    <w:rsid w:val="003B3FFE"/>
    <w:rsid w:val="003B446E"/>
    <w:rsid w:val="003C1744"/>
    <w:rsid w:val="003C615D"/>
    <w:rsid w:val="003D112E"/>
    <w:rsid w:val="003D12A0"/>
    <w:rsid w:val="003D1A98"/>
    <w:rsid w:val="003D37D6"/>
    <w:rsid w:val="003D3FE2"/>
    <w:rsid w:val="003D4E93"/>
    <w:rsid w:val="003D640F"/>
    <w:rsid w:val="003D7316"/>
    <w:rsid w:val="003D7D09"/>
    <w:rsid w:val="003E17F3"/>
    <w:rsid w:val="003E387F"/>
    <w:rsid w:val="003E5F1B"/>
    <w:rsid w:val="003F5710"/>
    <w:rsid w:val="003F5FC4"/>
    <w:rsid w:val="003F7D7E"/>
    <w:rsid w:val="00402953"/>
    <w:rsid w:val="00410A00"/>
    <w:rsid w:val="0041108E"/>
    <w:rsid w:val="0041189C"/>
    <w:rsid w:val="004127AE"/>
    <w:rsid w:val="0041399D"/>
    <w:rsid w:val="00416591"/>
    <w:rsid w:val="00416D80"/>
    <w:rsid w:val="00417315"/>
    <w:rsid w:val="00420575"/>
    <w:rsid w:val="00420CA6"/>
    <w:rsid w:val="00422716"/>
    <w:rsid w:val="004237CD"/>
    <w:rsid w:val="00427A0F"/>
    <w:rsid w:val="00431956"/>
    <w:rsid w:val="004360DF"/>
    <w:rsid w:val="00440B9E"/>
    <w:rsid w:val="004423FC"/>
    <w:rsid w:val="0044242A"/>
    <w:rsid w:val="00442439"/>
    <w:rsid w:val="00442B34"/>
    <w:rsid w:val="00443AB2"/>
    <w:rsid w:val="00444E10"/>
    <w:rsid w:val="004462AC"/>
    <w:rsid w:val="0044635D"/>
    <w:rsid w:val="00446720"/>
    <w:rsid w:val="004501A8"/>
    <w:rsid w:val="004511F5"/>
    <w:rsid w:val="00452CFC"/>
    <w:rsid w:val="004570C8"/>
    <w:rsid w:val="00457310"/>
    <w:rsid w:val="00457471"/>
    <w:rsid w:val="0045757E"/>
    <w:rsid w:val="00460D49"/>
    <w:rsid w:val="004642B5"/>
    <w:rsid w:val="00464D1C"/>
    <w:rsid w:val="00465AB7"/>
    <w:rsid w:val="00465CAE"/>
    <w:rsid w:val="00465E37"/>
    <w:rsid w:val="004677E0"/>
    <w:rsid w:val="004701DE"/>
    <w:rsid w:val="004702C9"/>
    <w:rsid w:val="00472E27"/>
    <w:rsid w:val="004772EC"/>
    <w:rsid w:val="00477BF4"/>
    <w:rsid w:val="004811E6"/>
    <w:rsid w:val="00482836"/>
    <w:rsid w:val="00482EE5"/>
    <w:rsid w:val="00483326"/>
    <w:rsid w:val="00486D54"/>
    <w:rsid w:val="00486E60"/>
    <w:rsid w:val="00491213"/>
    <w:rsid w:val="00492EFA"/>
    <w:rsid w:val="0049327F"/>
    <w:rsid w:val="00493B58"/>
    <w:rsid w:val="0049433A"/>
    <w:rsid w:val="004949B8"/>
    <w:rsid w:val="004A0234"/>
    <w:rsid w:val="004A11FE"/>
    <w:rsid w:val="004A3B46"/>
    <w:rsid w:val="004A465D"/>
    <w:rsid w:val="004A6349"/>
    <w:rsid w:val="004A7ADD"/>
    <w:rsid w:val="004B246A"/>
    <w:rsid w:val="004B30CA"/>
    <w:rsid w:val="004B67CA"/>
    <w:rsid w:val="004B6902"/>
    <w:rsid w:val="004B7C73"/>
    <w:rsid w:val="004C1DD3"/>
    <w:rsid w:val="004C23B8"/>
    <w:rsid w:val="004C23CB"/>
    <w:rsid w:val="004C41FA"/>
    <w:rsid w:val="004C6BFB"/>
    <w:rsid w:val="004D0892"/>
    <w:rsid w:val="004D0B9B"/>
    <w:rsid w:val="004D0E4A"/>
    <w:rsid w:val="004D2492"/>
    <w:rsid w:val="004D67B3"/>
    <w:rsid w:val="004E2993"/>
    <w:rsid w:val="004F105E"/>
    <w:rsid w:val="004F2C2F"/>
    <w:rsid w:val="004F57C5"/>
    <w:rsid w:val="004F6E39"/>
    <w:rsid w:val="004F7211"/>
    <w:rsid w:val="00500D8B"/>
    <w:rsid w:val="00502AFF"/>
    <w:rsid w:val="00503B7B"/>
    <w:rsid w:val="00504273"/>
    <w:rsid w:val="00504A78"/>
    <w:rsid w:val="00505244"/>
    <w:rsid w:val="00505C65"/>
    <w:rsid w:val="00506758"/>
    <w:rsid w:val="00510D59"/>
    <w:rsid w:val="005136F2"/>
    <w:rsid w:val="005142CA"/>
    <w:rsid w:val="005151B5"/>
    <w:rsid w:val="00517856"/>
    <w:rsid w:val="005206B2"/>
    <w:rsid w:val="00520DF1"/>
    <w:rsid w:val="00523407"/>
    <w:rsid w:val="00523A05"/>
    <w:rsid w:val="005242BD"/>
    <w:rsid w:val="00524F99"/>
    <w:rsid w:val="00525891"/>
    <w:rsid w:val="0052668A"/>
    <w:rsid w:val="00527F31"/>
    <w:rsid w:val="0053363E"/>
    <w:rsid w:val="005336C5"/>
    <w:rsid w:val="0053659A"/>
    <w:rsid w:val="005376CB"/>
    <w:rsid w:val="00540BCE"/>
    <w:rsid w:val="005411C5"/>
    <w:rsid w:val="00541F28"/>
    <w:rsid w:val="0054241F"/>
    <w:rsid w:val="0054746D"/>
    <w:rsid w:val="00550C71"/>
    <w:rsid w:val="00551F45"/>
    <w:rsid w:val="00555F01"/>
    <w:rsid w:val="0055767F"/>
    <w:rsid w:val="005626BC"/>
    <w:rsid w:val="00564E0C"/>
    <w:rsid w:val="00565A4C"/>
    <w:rsid w:val="00566CE5"/>
    <w:rsid w:val="00570D65"/>
    <w:rsid w:val="005722AA"/>
    <w:rsid w:val="005762F3"/>
    <w:rsid w:val="00577FB4"/>
    <w:rsid w:val="00581E03"/>
    <w:rsid w:val="00583985"/>
    <w:rsid w:val="005842B4"/>
    <w:rsid w:val="00587CF1"/>
    <w:rsid w:val="00587E3A"/>
    <w:rsid w:val="005902A9"/>
    <w:rsid w:val="00590340"/>
    <w:rsid w:val="0059062E"/>
    <w:rsid w:val="00590A10"/>
    <w:rsid w:val="0059297F"/>
    <w:rsid w:val="00593176"/>
    <w:rsid w:val="00594006"/>
    <w:rsid w:val="00594D78"/>
    <w:rsid w:val="00594F41"/>
    <w:rsid w:val="00596126"/>
    <w:rsid w:val="005A04C8"/>
    <w:rsid w:val="005A0542"/>
    <w:rsid w:val="005A11DA"/>
    <w:rsid w:val="005A424D"/>
    <w:rsid w:val="005A59C2"/>
    <w:rsid w:val="005A5B4F"/>
    <w:rsid w:val="005A6FCB"/>
    <w:rsid w:val="005A7F6C"/>
    <w:rsid w:val="005B0961"/>
    <w:rsid w:val="005B16F4"/>
    <w:rsid w:val="005B186D"/>
    <w:rsid w:val="005B3311"/>
    <w:rsid w:val="005B62EC"/>
    <w:rsid w:val="005C047E"/>
    <w:rsid w:val="005C11FA"/>
    <w:rsid w:val="005C261D"/>
    <w:rsid w:val="005C2FF4"/>
    <w:rsid w:val="005C3781"/>
    <w:rsid w:val="005C3955"/>
    <w:rsid w:val="005C5095"/>
    <w:rsid w:val="005C6411"/>
    <w:rsid w:val="005C7DF8"/>
    <w:rsid w:val="005D0BC5"/>
    <w:rsid w:val="005D0EDF"/>
    <w:rsid w:val="005D33EB"/>
    <w:rsid w:val="005D3ACC"/>
    <w:rsid w:val="005D69DC"/>
    <w:rsid w:val="005D6B46"/>
    <w:rsid w:val="005D6C52"/>
    <w:rsid w:val="005E037C"/>
    <w:rsid w:val="005E0BAE"/>
    <w:rsid w:val="005E0E65"/>
    <w:rsid w:val="005E1970"/>
    <w:rsid w:val="005E34E8"/>
    <w:rsid w:val="005E36FF"/>
    <w:rsid w:val="005E5941"/>
    <w:rsid w:val="005F14FC"/>
    <w:rsid w:val="005F2A4C"/>
    <w:rsid w:val="005F36BF"/>
    <w:rsid w:val="005F76B0"/>
    <w:rsid w:val="005F7D12"/>
    <w:rsid w:val="00601262"/>
    <w:rsid w:val="00604D84"/>
    <w:rsid w:val="00607722"/>
    <w:rsid w:val="006129FD"/>
    <w:rsid w:val="00613022"/>
    <w:rsid w:val="00613337"/>
    <w:rsid w:val="00616EC7"/>
    <w:rsid w:val="00617ED2"/>
    <w:rsid w:val="00620393"/>
    <w:rsid w:val="0062116B"/>
    <w:rsid w:val="00622CC0"/>
    <w:rsid w:val="0062439C"/>
    <w:rsid w:val="0062501A"/>
    <w:rsid w:val="006259D1"/>
    <w:rsid w:val="0063180F"/>
    <w:rsid w:val="00631923"/>
    <w:rsid w:val="00632C12"/>
    <w:rsid w:val="0063306E"/>
    <w:rsid w:val="00635102"/>
    <w:rsid w:val="006378F1"/>
    <w:rsid w:val="006406DB"/>
    <w:rsid w:val="00643136"/>
    <w:rsid w:val="0064321C"/>
    <w:rsid w:val="00643952"/>
    <w:rsid w:val="006452AD"/>
    <w:rsid w:val="00647B74"/>
    <w:rsid w:val="00650847"/>
    <w:rsid w:val="00650AC5"/>
    <w:rsid w:val="00652438"/>
    <w:rsid w:val="00653552"/>
    <w:rsid w:val="00654C7D"/>
    <w:rsid w:val="0065507F"/>
    <w:rsid w:val="0065710F"/>
    <w:rsid w:val="00657834"/>
    <w:rsid w:val="00660B10"/>
    <w:rsid w:val="006621CC"/>
    <w:rsid w:val="00663B0C"/>
    <w:rsid w:val="00670377"/>
    <w:rsid w:val="00674D10"/>
    <w:rsid w:val="006769A0"/>
    <w:rsid w:val="006772E7"/>
    <w:rsid w:val="006777B9"/>
    <w:rsid w:val="00677FDA"/>
    <w:rsid w:val="00680E60"/>
    <w:rsid w:val="00681461"/>
    <w:rsid w:val="006817D9"/>
    <w:rsid w:val="006821E9"/>
    <w:rsid w:val="006831DC"/>
    <w:rsid w:val="006839F3"/>
    <w:rsid w:val="00687034"/>
    <w:rsid w:val="006873AA"/>
    <w:rsid w:val="006874AA"/>
    <w:rsid w:val="006920B0"/>
    <w:rsid w:val="00692183"/>
    <w:rsid w:val="00692480"/>
    <w:rsid w:val="006932A5"/>
    <w:rsid w:val="006934C7"/>
    <w:rsid w:val="0069410F"/>
    <w:rsid w:val="00697787"/>
    <w:rsid w:val="006A0B53"/>
    <w:rsid w:val="006A0DAB"/>
    <w:rsid w:val="006A190F"/>
    <w:rsid w:val="006A2937"/>
    <w:rsid w:val="006A3523"/>
    <w:rsid w:val="006A6B4E"/>
    <w:rsid w:val="006B0525"/>
    <w:rsid w:val="006B24AE"/>
    <w:rsid w:val="006B6C9F"/>
    <w:rsid w:val="006C2A2F"/>
    <w:rsid w:val="006C550F"/>
    <w:rsid w:val="006C599B"/>
    <w:rsid w:val="006C69B6"/>
    <w:rsid w:val="006D02FC"/>
    <w:rsid w:val="006D096B"/>
    <w:rsid w:val="006D2F5B"/>
    <w:rsid w:val="006D31AB"/>
    <w:rsid w:val="006D446E"/>
    <w:rsid w:val="006D4A1A"/>
    <w:rsid w:val="006D5343"/>
    <w:rsid w:val="006D6A18"/>
    <w:rsid w:val="006D6BB5"/>
    <w:rsid w:val="006D7BFC"/>
    <w:rsid w:val="006E3B17"/>
    <w:rsid w:val="006E62B1"/>
    <w:rsid w:val="006F6C87"/>
    <w:rsid w:val="006F6F42"/>
    <w:rsid w:val="0070502C"/>
    <w:rsid w:val="00706713"/>
    <w:rsid w:val="007074FD"/>
    <w:rsid w:val="0070798C"/>
    <w:rsid w:val="0071255F"/>
    <w:rsid w:val="00715990"/>
    <w:rsid w:val="0071635C"/>
    <w:rsid w:val="00720592"/>
    <w:rsid w:val="007215B9"/>
    <w:rsid w:val="00721E50"/>
    <w:rsid w:val="00722E0A"/>
    <w:rsid w:val="00722FB0"/>
    <w:rsid w:val="00723860"/>
    <w:rsid w:val="007250AC"/>
    <w:rsid w:val="007268F5"/>
    <w:rsid w:val="00731485"/>
    <w:rsid w:val="00731792"/>
    <w:rsid w:val="00732067"/>
    <w:rsid w:val="007400B7"/>
    <w:rsid w:val="007410D5"/>
    <w:rsid w:val="0074265D"/>
    <w:rsid w:val="00742984"/>
    <w:rsid w:val="00742C4F"/>
    <w:rsid w:val="007446A3"/>
    <w:rsid w:val="0074666A"/>
    <w:rsid w:val="007472D6"/>
    <w:rsid w:val="00753AD5"/>
    <w:rsid w:val="00754771"/>
    <w:rsid w:val="007573E5"/>
    <w:rsid w:val="00762309"/>
    <w:rsid w:val="00765478"/>
    <w:rsid w:val="00765EFC"/>
    <w:rsid w:val="00766175"/>
    <w:rsid w:val="00767D54"/>
    <w:rsid w:val="007716AB"/>
    <w:rsid w:val="0077382B"/>
    <w:rsid w:val="00774FE2"/>
    <w:rsid w:val="0077750A"/>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A40A9"/>
    <w:rsid w:val="007A706D"/>
    <w:rsid w:val="007A73F6"/>
    <w:rsid w:val="007A78C1"/>
    <w:rsid w:val="007B0961"/>
    <w:rsid w:val="007B2C20"/>
    <w:rsid w:val="007B42EE"/>
    <w:rsid w:val="007C2DFB"/>
    <w:rsid w:val="007C4B89"/>
    <w:rsid w:val="007C5BB1"/>
    <w:rsid w:val="007C6BED"/>
    <w:rsid w:val="007D2638"/>
    <w:rsid w:val="007D4AA9"/>
    <w:rsid w:val="007D55B1"/>
    <w:rsid w:val="007D57A8"/>
    <w:rsid w:val="007D73E9"/>
    <w:rsid w:val="007E0454"/>
    <w:rsid w:val="007E0556"/>
    <w:rsid w:val="007E0A83"/>
    <w:rsid w:val="007E1456"/>
    <w:rsid w:val="007E17FA"/>
    <w:rsid w:val="007E44F5"/>
    <w:rsid w:val="007E4ED6"/>
    <w:rsid w:val="007E56C6"/>
    <w:rsid w:val="007F0C04"/>
    <w:rsid w:val="007F2F1F"/>
    <w:rsid w:val="007F46D2"/>
    <w:rsid w:val="007F4EC6"/>
    <w:rsid w:val="007F7FD1"/>
    <w:rsid w:val="00800B09"/>
    <w:rsid w:val="0080221D"/>
    <w:rsid w:val="00802FF6"/>
    <w:rsid w:val="00803F2B"/>
    <w:rsid w:val="008041BD"/>
    <w:rsid w:val="008053A6"/>
    <w:rsid w:val="00805B41"/>
    <w:rsid w:val="00807052"/>
    <w:rsid w:val="00807A86"/>
    <w:rsid w:val="008105D3"/>
    <w:rsid w:val="00814D2E"/>
    <w:rsid w:val="008158A3"/>
    <w:rsid w:val="008166F7"/>
    <w:rsid w:val="00820175"/>
    <w:rsid w:val="008208C7"/>
    <w:rsid w:val="00822C17"/>
    <w:rsid w:val="008244E2"/>
    <w:rsid w:val="00825012"/>
    <w:rsid w:val="008310FF"/>
    <w:rsid w:val="00833C2D"/>
    <w:rsid w:val="008379B1"/>
    <w:rsid w:val="008442F5"/>
    <w:rsid w:val="0084556B"/>
    <w:rsid w:val="0084716E"/>
    <w:rsid w:val="00853B01"/>
    <w:rsid w:val="00853F30"/>
    <w:rsid w:val="008540B3"/>
    <w:rsid w:val="0085434E"/>
    <w:rsid w:val="0085574D"/>
    <w:rsid w:val="00855908"/>
    <w:rsid w:val="00855E21"/>
    <w:rsid w:val="00856380"/>
    <w:rsid w:val="00856CFF"/>
    <w:rsid w:val="008579D6"/>
    <w:rsid w:val="0086016B"/>
    <w:rsid w:val="00860963"/>
    <w:rsid w:val="008612B0"/>
    <w:rsid w:val="008637A0"/>
    <w:rsid w:val="00864000"/>
    <w:rsid w:val="00864EFE"/>
    <w:rsid w:val="00865D5B"/>
    <w:rsid w:val="0086631A"/>
    <w:rsid w:val="0086796B"/>
    <w:rsid w:val="008757F8"/>
    <w:rsid w:val="008773E5"/>
    <w:rsid w:val="008800AA"/>
    <w:rsid w:val="00881AEC"/>
    <w:rsid w:val="00884341"/>
    <w:rsid w:val="00884362"/>
    <w:rsid w:val="00887535"/>
    <w:rsid w:val="00887BB0"/>
    <w:rsid w:val="0089022F"/>
    <w:rsid w:val="00891509"/>
    <w:rsid w:val="008A05F2"/>
    <w:rsid w:val="008A240F"/>
    <w:rsid w:val="008A61C9"/>
    <w:rsid w:val="008B116A"/>
    <w:rsid w:val="008B2BCE"/>
    <w:rsid w:val="008B2DF1"/>
    <w:rsid w:val="008B46A7"/>
    <w:rsid w:val="008B5F7B"/>
    <w:rsid w:val="008B7348"/>
    <w:rsid w:val="008C075C"/>
    <w:rsid w:val="008C093B"/>
    <w:rsid w:val="008C4341"/>
    <w:rsid w:val="008C5AA7"/>
    <w:rsid w:val="008C6D05"/>
    <w:rsid w:val="008D1510"/>
    <w:rsid w:val="008D15C5"/>
    <w:rsid w:val="008D384B"/>
    <w:rsid w:val="008D3922"/>
    <w:rsid w:val="008D44E3"/>
    <w:rsid w:val="008D4E58"/>
    <w:rsid w:val="008D7A2F"/>
    <w:rsid w:val="008E2ED6"/>
    <w:rsid w:val="008E4786"/>
    <w:rsid w:val="008E5D55"/>
    <w:rsid w:val="008F26AD"/>
    <w:rsid w:val="008F2E64"/>
    <w:rsid w:val="008F2FB3"/>
    <w:rsid w:val="008F4B39"/>
    <w:rsid w:val="008F5CF1"/>
    <w:rsid w:val="008F78D5"/>
    <w:rsid w:val="00902DFE"/>
    <w:rsid w:val="00902F55"/>
    <w:rsid w:val="0090470C"/>
    <w:rsid w:val="00905534"/>
    <w:rsid w:val="00906198"/>
    <w:rsid w:val="00910718"/>
    <w:rsid w:val="009116B8"/>
    <w:rsid w:val="00911CA6"/>
    <w:rsid w:val="00916FEB"/>
    <w:rsid w:val="009170D7"/>
    <w:rsid w:val="0091745E"/>
    <w:rsid w:val="009233F5"/>
    <w:rsid w:val="00924109"/>
    <w:rsid w:val="009261C4"/>
    <w:rsid w:val="00926D5C"/>
    <w:rsid w:val="00930956"/>
    <w:rsid w:val="00930E2F"/>
    <w:rsid w:val="00932BAC"/>
    <w:rsid w:val="009360D1"/>
    <w:rsid w:val="009364DE"/>
    <w:rsid w:val="00947BF1"/>
    <w:rsid w:val="0095097F"/>
    <w:rsid w:val="00950F2C"/>
    <w:rsid w:val="009512A7"/>
    <w:rsid w:val="009543EE"/>
    <w:rsid w:val="009551EE"/>
    <w:rsid w:val="0095743A"/>
    <w:rsid w:val="009577E9"/>
    <w:rsid w:val="00967F32"/>
    <w:rsid w:val="009702DE"/>
    <w:rsid w:val="00971B64"/>
    <w:rsid w:val="009728BB"/>
    <w:rsid w:val="00973331"/>
    <w:rsid w:val="00974712"/>
    <w:rsid w:val="00976266"/>
    <w:rsid w:val="00977BEF"/>
    <w:rsid w:val="0098154F"/>
    <w:rsid w:val="0098218D"/>
    <w:rsid w:val="00982E6F"/>
    <w:rsid w:val="0098688A"/>
    <w:rsid w:val="009906AB"/>
    <w:rsid w:val="00990E54"/>
    <w:rsid w:val="00990F3D"/>
    <w:rsid w:val="0099224F"/>
    <w:rsid w:val="00996B36"/>
    <w:rsid w:val="0099762C"/>
    <w:rsid w:val="009A239C"/>
    <w:rsid w:val="009A313B"/>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BFF"/>
    <w:rsid w:val="009C2C79"/>
    <w:rsid w:val="009C4DE4"/>
    <w:rsid w:val="009C79C4"/>
    <w:rsid w:val="009D219C"/>
    <w:rsid w:val="009D22F8"/>
    <w:rsid w:val="009D2CDF"/>
    <w:rsid w:val="009D3510"/>
    <w:rsid w:val="009D52D5"/>
    <w:rsid w:val="009D72AA"/>
    <w:rsid w:val="009E393C"/>
    <w:rsid w:val="009E6008"/>
    <w:rsid w:val="009E6385"/>
    <w:rsid w:val="009E6EE9"/>
    <w:rsid w:val="009F0268"/>
    <w:rsid w:val="009F1F2E"/>
    <w:rsid w:val="009F4313"/>
    <w:rsid w:val="009F494B"/>
    <w:rsid w:val="009F64E4"/>
    <w:rsid w:val="00A009EA"/>
    <w:rsid w:val="00A01627"/>
    <w:rsid w:val="00A06892"/>
    <w:rsid w:val="00A07761"/>
    <w:rsid w:val="00A12D02"/>
    <w:rsid w:val="00A139C5"/>
    <w:rsid w:val="00A17980"/>
    <w:rsid w:val="00A21E33"/>
    <w:rsid w:val="00A21E81"/>
    <w:rsid w:val="00A2411F"/>
    <w:rsid w:val="00A25047"/>
    <w:rsid w:val="00A30934"/>
    <w:rsid w:val="00A33184"/>
    <w:rsid w:val="00A33C56"/>
    <w:rsid w:val="00A36342"/>
    <w:rsid w:val="00A4099B"/>
    <w:rsid w:val="00A422D5"/>
    <w:rsid w:val="00A42896"/>
    <w:rsid w:val="00A43179"/>
    <w:rsid w:val="00A45310"/>
    <w:rsid w:val="00A4771A"/>
    <w:rsid w:val="00A50D78"/>
    <w:rsid w:val="00A52005"/>
    <w:rsid w:val="00A53223"/>
    <w:rsid w:val="00A55262"/>
    <w:rsid w:val="00A57BE7"/>
    <w:rsid w:val="00A611EE"/>
    <w:rsid w:val="00A6545C"/>
    <w:rsid w:val="00A6563F"/>
    <w:rsid w:val="00A66CCA"/>
    <w:rsid w:val="00A67F48"/>
    <w:rsid w:val="00A704D5"/>
    <w:rsid w:val="00A70752"/>
    <w:rsid w:val="00A7774E"/>
    <w:rsid w:val="00A8467A"/>
    <w:rsid w:val="00A86C97"/>
    <w:rsid w:val="00A86DE0"/>
    <w:rsid w:val="00A86E28"/>
    <w:rsid w:val="00A92AC5"/>
    <w:rsid w:val="00A93E28"/>
    <w:rsid w:val="00AA1386"/>
    <w:rsid w:val="00AA4068"/>
    <w:rsid w:val="00AA6824"/>
    <w:rsid w:val="00AA701D"/>
    <w:rsid w:val="00AB4207"/>
    <w:rsid w:val="00AC2B6A"/>
    <w:rsid w:val="00AD0FD6"/>
    <w:rsid w:val="00AD7994"/>
    <w:rsid w:val="00AE0A20"/>
    <w:rsid w:val="00AE31C7"/>
    <w:rsid w:val="00AE3911"/>
    <w:rsid w:val="00AE3DD9"/>
    <w:rsid w:val="00AE709A"/>
    <w:rsid w:val="00AE784D"/>
    <w:rsid w:val="00AF6D22"/>
    <w:rsid w:val="00AF7E75"/>
    <w:rsid w:val="00B005D4"/>
    <w:rsid w:val="00B00868"/>
    <w:rsid w:val="00B01558"/>
    <w:rsid w:val="00B02FB1"/>
    <w:rsid w:val="00B0645A"/>
    <w:rsid w:val="00B066FF"/>
    <w:rsid w:val="00B06847"/>
    <w:rsid w:val="00B07042"/>
    <w:rsid w:val="00B071FD"/>
    <w:rsid w:val="00B07868"/>
    <w:rsid w:val="00B1340A"/>
    <w:rsid w:val="00B159DB"/>
    <w:rsid w:val="00B21B6E"/>
    <w:rsid w:val="00B21BE5"/>
    <w:rsid w:val="00B220B5"/>
    <w:rsid w:val="00B22EA9"/>
    <w:rsid w:val="00B24F0E"/>
    <w:rsid w:val="00B262E4"/>
    <w:rsid w:val="00B313EF"/>
    <w:rsid w:val="00B36634"/>
    <w:rsid w:val="00B40077"/>
    <w:rsid w:val="00B40919"/>
    <w:rsid w:val="00B42160"/>
    <w:rsid w:val="00B43D5E"/>
    <w:rsid w:val="00B45A43"/>
    <w:rsid w:val="00B45D4C"/>
    <w:rsid w:val="00B5107E"/>
    <w:rsid w:val="00B54914"/>
    <w:rsid w:val="00B5501D"/>
    <w:rsid w:val="00B5634F"/>
    <w:rsid w:val="00B61668"/>
    <w:rsid w:val="00B6613A"/>
    <w:rsid w:val="00B6762B"/>
    <w:rsid w:val="00B70AB8"/>
    <w:rsid w:val="00B7110A"/>
    <w:rsid w:val="00B71AA8"/>
    <w:rsid w:val="00B71D96"/>
    <w:rsid w:val="00B73845"/>
    <w:rsid w:val="00B76BA6"/>
    <w:rsid w:val="00B76BE5"/>
    <w:rsid w:val="00B80094"/>
    <w:rsid w:val="00B809B0"/>
    <w:rsid w:val="00B81523"/>
    <w:rsid w:val="00B81683"/>
    <w:rsid w:val="00B85469"/>
    <w:rsid w:val="00B902AE"/>
    <w:rsid w:val="00B9337F"/>
    <w:rsid w:val="00B94BF5"/>
    <w:rsid w:val="00B958C0"/>
    <w:rsid w:val="00B979BB"/>
    <w:rsid w:val="00B97F8D"/>
    <w:rsid w:val="00BA020C"/>
    <w:rsid w:val="00BA0D9F"/>
    <w:rsid w:val="00BA31AE"/>
    <w:rsid w:val="00BA6415"/>
    <w:rsid w:val="00BA7B2F"/>
    <w:rsid w:val="00BB3E6B"/>
    <w:rsid w:val="00BB4689"/>
    <w:rsid w:val="00BB5D21"/>
    <w:rsid w:val="00BB6C89"/>
    <w:rsid w:val="00BB72FD"/>
    <w:rsid w:val="00BC1036"/>
    <w:rsid w:val="00BC2D8F"/>
    <w:rsid w:val="00BC4302"/>
    <w:rsid w:val="00BC57BB"/>
    <w:rsid w:val="00BC5DEA"/>
    <w:rsid w:val="00BC6EF4"/>
    <w:rsid w:val="00BD13D0"/>
    <w:rsid w:val="00BD2CE8"/>
    <w:rsid w:val="00BD2E2F"/>
    <w:rsid w:val="00BD6B49"/>
    <w:rsid w:val="00BD7DD2"/>
    <w:rsid w:val="00BE0B38"/>
    <w:rsid w:val="00BE1BCC"/>
    <w:rsid w:val="00BE4777"/>
    <w:rsid w:val="00BF47AC"/>
    <w:rsid w:val="00BF71A1"/>
    <w:rsid w:val="00C017C5"/>
    <w:rsid w:val="00C01E2F"/>
    <w:rsid w:val="00C02BA6"/>
    <w:rsid w:val="00C03393"/>
    <w:rsid w:val="00C05C30"/>
    <w:rsid w:val="00C061C7"/>
    <w:rsid w:val="00C07C7D"/>
    <w:rsid w:val="00C13035"/>
    <w:rsid w:val="00C13F1C"/>
    <w:rsid w:val="00C1435D"/>
    <w:rsid w:val="00C162ED"/>
    <w:rsid w:val="00C202C1"/>
    <w:rsid w:val="00C2639C"/>
    <w:rsid w:val="00C263CC"/>
    <w:rsid w:val="00C26A74"/>
    <w:rsid w:val="00C276C8"/>
    <w:rsid w:val="00C2797C"/>
    <w:rsid w:val="00C34A5B"/>
    <w:rsid w:val="00C36E6D"/>
    <w:rsid w:val="00C3787E"/>
    <w:rsid w:val="00C42011"/>
    <w:rsid w:val="00C42BCF"/>
    <w:rsid w:val="00C4392E"/>
    <w:rsid w:val="00C43BCD"/>
    <w:rsid w:val="00C45991"/>
    <w:rsid w:val="00C45E9C"/>
    <w:rsid w:val="00C46D04"/>
    <w:rsid w:val="00C4774B"/>
    <w:rsid w:val="00C52B44"/>
    <w:rsid w:val="00C52C26"/>
    <w:rsid w:val="00C557BA"/>
    <w:rsid w:val="00C55C70"/>
    <w:rsid w:val="00C56EF3"/>
    <w:rsid w:val="00C57B14"/>
    <w:rsid w:val="00C65B54"/>
    <w:rsid w:val="00C70C0E"/>
    <w:rsid w:val="00C71521"/>
    <w:rsid w:val="00C74017"/>
    <w:rsid w:val="00C74121"/>
    <w:rsid w:val="00C74475"/>
    <w:rsid w:val="00C74538"/>
    <w:rsid w:val="00C7496D"/>
    <w:rsid w:val="00C74BFC"/>
    <w:rsid w:val="00C74C7A"/>
    <w:rsid w:val="00C7759F"/>
    <w:rsid w:val="00C8361D"/>
    <w:rsid w:val="00C85C1D"/>
    <w:rsid w:val="00C868DA"/>
    <w:rsid w:val="00C90CAE"/>
    <w:rsid w:val="00C93054"/>
    <w:rsid w:val="00C957D8"/>
    <w:rsid w:val="00C95A94"/>
    <w:rsid w:val="00C95CB0"/>
    <w:rsid w:val="00CA0618"/>
    <w:rsid w:val="00CA10DF"/>
    <w:rsid w:val="00CA21C4"/>
    <w:rsid w:val="00CA2547"/>
    <w:rsid w:val="00CA2EC3"/>
    <w:rsid w:val="00CA4724"/>
    <w:rsid w:val="00CB00BE"/>
    <w:rsid w:val="00CB13E7"/>
    <w:rsid w:val="00CB191E"/>
    <w:rsid w:val="00CB2604"/>
    <w:rsid w:val="00CB2A35"/>
    <w:rsid w:val="00CB2DB1"/>
    <w:rsid w:val="00CB3F7E"/>
    <w:rsid w:val="00CB47FC"/>
    <w:rsid w:val="00CB701C"/>
    <w:rsid w:val="00CB7E0F"/>
    <w:rsid w:val="00CC06D9"/>
    <w:rsid w:val="00CC31C5"/>
    <w:rsid w:val="00CC32B5"/>
    <w:rsid w:val="00CC6C12"/>
    <w:rsid w:val="00CD2415"/>
    <w:rsid w:val="00CD2980"/>
    <w:rsid w:val="00CD2DF0"/>
    <w:rsid w:val="00CD3789"/>
    <w:rsid w:val="00CD4F00"/>
    <w:rsid w:val="00CD5E51"/>
    <w:rsid w:val="00CD6C55"/>
    <w:rsid w:val="00CE1988"/>
    <w:rsid w:val="00CE3A39"/>
    <w:rsid w:val="00CE5F46"/>
    <w:rsid w:val="00CE715D"/>
    <w:rsid w:val="00CF0829"/>
    <w:rsid w:val="00CF1C08"/>
    <w:rsid w:val="00CF61B0"/>
    <w:rsid w:val="00CF6965"/>
    <w:rsid w:val="00CF6BA8"/>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04F5"/>
    <w:rsid w:val="00D41CF4"/>
    <w:rsid w:val="00D44556"/>
    <w:rsid w:val="00D45F11"/>
    <w:rsid w:val="00D45F7B"/>
    <w:rsid w:val="00D46167"/>
    <w:rsid w:val="00D5026D"/>
    <w:rsid w:val="00D504EF"/>
    <w:rsid w:val="00D517B2"/>
    <w:rsid w:val="00D518FB"/>
    <w:rsid w:val="00D5279F"/>
    <w:rsid w:val="00D54DB4"/>
    <w:rsid w:val="00D56750"/>
    <w:rsid w:val="00D56AAE"/>
    <w:rsid w:val="00D60144"/>
    <w:rsid w:val="00D60B52"/>
    <w:rsid w:val="00D619EC"/>
    <w:rsid w:val="00D623F3"/>
    <w:rsid w:val="00D62A61"/>
    <w:rsid w:val="00D721CB"/>
    <w:rsid w:val="00D72322"/>
    <w:rsid w:val="00D729EE"/>
    <w:rsid w:val="00D739D3"/>
    <w:rsid w:val="00D73BF5"/>
    <w:rsid w:val="00D73E04"/>
    <w:rsid w:val="00D75529"/>
    <w:rsid w:val="00D757E2"/>
    <w:rsid w:val="00D7586C"/>
    <w:rsid w:val="00D75AB9"/>
    <w:rsid w:val="00D77E8F"/>
    <w:rsid w:val="00D80162"/>
    <w:rsid w:val="00D81728"/>
    <w:rsid w:val="00D828C6"/>
    <w:rsid w:val="00D91FF4"/>
    <w:rsid w:val="00D95FC4"/>
    <w:rsid w:val="00D965FD"/>
    <w:rsid w:val="00D96DFE"/>
    <w:rsid w:val="00D96EEF"/>
    <w:rsid w:val="00D97993"/>
    <w:rsid w:val="00DA2F9C"/>
    <w:rsid w:val="00DB0143"/>
    <w:rsid w:val="00DB45CB"/>
    <w:rsid w:val="00DB47ED"/>
    <w:rsid w:val="00DB5B0F"/>
    <w:rsid w:val="00DB5C60"/>
    <w:rsid w:val="00DB7966"/>
    <w:rsid w:val="00DC1FAF"/>
    <w:rsid w:val="00DC59D1"/>
    <w:rsid w:val="00DC7D0F"/>
    <w:rsid w:val="00DD2B2D"/>
    <w:rsid w:val="00DD6641"/>
    <w:rsid w:val="00DE168E"/>
    <w:rsid w:val="00DF172F"/>
    <w:rsid w:val="00DF17BF"/>
    <w:rsid w:val="00DF2140"/>
    <w:rsid w:val="00DF36B4"/>
    <w:rsid w:val="00DF49FE"/>
    <w:rsid w:val="00DF56B6"/>
    <w:rsid w:val="00DF65DE"/>
    <w:rsid w:val="00E02368"/>
    <w:rsid w:val="00E02D96"/>
    <w:rsid w:val="00E05FFD"/>
    <w:rsid w:val="00E06451"/>
    <w:rsid w:val="00E119C1"/>
    <w:rsid w:val="00E12A76"/>
    <w:rsid w:val="00E12DAF"/>
    <w:rsid w:val="00E15E99"/>
    <w:rsid w:val="00E160AE"/>
    <w:rsid w:val="00E1687C"/>
    <w:rsid w:val="00E17BCE"/>
    <w:rsid w:val="00E20269"/>
    <w:rsid w:val="00E213C4"/>
    <w:rsid w:val="00E25C96"/>
    <w:rsid w:val="00E26C9C"/>
    <w:rsid w:val="00E3158C"/>
    <w:rsid w:val="00E32038"/>
    <w:rsid w:val="00E33CF9"/>
    <w:rsid w:val="00E35052"/>
    <w:rsid w:val="00E35309"/>
    <w:rsid w:val="00E356FE"/>
    <w:rsid w:val="00E373C7"/>
    <w:rsid w:val="00E41196"/>
    <w:rsid w:val="00E424D2"/>
    <w:rsid w:val="00E43455"/>
    <w:rsid w:val="00E43819"/>
    <w:rsid w:val="00E43EF1"/>
    <w:rsid w:val="00E4554E"/>
    <w:rsid w:val="00E45C23"/>
    <w:rsid w:val="00E51795"/>
    <w:rsid w:val="00E525EC"/>
    <w:rsid w:val="00E5277A"/>
    <w:rsid w:val="00E53B52"/>
    <w:rsid w:val="00E632AC"/>
    <w:rsid w:val="00E6491A"/>
    <w:rsid w:val="00E66469"/>
    <w:rsid w:val="00E66762"/>
    <w:rsid w:val="00E721A9"/>
    <w:rsid w:val="00E74E1D"/>
    <w:rsid w:val="00E75293"/>
    <w:rsid w:val="00E75D00"/>
    <w:rsid w:val="00E75F3B"/>
    <w:rsid w:val="00E76648"/>
    <w:rsid w:val="00E77E5A"/>
    <w:rsid w:val="00E83193"/>
    <w:rsid w:val="00E833C6"/>
    <w:rsid w:val="00E836A2"/>
    <w:rsid w:val="00E86915"/>
    <w:rsid w:val="00E86C0D"/>
    <w:rsid w:val="00E87D96"/>
    <w:rsid w:val="00E90168"/>
    <w:rsid w:val="00E90A8F"/>
    <w:rsid w:val="00E90B4B"/>
    <w:rsid w:val="00E91452"/>
    <w:rsid w:val="00E93F89"/>
    <w:rsid w:val="00EA2030"/>
    <w:rsid w:val="00EA5D2D"/>
    <w:rsid w:val="00EA6DD5"/>
    <w:rsid w:val="00EB0BA5"/>
    <w:rsid w:val="00EB151B"/>
    <w:rsid w:val="00EB3128"/>
    <w:rsid w:val="00EB7F44"/>
    <w:rsid w:val="00EC189B"/>
    <w:rsid w:val="00EC2CC3"/>
    <w:rsid w:val="00EC3F6B"/>
    <w:rsid w:val="00EC5C8C"/>
    <w:rsid w:val="00EC6E73"/>
    <w:rsid w:val="00EC7980"/>
    <w:rsid w:val="00EC7BD8"/>
    <w:rsid w:val="00EC7F67"/>
    <w:rsid w:val="00ED04DC"/>
    <w:rsid w:val="00ED0A07"/>
    <w:rsid w:val="00ED0B50"/>
    <w:rsid w:val="00ED1033"/>
    <w:rsid w:val="00ED3993"/>
    <w:rsid w:val="00ED4271"/>
    <w:rsid w:val="00ED4B30"/>
    <w:rsid w:val="00ED4E28"/>
    <w:rsid w:val="00ED5206"/>
    <w:rsid w:val="00ED72C1"/>
    <w:rsid w:val="00ED788C"/>
    <w:rsid w:val="00EE1CF4"/>
    <w:rsid w:val="00EE3974"/>
    <w:rsid w:val="00EE455D"/>
    <w:rsid w:val="00EE46FF"/>
    <w:rsid w:val="00EE4709"/>
    <w:rsid w:val="00EE64FE"/>
    <w:rsid w:val="00EE6643"/>
    <w:rsid w:val="00EE71F1"/>
    <w:rsid w:val="00EE784A"/>
    <w:rsid w:val="00EE7899"/>
    <w:rsid w:val="00EF051A"/>
    <w:rsid w:val="00EF1336"/>
    <w:rsid w:val="00EF1E4E"/>
    <w:rsid w:val="00EF5356"/>
    <w:rsid w:val="00EF5447"/>
    <w:rsid w:val="00EF620E"/>
    <w:rsid w:val="00EF77D8"/>
    <w:rsid w:val="00F02D02"/>
    <w:rsid w:val="00F02D75"/>
    <w:rsid w:val="00F03125"/>
    <w:rsid w:val="00F06E6E"/>
    <w:rsid w:val="00F11CFC"/>
    <w:rsid w:val="00F1309C"/>
    <w:rsid w:val="00F1490B"/>
    <w:rsid w:val="00F21756"/>
    <w:rsid w:val="00F218C8"/>
    <w:rsid w:val="00F21975"/>
    <w:rsid w:val="00F21C82"/>
    <w:rsid w:val="00F22CEC"/>
    <w:rsid w:val="00F2489D"/>
    <w:rsid w:val="00F2502E"/>
    <w:rsid w:val="00F26942"/>
    <w:rsid w:val="00F2743A"/>
    <w:rsid w:val="00F309E2"/>
    <w:rsid w:val="00F30EB0"/>
    <w:rsid w:val="00F35BA4"/>
    <w:rsid w:val="00F36554"/>
    <w:rsid w:val="00F374DD"/>
    <w:rsid w:val="00F419EF"/>
    <w:rsid w:val="00F448F1"/>
    <w:rsid w:val="00F44CDA"/>
    <w:rsid w:val="00F451D8"/>
    <w:rsid w:val="00F45366"/>
    <w:rsid w:val="00F479DE"/>
    <w:rsid w:val="00F50781"/>
    <w:rsid w:val="00F5116C"/>
    <w:rsid w:val="00F51D8D"/>
    <w:rsid w:val="00F51EC5"/>
    <w:rsid w:val="00F53B86"/>
    <w:rsid w:val="00F54E71"/>
    <w:rsid w:val="00F556DC"/>
    <w:rsid w:val="00F56B6C"/>
    <w:rsid w:val="00F572C7"/>
    <w:rsid w:val="00F62237"/>
    <w:rsid w:val="00F62DC5"/>
    <w:rsid w:val="00F639C8"/>
    <w:rsid w:val="00F65DD1"/>
    <w:rsid w:val="00F70DB5"/>
    <w:rsid w:val="00F710F9"/>
    <w:rsid w:val="00F722E4"/>
    <w:rsid w:val="00F74621"/>
    <w:rsid w:val="00F817DE"/>
    <w:rsid w:val="00F81E3B"/>
    <w:rsid w:val="00F90B52"/>
    <w:rsid w:val="00F91E50"/>
    <w:rsid w:val="00F91F7C"/>
    <w:rsid w:val="00F9265E"/>
    <w:rsid w:val="00F9337E"/>
    <w:rsid w:val="00F93958"/>
    <w:rsid w:val="00F94A95"/>
    <w:rsid w:val="00F97224"/>
    <w:rsid w:val="00FA1152"/>
    <w:rsid w:val="00FA186C"/>
    <w:rsid w:val="00FA1CD8"/>
    <w:rsid w:val="00FA1CDC"/>
    <w:rsid w:val="00FA1E7F"/>
    <w:rsid w:val="00FA2D02"/>
    <w:rsid w:val="00FA4D0F"/>
    <w:rsid w:val="00FA7965"/>
    <w:rsid w:val="00FB1155"/>
    <w:rsid w:val="00FB3B21"/>
    <w:rsid w:val="00FB6AFF"/>
    <w:rsid w:val="00FB7E1C"/>
    <w:rsid w:val="00FC4A99"/>
    <w:rsid w:val="00FC5334"/>
    <w:rsid w:val="00FC5379"/>
    <w:rsid w:val="00FC5574"/>
    <w:rsid w:val="00FC6EA1"/>
    <w:rsid w:val="00FD4223"/>
    <w:rsid w:val="00FD44FC"/>
    <w:rsid w:val="00FD5695"/>
    <w:rsid w:val="00FD7030"/>
    <w:rsid w:val="00FD7B44"/>
    <w:rsid w:val="00FE0E6E"/>
    <w:rsid w:val="00FE3160"/>
    <w:rsid w:val="00FE5536"/>
    <w:rsid w:val="00FE76EC"/>
    <w:rsid w:val="00FF0F47"/>
    <w:rsid w:val="00FF11D7"/>
    <w:rsid w:val="00FF1579"/>
    <w:rsid w:val="00FF2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37"/>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3"/>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4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42"/>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character" w:styleId="Emphasis">
    <w:name w:val="Emphasis"/>
    <w:basedOn w:val="DefaultParagraphFont"/>
    <w:uiPriority w:val="20"/>
    <w:qFormat/>
    <w:rsid w:val="00505C65"/>
    <w:rPr>
      <w:i/>
      <w:iCs/>
    </w:rPr>
  </w:style>
  <w:style w:type="character" w:styleId="PlaceholderText">
    <w:name w:val="Placeholder Text"/>
    <w:basedOn w:val="DefaultParagraphFont"/>
    <w:uiPriority w:val="99"/>
    <w:semiHidden/>
    <w:rsid w:val="00DB5C60"/>
    <w:rPr>
      <w:color w:val="808080"/>
    </w:rPr>
  </w:style>
  <w:style w:type="paragraph" w:styleId="NormalWeb">
    <w:name w:val="Normal (Web)"/>
    <w:basedOn w:val="Normal"/>
    <w:semiHidden/>
    <w:unhideWhenUsed/>
    <w:rsid w:val="00465E37"/>
  </w:style>
  <w:style w:type="character" w:styleId="UnresolvedMention">
    <w:name w:val="Unresolved Mention"/>
    <w:basedOn w:val="DefaultParagraphFont"/>
    <w:uiPriority w:val="99"/>
    <w:semiHidden/>
    <w:unhideWhenUsed/>
    <w:rsid w:val="008F5CF1"/>
    <w:rPr>
      <w:color w:val="605E5C"/>
      <w:shd w:val="clear" w:color="auto" w:fill="E1DFDD"/>
    </w:rPr>
  </w:style>
  <w:style w:type="paragraph" w:styleId="ListParagraph">
    <w:name w:val="List Paragraph"/>
    <w:basedOn w:val="Normal"/>
    <w:uiPriority w:val="34"/>
    <w:qFormat/>
    <w:rsid w:val="0052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7638">
      <w:bodyDiv w:val="1"/>
      <w:marLeft w:val="0"/>
      <w:marRight w:val="0"/>
      <w:marTop w:val="0"/>
      <w:marBottom w:val="0"/>
      <w:divBdr>
        <w:top w:val="none" w:sz="0" w:space="0" w:color="auto"/>
        <w:left w:val="none" w:sz="0" w:space="0" w:color="auto"/>
        <w:bottom w:val="none" w:sz="0" w:space="0" w:color="auto"/>
        <w:right w:val="none" w:sz="0" w:space="0" w:color="auto"/>
      </w:divBdr>
    </w:div>
    <w:div w:id="505822882">
      <w:bodyDiv w:val="1"/>
      <w:marLeft w:val="0"/>
      <w:marRight w:val="0"/>
      <w:marTop w:val="0"/>
      <w:marBottom w:val="0"/>
      <w:divBdr>
        <w:top w:val="none" w:sz="0" w:space="0" w:color="auto"/>
        <w:left w:val="none" w:sz="0" w:space="0" w:color="auto"/>
        <w:bottom w:val="none" w:sz="0" w:space="0" w:color="auto"/>
        <w:right w:val="none" w:sz="0" w:space="0" w:color="auto"/>
      </w:divBdr>
    </w:div>
    <w:div w:id="538470612">
      <w:bodyDiv w:val="1"/>
      <w:marLeft w:val="0"/>
      <w:marRight w:val="0"/>
      <w:marTop w:val="0"/>
      <w:marBottom w:val="0"/>
      <w:divBdr>
        <w:top w:val="none" w:sz="0" w:space="0" w:color="auto"/>
        <w:left w:val="none" w:sz="0" w:space="0" w:color="auto"/>
        <w:bottom w:val="none" w:sz="0" w:space="0" w:color="auto"/>
        <w:right w:val="none" w:sz="0" w:space="0" w:color="auto"/>
      </w:divBdr>
    </w:div>
    <w:div w:id="585382504">
      <w:bodyDiv w:val="1"/>
      <w:marLeft w:val="0"/>
      <w:marRight w:val="0"/>
      <w:marTop w:val="0"/>
      <w:marBottom w:val="0"/>
      <w:divBdr>
        <w:top w:val="none" w:sz="0" w:space="0" w:color="auto"/>
        <w:left w:val="none" w:sz="0" w:space="0" w:color="auto"/>
        <w:bottom w:val="none" w:sz="0" w:space="0" w:color="auto"/>
        <w:right w:val="none" w:sz="0" w:space="0" w:color="auto"/>
      </w:divBdr>
    </w:div>
    <w:div w:id="791097064">
      <w:bodyDiv w:val="1"/>
      <w:marLeft w:val="0"/>
      <w:marRight w:val="0"/>
      <w:marTop w:val="0"/>
      <w:marBottom w:val="0"/>
      <w:divBdr>
        <w:top w:val="none" w:sz="0" w:space="0" w:color="auto"/>
        <w:left w:val="none" w:sz="0" w:space="0" w:color="auto"/>
        <w:bottom w:val="none" w:sz="0" w:space="0" w:color="auto"/>
        <w:right w:val="none" w:sz="0" w:space="0" w:color="auto"/>
      </w:divBdr>
    </w:div>
    <w:div w:id="860900386">
      <w:bodyDiv w:val="1"/>
      <w:marLeft w:val="0"/>
      <w:marRight w:val="0"/>
      <w:marTop w:val="0"/>
      <w:marBottom w:val="0"/>
      <w:divBdr>
        <w:top w:val="none" w:sz="0" w:space="0" w:color="auto"/>
        <w:left w:val="none" w:sz="0" w:space="0" w:color="auto"/>
        <w:bottom w:val="none" w:sz="0" w:space="0" w:color="auto"/>
        <w:right w:val="none" w:sz="0" w:space="0" w:color="auto"/>
      </w:divBdr>
    </w:div>
    <w:div w:id="974527952">
      <w:bodyDiv w:val="1"/>
      <w:marLeft w:val="0"/>
      <w:marRight w:val="0"/>
      <w:marTop w:val="0"/>
      <w:marBottom w:val="0"/>
      <w:divBdr>
        <w:top w:val="none" w:sz="0" w:space="0" w:color="auto"/>
        <w:left w:val="none" w:sz="0" w:space="0" w:color="auto"/>
        <w:bottom w:val="none" w:sz="0" w:space="0" w:color="auto"/>
        <w:right w:val="none" w:sz="0" w:space="0" w:color="auto"/>
      </w:divBdr>
    </w:div>
    <w:div w:id="1740978168">
      <w:bodyDiv w:val="1"/>
      <w:marLeft w:val="0"/>
      <w:marRight w:val="0"/>
      <w:marTop w:val="0"/>
      <w:marBottom w:val="0"/>
      <w:divBdr>
        <w:top w:val="none" w:sz="0" w:space="0" w:color="auto"/>
        <w:left w:val="none" w:sz="0" w:space="0" w:color="auto"/>
        <w:bottom w:val="none" w:sz="0" w:space="0" w:color="auto"/>
        <w:right w:val="none" w:sz="0" w:space="0" w:color="auto"/>
      </w:divBdr>
    </w:div>
    <w:div w:id="2022932075">
      <w:bodyDiv w:val="1"/>
      <w:marLeft w:val="0"/>
      <w:marRight w:val="0"/>
      <w:marTop w:val="0"/>
      <w:marBottom w:val="0"/>
      <w:divBdr>
        <w:top w:val="none" w:sz="0" w:space="0" w:color="auto"/>
        <w:left w:val="none" w:sz="0" w:space="0" w:color="auto"/>
        <w:bottom w:val="none" w:sz="0" w:space="0" w:color="auto"/>
        <w:right w:val="none" w:sz="0" w:space="0" w:color="auto"/>
      </w:divBdr>
    </w:div>
    <w:div w:id="207508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6.tif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7.tif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11</Pages>
  <Words>7285</Words>
  <Characters>41526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48714</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Nguyen Pham</cp:lastModifiedBy>
  <cp:revision>242</cp:revision>
  <cp:lastPrinted>2022-11-11T11:49:00Z</cp:lastPrinted>
  <dcterms:created xsi:type="dcterms:W3CDTF">2024-04-29T14:52:00Z</dcterms:created>
  <dcterms:modified xsi:type="dcterms:W3CDTF">2024-12-15T11:38:00Z</dcterms:modified>
</cp:coreProperties>
</file>